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6C461" w14:textId="771A47EF" w:rsidR="004D34D2" w:rsidRPr="002732B1" w:rsidRDefault="004D34D2" w:rsidP="002732B1">
      <w:pPr>
        <w:spacing w:line="360" w:lineRule="auto"/>
        <w:jc w:val="center"/>
        <w:rPr>
          <w:rFonts w:ascii="Arial" w:hAnsi="Arial" w:cs="Arial"/>
          <w:b/>
          <w:color w:val="000000" w:themeColor="text1"/>
          <w:sz w:val="40"/>
          <w:szCs w:val="40"/>
        </w:rPr>
      </w:pPr>
      <w:r w:rsidRPr="002732B1">
        <w:rPr>
          <w:rFonts w:ascii="Arial" w:hAnsi="Arial" w:cs="Arial"/>
          <w:b/>
          <w:color w:val="000000" w:themeColor="text1"/>
          <w:sz w:val="40"/>
          <w:szCs w:val="40"/>
        </w:rPr>
        <w:t xml:space="preserve">Development of crop management strategies for management of </w:t>
      </w:r>
      <w:r w:rsidR="00C772D2">
        <w:rPr>
          <w:rFonts w:ascii="Arial" w:hAnsi="Arial" w:cs="Arial"/>
          <w:b/>
          <w:color w:val="000000" w:themeColor="text1"/>
          <w:sz w:val="40"/>
          <w:szCs w:val="40"/>
        </w:rPr>
        <w:t>s</w:t>
      </w:r>
      <w:r w:rsidR="00C772D2" w:rsidRPr="002732B1">
        <w:rPr>
          <w:rFonts w:ascii="Arial" w:hAnsi="Arial" w:cs="Arial"/>
          <w:b/>
          <w:color w:val="000000" w:themeColor="text1"/>
          <w:sz w:val="40"/>
          <w:szCs w:val="40"/>
        </w:rPr>
        <w:t xml:space="preserve">tubby </w:t>
      </w:r>
      <w:r w:rsidRPr="002732B1">
        <w:rPr>
          <w:rFonts w:ascii="Arial" w:hAnsi="Arial" w:cs="Arial"/>
          <w:b/>
          <w:color w:val="000000" w:themeColor="text1"/>
          <w:sz w:val="40"/>
          <w:szCs w:val="40"/>
        </w:rPr>
        <w:t>root nematodes (</w:t>
      </w:r>
      <w:r w:rsidRPr="002732B1">
        <w:rPr>
          <w:rFonts w:ascii="Arial" w:hAnsi="Arial" w:cs="Arial"/>
          <w:b/>
          <w:i/>
          <w:color w:val="000000" w:themeColor="text1"/>
          <w:sz w:val="40"/>
          <w:szCs w:val="40"/>
        </w:rPr>
        <w:t>Trichodorus</w:t>
      </w:r>
      <w:r w:rsidRPr="002732B1">
        <w:rPr>
          <w:rFonts w:ascii="Arial" w:hAnsi="Arial" w:cs="Arial"/>
          <w:b/>
          <w:color w:val="000000" w:themeColor="text1"/>
          <w:sz w:val="40"/>
          <w:szCs w:val="40"/>
        </w:rPr>
        <w:t xml:space="preserve"> and </w:t>
      </w:r>
      <w:r w:rsidRPr="002732B1">
        <w:rPr>
          <w:rFonts w:ascii="Arial" w:hAnsi="Arial" w:cs="Arial"/>
          <w:b/>
          <w:i/>
          <w:color w:val="000000" w:themeColor="text1"/>
          <w:sz w:val="40"/>
          <w:szCs w:val="40"/>
        </w:rPr>
        <w:t>Paratrichodorus</w:t>
      </w:r>
      <w:r w:rsidRPr="002732B1">
        <w:rPr>
          <w:rFonts w:ascii="Arial" w:hAnsi="Arial" w:cs="Arial"/>
          <w:b/>
          <w:color w:val="000000" w:themeColor="text1"/>
          <w:sz w:val="40"/>
          <w:szCs w:val="40"/>
        </w:rPr>
        <w:t xml:space="preserve"> spp) </w:t>
      </w:r>
      <w:r w:rsidR="00A1497E" w:rsidRPr="002732B1">
        <w:rPr>
          <w:rFonts w:ascii="Arial" w:hAnsi="Arial" w:cs="Arial"/>
          <w:b/>
          <w:color w:val="000000" w:themeColor="text1"/>
          <w:sz w:val="40"/>
          <w:szCs w:val="40"/>
        </w:rPr>
        <w:t xml:space="preserve">associated with docking disorder in </w:t>
      </w:r>
      <w:r w:rsidRPr="002732B1">
        <w:rPr>
          <w:rFonts w:ascii="Arial" w:hAnsi="Arial" w:cs="Arial"/>
          <w:b/>
          <w:color w:val="000000" w:themeColor="text1"/>
          <w:sz w:val="40"/>
          <w:szCs w:val="40"/>
        </w:rPr>
        <w:t>Sugar beet (</w:t>
      </w:r>
      <w:r w:rsidRPr="002732B1">
        <w:rPr>
          <w:rFonts w:ascii="Arial" w:hAnsi="Arial" w:cs="Arial"/>
          <w:b/>
          <w:i/>
          <w:color w:val="000000" w:themeColor="text1"/>
          <w:sz w:val="40"/>
          <w:szCs w:val="40"/>
        </w:rPr>
        <w:t xml:space="preserve">Beta </w:t>
      </w:r>
      <w:r w:rsidR="00C772D2">
        <w:rPr>
          <w:rFonts w:ascii="Arial" w:hAnsi="Arial" w:cs="Arial"/>
          <w:b/>
          <w:i/>
          <w:color w:val="000000" w:themeColor="text1"/>
          <w:sz w:val="40"/>
          <w:szCs w:val="40"/>
        </w:rPr>
        <w:t>v</w:t>
      </w:r>
      <w:r w:rsidR="00C772D2" w:rsidRPr="002732B1">
        <w:rPr>
          <w:rFonts w:ascii="Arial" w:hAnsi="Arial" w:cs="Arial"/>
          <w:b/>
          <w:i/>
          <w:color w:val="000000" w:themeColor="text1"/>
          <w:sz w:val="40"/>
          <w:szCs w:val="40"/>
        </w:rPr>
        <w:t>ulgaris</w:t>
      </w:r>
      <w:r w:rsidRPr="002732B1">
        <w:rPr>
          <w:rFonts w:ascii="Arial" w:hAnsi="Arial" w:cs="Arial"/>
          <w:b/>
          <w:color w:val="000000" w:themeColor="text1"/>
          <w:sz w:val="40"/>
          <w:szCs w:val="40"/>
        </w:rPr>
        <w:t>)</w:t>
      </w:r>
    </w:p>
    <w:p w14:paraId="006A8280" w14:textId="77777777" w:rsidR="004D34D2" w:rsidRPr="002732B1" w:rsidRDefault="004D34D2" w:rsidP="00C22417">
      <w:pPr>
        <w:spacing w:line="360" w:lineRule="auto"/>
        <w:jc w:val="center"/>
        <w:rPr>
          <w:rFonts w:ascii="Arial" w:hAnsi="Arial" w:cs="Arial"/>
          <w:b/>
          <w:color w:val="000000" w:themeColor="text1"/>
          <w:sz w:val="40"/>
          <w:szCs w:val="40"/>
        </w:rPr>
      </w:pPr>
    </w:p>
    <w:p w14:paraId="259EADCC" w14:textId="77777777" w:rsidR="004D34D2" w:rsidRPr="002732B1" w:rsidRDefault="004D34D2" w:rsidP="00C22417">
      <w:pPr>
        <w:spacing w:line="360" w:lineRule="auto"/>
        <w:jc w:val="center"/>
        <w:rPr>
          <w:rFonts w:ascii="Arial" w:hAnsi="Arial" w:cs="Arial"/>
          <w:b/>
          <w:color w:val="000000" w:themeColor="text1"/>
          <w:sz w:val="40"/>
          <w:szCs w:val="40"/>
        </w:rPr>
      </w:pPr>
    </w:p>
    <w:p w14:paraId="29BCD2D7" w14:textId="77777777" w:rsidR="004D34D2" w:rsidRPr="002732B1" w:rsidRDefault="004D34D2" w:rsidP="00C22417">
      <w:pPr>
        <w:spacing w:line="360" w:lineRule="auto"/>
        <w:jc w:val="center"/>
        <w:rPr>
          <w:rFonts w:ascii="Arial" w:hAnsi="Arial" w:cs="Arial"/>
          <w:b/>
          <w:color w:val="000000" w:themeColor="text1"/>
          <w:sz w:val="40"/>
          <w:szCs w:val="40"/>
        </w:rPr>
      </w:pPr>
    </w:p>
    <w:p w14:paraId="03FF947F" w14:textId="77777777" w:rsidR="004D34D2" w:rsidRPr="002732B1" w:rsidRDefault="004D34D2" w:rsidP="00C22417">
      <w:pPr>
        <w:spacing w:line="360" w:lineRule="auto"/>
        <w:jc w:val="center"/>
        <w:rPr>
          <w:rFonts w:ascii="Arial" w:hAnsi="Arial" w:cs="Arial"/>
          <w:b/>
          <w:color w:val="000000" w:themeColor="text1"/>
          <w:sz w:val="40"/>
          <w:szCs w:val="40"/>
        </w:rPr>
      </w:pPr>
    </w:p>
    <w:p w14:paraId="72D9487E" w14:textId="4BF152BA" w:rsidR="004D34D2" w:rsidRPr="002732B1" w:rsidRDefault="004D34D2" w:rsidP="00C22417">
      <w:pPr>
        <w:spacing w:line="360" w:lineRule="auto"/>
        <w:jc w:val="center"/>
        <w:rPr>
          <w:rFonts w:ascii="Arial" w:hAnsi="Arial" w:cs="Arial"/>
          <w:b/>
          <w:color w:val="000000" w:themeColor="text1"/>
          <w:sz w:val="40"/>
          <w:szCs w:val="40"/>
        </w:rPr>
      </w:pPr>
      <w:r w:rsidRPr="002732B1">
        <w:rPr>
          <w:rFonts w:ascii="Arial" w:hAnsi="Arial" w:cs="Arial"/>
          <w:b/>
          <w:color w:val="000000" w:themeColor="text1"/>
          <w:sz w:val="40"/>
          <w:szCs w:val="40"/>
        </w:rPr>
        <w:t>Nyambura Mwangi</w:t>
      </w:r>
    </w:p>
    <w:p w14:paraId="008CA689" w14:textId="77777777" w:rsidR="004D34D2" w:rsidRPr="002732B1" w:rsidRDefault="004D34D2" w:rsidP="00C22417">
      <w:pPr>
        <w:spacing w:line="360" w:lineRule="auto"/>
        <w:jc w:val="center"/>
        <w:rPr>
          <w:rFonts w:ascii="Arial" w:hAnsi="Arial" w:cs="Arial"/>
          <w:b/>
          <w:color w:val="000000" w:themeColor="text1"/>
          <w:sz w:val="40"/>
          <w:szCs w:val="40"/>
        </w:rPr>
      </w:pPr>
    </w:p>
    <w:p w14:paraId="7AB18B7F" w14:textId="6BF4156E" w:rsidR="004D34D2" w:rsidRPr="002732B1" w:rsidRDefault="004D34D2" w:rsidP="00C22417">
      <w:pPr>
        <w:spacing w:line="360" w:lineRule="auto"/>
        <w:jc w:val="center"/>
        <w:rPr>
          <w:rFonts w:ascii="Arial" w:hAnsi="Arial" w:cs="Arial"/>
          <w:b/>
          <w:color w:val="000000" w:themeColor="text1"/>
          <w:sz w:val="40"/>
          <w:szCs w:val="40"/>
        </w:rPr>
      </w:pPr>
    </w:p>
    <w:p w14:paraId="4F676E53" w14:textId="77777777" w:rsidR="004D34D2" w:rsidRPr="002732B1" w:rsidRDefault="004D34D2" w:rsidP="00C22417">
      <w:pPr>
        <w:spacing w:line="360" w:lineRule="auto"/>
        <w:jc w:val="center"/>
        <w:rPr>
          <w:rFonts w:ascii="Arial" w:hAnsi="Arial" w:cs="Arial"/>
          <w:b/>
          <w:color w:val="000000" w:themeColor="text1"/>
          <w:sz w:val="40"/>
          <w:szCs w:val="40"/>
        </w:rPr>
      </w:pPr>
      <w:r w:rsidRPr="002732B1">
        <w:rPr>
          <w:rFonts w:ascii="Arial" w:hAnsi="Arial" w:cs="Arial"/>
          <w:b/>
          <w:color w:val="000000" w:themeColor="text1"/>
          <w:sz w:val="40"/>
          <w:szCs w:val="40"/>
        </w:rPr>
        <w:t>Submitted as a Specific Degree Registration Report</w:t>
      </w:r>
    </w:p>
    <w:p w14:paraId="7DD70015" w14:textId="77777777" w:rsidR="004D34D2" w:rsidRPr="002732B1" w:rsidRDefault="004D34D2" w:rsidP="00C22417">
      <w:pPr>
        <w:spacing w:line="360" w:lineRule="auto"/>
        <w:jc w:val="center"/>
        <w:rPr>
          <w:rFonts w:ascii="Arial" w:hAnsi="Arial" w:cs="Arial"/>
          <w:b/>
          <w:color w:val="000000" w:themeColor="text1"/>
          <w:sz w:val="40"/>
          <w:szCs w:val="40"/>
        </w:rPr>
      </w:pPr>
    </w:p>
    <w:p w14:paraId="4606646A" w14:textId="6B06D6FE" w:rsidR="007D0E79" w:rsidRDefault="004D34D2" w:rsidP="00616CDC">
      <w:pPr>
        <w:spacing w:line="360" w:lineRule="auto"/>
        <w:jc w:val="center"/>
        <w:rPr>
          <w:rFonts w:ascii="Arial" w:hAnsi="Arial" w:cs="Arial"/>
          <w:b/>
          <w:color w:val="000000" w:themeColor="text1"/>
          <w:sz w:val="24"/>
          <w:szCs w:val="24"/>
        </w:rPr>
        <w:sectPr w:rsidR="007D0E79" w:rsidSect="00A12E0C">
          <w:footerReference w:type="default" r:id="rId11"/>
          <w:footerReference w:type="first" r:id="rId12"/>
          <w:pgSz w:w="11906" w:h="16838"/>
          <w:pgMar w:top="1440" w:right="1440" w:bottom="1440" w:left="1440" w:header="708" w:footer="708" w:gutter="0"/>
          <w:pgNumType w:fmt="lowerRoman" w:start="1"/>
          <w:cols w:space="708"/>
          <w:titlePg/>
          <w:docGrid w:linePitch="360"/>
        </w:sectPr>
      </w:pPr>
      <w:r w:rsidRPr="002732B1">
        <w:rPr>
          <w:rFonts w:ascii="Arial" w:hAnsi="Arial" w:cs="Arial"/>
          <w:b/>
          <w:color w:val="000000" w:themeColor="text1"/>
          <w:sz w:val="40"/>
          <w:szCs w:val="40"/>
        </w:rPr>
        <w:t>HARPER-ADAMS UNIVERSITY</w:t>
      </w:r>
    </w:p>
    <w:sdt>
      <w:sdtPr>
        <w:rPr>
          <w:rFonts w:ascii="Arial" w:eastAsiaTheme="minorEastAsia" w:hAnsi="Arial" w:cs="Arial"/>
          <w:color w:val="000000" w:themeColor="text1"/>
          <w:sz w:val="24"/>
          <w:szCs w:val="24"/>
        </w:rPr>
        <w:id w:val="-629941310"/>
        <w:docPartObj>
          <w:docPartGallery w:val="Table of Contents"/>
          <w:docPartUnique/>
        </w:docPartObj>
      </w:sdtPr>
      <w:sdtEndPr>
        <w:rPr>
          <w:bCs/>
          <w:noProof/>
        </w:rPr>
      </w:sdtEndPr>
      <w:sdtContent>
        <w:p w14:paraId="11C53C18" w14:textId="43FA1D13" w:rsidR="004C34C1" w:rsidRPr="00F13673" w:rsidRDefault="004C34C1" w:rsidP="00616CDC">
          <w:pPr>
            <w:pStyle w:val="TOCHeading"/>
            <w:ind w:left="-426" w:right="662" w:firstLine="142"/>
            <w:jc w:val="both"/>
            <w:rPr>
              <w:rFonts w:ascii="Arial" w:hAnsi="Arial" w:cs="Arial"/>
              <w:b/>
              <w:color w:val="000000" w:themeColor="text1"/>
              <w:sz w:val="24"/>
              <w:szCs w:val="24"/>
            </w:rPr>
          </w:pPr>
          <w:r w:rsidRPr="00F13673">
            <w:rPr>
              <w:rFonts w:ascii="Arial" w:hAnsi="Arial" w:cs="Arial"/>
              <w:b/>
              <w:color w:val="000000" w:themeColor="text1"/>
              <w:sz w:val="24"/>
              <w:szCs w:val="24"/>
            </w:rPr>
            <w:t>Table of Contents</w:t>
          </w:r>
        </w:p>
        <w:p w14:paraId="2DCFBCDF" w14:textId="5CE87A76" w:rsidR="00ED0D9A" w:rsidRDefault="004C34C1">
          <w:pPr>
            <w:pStyle w:val="TOC1"/>
            <w:tabs>
              <w:tab w:val="right" w:leader="dot" w:pos="9016"/>
            </w:tabs>
            <w:rPr>
              <w:noProof/>
              <w:lang w:eastAsia="en-GB"/>
            </w:rPr>
          </w:pPr>
          <w:r w:rsidRPr="00F13673">
            <w:rPr>
              <w:rFonts w:ascii="Arial" w:hAnsi="Arial" w:cs="Arial"/>
              <w:bCs/>
              <w:noProof/>
              <w:color w:val="000000" w:themeColor="text1"/>
              <w:sz w:val="24"/>
              <w:szCs w:val="24"/>
            </w:rPr>
            <w:fldChar w:fldCharType="begin"/>
          </w:r>
          <w:r w:rsidRPr="00F13673">
            <w:rPr>
              <w:rFonts w:ascii="Arial" w:hAnsi="Arial" w:cs="Arial"/>
              <w:bCs/>
              <w:noProof/>
              <w:color w:val="000000" w:themeColor="text1"/>
              <w:sz w:val="24"/>
              <w:szCs w:val="24"/>
            </w:rPr>
            <w:instrText xml:space="preserve"> TOC \o "1-3" \h \z \u </w:instrText>
          </w:r>
          <w:r w:rsidRPr="00F13673">
            <w:rPr>
              <w:rFonts w:ascii="Arial" w:hAnsi="Arial" w:cs="Arial"/>
              <w:bCs/>
              <w:noProof/>
              <w:color w:val="000000" w:themeColor="text1"/>
              <w:sz w:val="24"/>
              <w:szCs w:val="24"/>
            </w:rPr>
            <w:fldChar w:fldCharType="separate"/>
          </w:r>
          <w:hyperlink w:anchor="_Toc110341268" w:history="1">
            <w:r w:rsidR="00ED0D9A" w:rsidRPr="006F7C7B">
              <w:rPr>
                <w:rStyle w:val="Hyperlink"/>
                <w:rFonts w:ascii="Arial" w:hAnsi="Arial" w:cs="Arial"/>
                <w:b/>
                <w:noProof/>
              </w:rPr>
              <w:t>Abstract</w:t>
            </w:r>
            <w:r w:rsidR="00ED0D9A">
              <w:rPr>
                <w:noProof/>
                <w:webHidden/>
              </w:rPr>
              <w:tab/>
            </w:r>
            <w:r w:rsidR="00ED0D9A">
              <w:rPr>
                <w:noProof/>
                <w:webHidden/>
              </w:rPr>
              <w:fldChar w:fldCharType="begin"/>
            </w:r>
            <w:r w:rsidR="00ED0D9A">
              <w:rPr>
                <w:noProof/>
                <w:webHidden/>
              </w:rPr>
              <w:instrText xml:space="preserve"> PAGEREF _Toc110341268 \h </w:instrText>
            </w:r>
            <w:r w:rsidR="00ED0D9A">
              <w:rPr>
                <w:noProof/>
                <w:webHidden/>
              </w:rPr>
            </w:r>
            <w:r w:rsidR="00ED0D9A">
              <w:rPr>
                <w:noProof/>
                <w:webHidden/>
              </w:rPr>
              <w:fldChar w:fldCharType="separate"/>
            </w:r>
            <w:r w:rsidR="00ED0D9A">
              <w:rPr>
                <w:noProof/>
                <w:webHidden/>
              </w:rPr>
              <w:t>iii</w:t>
            </w:r>
            <w:r w:rsidR="00ED0D9A">
              <w:rPr>
                <w:noProof/>
                <w:webHidden/>
              </w:rPr>
              <w:fldChar w:fldCharType="end"/>
            </w:r>
          </w:hyperlink>
        </w:p>
        <w:p w14:paraId="158D92A7" w14:textId="0D1456F9" w:rsidR="00ED0D9A" w:rsidRDefault="007B60A3">
          <w:pPr>
            <w:pStyle w:val="TOC1"/>
            <w:tabs>
              <w:tab w:val="right" w:leader="dot" w:pos="9016"/>
            </w:tabs>
            <w:rPr>
              <w:noProof/>
              <w:lang w:eastAsia="en-GB"/>
            </w:rPr>
          </w:pPr>
          <w:hyperlink w:anchor="_Toc110341269" w:history="1">
            <w:r w:rsidR="00ED0D9A" w:rsidRPr="006F7C7B">
              <w:rPr>
                <w:rStyle w:val="Hyperlink"/>
                <w:rFonts w:ascii="Arial" w:hAnsi="Arial" w:cs="Arial"/>
                <w:b/>
                <w:noProof/>
              </w:rPr>
              <w:t>Declaration</w:t>
            </w:r>
            <w:r w:rsidR="00ED0D9A">
              <w:rPr>
                <w:noProof/>
                <w:webHidden/>
              </w:rPr>
              <w:tab/>
            </w:r>
            <w:r w:rsidR="00ED0D9A">
              <w:rPr>
                <w:noProof/>
                <w:webHidden/>
              </w:rPr>
              <w:fldChar w:fldCharType="begin"/>
            </w:r>
            <w:r w:rsidR="00ED0D9A">
              <w:rPr>
                <w:noProof/>
                <w:webHidden/>
              </w:rPr>
              <w:instrText xml:space="preserve"> PAGEREF _Toc110341269 \h </w:instrText>
            </w:r>
            <w:r w:rsidR="00ED0D9A">
              <w:rPr>
                <w:noProof/>
                <w:webHidden/>
              </w:rPr>
            </w:r>
            <w:r w:rsidR="00ED0D9A">
              <w:rPr>
                <w:noProof/>
                <w:webHidden/>
              </w:rPr>
              <w:fldChar w:fldCharType="separate"/>
            </w:r>
            <w:r w:rsidR="00ED0D9A">
              <w:rPr>
                <w:noProof/>
                <w:webHidden/>
              </w:rPr>
              <w:t>iv</w:t>
            </w:r>
            <w:r w:rsidR="00ED0D9A">
              <w:rPr>
                <w:noProof/>
                <w:webHidden/>
              </w:rPr>
              <w:fldChar w:fldCharType="end"/>
            </w:r>
          </w:hyperlink>
        </w:p>
        <w:p w14:paraId="733FC9C3" w14:textId="0C7F7FED" w:rsidR="00ED0D9A" w:rsidRDefault="007B60A3">
          <w:pPr>
            <w:pStyle w:val="TOC1"/>
            <w:tabs>
              <w:tab w:val="right" w:leader="dot" w:pos="9016"/>
            </w:tabs>
            <w:rPr>
              <w:noProof/>
              <w:lang w:eastAsia="en-GB"/>
            </w:rPr>
          </w:pPr>
          <w:hyperlink w:anchor="_Toc110341270" w:history="1">
            <w:r w:rsidR="00ED0D9A" w:rsidRPr="006F7C7B">
              <w:rPr>
                <w:rStyle w:val="Hyperlink"/>
                <w:rFonts w:ascii="Arial" w:hAnsi="Arial" w:cs="Arial"/>
                <w:b/>
                <w:noProof/>
              </w:rPr>
              <w:t>Acknowledgements</w:t>
            </w:r>
            <w:r w:rsidR="00ED0D9A">
              <w:rPr>
                <w:noProof/>
                <w:webHidden/>
              </w:rPr>
              <w:tab/>
            </w:r>
            <w:r w:rsidR="00ED0D9A">
              <w:rPr>
                <w:noProof/>
                <w:webHidden/>
              </w:rPr>
              <w:fldChar w:fldCharType="begin"/>
            </w:r>
            <w:r w:rsidR="00ED0D9A">
              <w:rPr>
                <w:noProof/>
                <w:webHidden/>
              </w:rPr>
              <w:instrText xml:space="preserve"> PAGEREF _Toc110341270 \h </w:instrText>
            </w:r>
            <w:r w:rsidR="00ED0D9A">
              <w:rPr>
                <w:noProof/>
                <w:webHidden/>
              </w:rPr>
            </w:r>
            <w:r w:rsidR="00ED0D9A">
              <w:rPr>
                <w:noProof/>
                <w:webHidden/>
              </w:rPr>
              <w:fldChar w:fldCharType="separate"/>
            </w:r>
            <w:r w:rsidR="00ED0D9A">
              <w:rPr>
                <w:noProof/>
                <w:webHidden/>
              </w:rPr>
              <w:t>v</w:t>
            </w:r>
            <w:r w:rsidR="00ED0D9A">
              <w:rPr>
                <w:noProof/>
                <w:webHidden/>
              </w:rPr>
              <w:fldChar w:fldCharType="end"/>
            </w:r>
          </w:hyperlink>
        </w:p>
        <w:p w14:paraId="712C2769" w14:textId="726376E6" w:rsidR="00ED0D9A" w:rsidRDefault="007B60A3">
          <w:pPr>
            <w:pStyle w:val="TOC1"/>
            <w:tabs>
              <w:tab w:val="right" w:leader="dot" w:pos="9016"/>
            </w:tabs>
            <w:rPr>
              <w:noProof/>
              <w:lang w:eastAsia="en-GB"/>
            </w:rPr>
          </w:pPr>
          <w:hyperlink w:anchor="_Toc110341271" w:history="1">
            <w:r w:rsidR="00ED0D9A" w:rsidRPr="006F7C7B">
              <w:rPr>
                <w:rStyle w:val="Hyperlink"/>
                <w:rFonts w:ascii="Arial" w:hAnsi="Arial" w:cs="Arial"/>
                <w:b/>
                <w:noProof/>
              </w:rPr>
              <w:t>1.0 Literature Review</w:t>
            </w:r>
            <w:r w:rsidR="00ED0D9A">
              <w:rPr>
                <w:noProof/>
                <w:webHidden/>
              </w:rPr>
              <w:tab/>
            </w:r>
            <w:r w:rsidR="00ED0D9A">
              <w:rPr>
                <w:noProof/>
                <w:webHidden/>
              </w:rPr>
              <w:fldChar w:fldCharType="begin"/>
            </w:r>
            <w:r w:rsidR="00ED0D9A">
              <w:rPr>
                <w:noProof/>
                <w:webHidden/>
              </w:rPr>
              <w:instrText xml:space="preserve"> PAGEREF _Toc110341271 \h </w:instrText>
            </w:r>
            <w:r w:rsidR="00ED0D9A">
              <w:rPr>
                <w:noProof/>
                <w:webHidden/>
              </w:rPr>
            </w:r>
            <w:r w:rsidR="00ED0D9A">
              <w:rPr>
                <w:noProof/>
                <w:webHidden/>
              </w:rPr>
              <w:fldChar w:fldCharType="separate"/>
            </w:r>
            <w:r w:rsidR="00ED0D9A">
              <w:rPr>
                <w:noProof/>
                <w:webHidden/>
              </w:rPr>
              <w:t>1</w:t>
            </w:r>
            <w:r w:rsidR="00ED0D9A">
              <w:rPr>
                <w:noProof/>
                <w:webHidden/>
              </w:rPr>
              <w:fldChar w:fldCharType="end"/>
            </w:r>
          </w:hyperlink>
        </w:p>
        <w:p w14:paraId="45F0E4CD" w14:textId="5BD8762B" w:rsidR="00ED0D9A" w:rsidRDefault="007B60A3">
          <w:pPr>
            <w:pStyle w:val="TOC2"/>
            <w:tabs>
              <w:tab w:val="right" w:leader="dot" w:pos="9016"/>
            </w:tabs>
            <w:rPr>
              <w:noProof/>
              <w:lang w:eastAsia="en-GB"/>
            </w:rPr>
          </w:pPr>
          <w:hyperlink w:anchor="_Toc110341272" w:history="1">
            <w:r w:rsidR="00ED0D9A" w:rsidRPr="006F7C7B">
              <w:rPr>
                <w:rStyle w:val="Hyperlink"/>
                <w:rFonts w:ascii="Arial" w:hAnsi="Arial" w:cs="Arial"/>
                <w:b/>
                <w:noProof/>
              </w:rPr>
              <w:t>1.1 Introduction</w:t>
            </w:r>
            <w:r w:rsidR="00ED0D9A">
              <w:rPr>
                <w:noProof/>
                <w:webHidden/>
              </w:rPr>
              <w:tab/>
            </w:r>
            <w:r w:rsidR="00ED0D9A">
              <w:rPr>
                <w:noProof/>
                <w:webHidden/>
              </w:rPr>
              <w:fldChar w:fldCharType="begin"/>
            </w:r>
            <w:r w:rsidR="00ED0D9A">
              <w:rPr>
                <w:noProof/>
                <w:webHidden/>
              </w:rPr>
              <w:instrText xml:space="preserve"> PAGEREF _Toc110341272 \h </w:instrText>
            </w:r>
            <w:r w:rsidR="00ED0D9A">
              <w:rPr>
                <w:noProof/>
                <w:webHidden/>
              </w:rPr>
            </w:r>
            <w:r w:rsidR="00ED0D9A">
              <w:rPr>
                <w:noProof/>
                <w:webHidden/>
              </w:rPr>
              <w:fldChar w:fldCharType="separate"/>
            </w:r>
            <w:r w:rsidR="00ED0D9A">
              <w:rPr>
                <w:noProof/>
                <w:webHidden/>
              </w:rPr>
              <w:t>1</w:t>
            </w:r>
            <w:r w:rsidR="00ED0D9A">
              <w:rPr>
                <w:noProof/>
                <w:webHidden/>
              </w:rPr>
              <w:fldChar w:fldCharType="end"/>
            </w:r>
          </w:hyperlink>
        </w:p>
        <w:p w14:paraId="4586577A" w14:textId="305A3D52" w:rsidR="00ED0D9A" w:rsidRDefault="007B60A3">
          <w:pPr>
            <w:pStyle w:val="TOC2"/>
            <w:tabs>
              <w:tab w:val="right" w:leader="dot" w:pos="9016"/>
            </w:tabs>
            <w:rPr>
              <w:noProof/>
              <w:lang w:eastAsia="en-GB"/>
            </w:rPr>
          </w:pPr>
          <w:hyperlink w:anchor="_Toc110341273" w:history="1">
            <w:r w:rsidR="00ED0D9A" w:rsidRPr="006F7C7B">
              <w:rPr>
                <w:rStyle w:val="Hyperlink"/>
                <w:rFonts w:ascii="Arial" w:eastAsia="Calibri" w:hAnsi="Arial" w:cs="Arial"/>
                <w:b/>
                <w:noProof/>
              </w:rPr>
              <w:t>1.2 The family Trichodoridae</w:t>
            </w:r>
            <w:r w:rsidR="00ED0D9A">
              <w:rPr>
                <w:noProof/>
                <w:webHidden/>
              </w:rPr>
              <w:tab/>
            </w:r>
            <w:r w:rsidR="00ED0D9A">
              <w:rPr>
                <w:noProof/>
                <w:webHidden/>
              </w:rPr>
              <w:fldChar w:fldCharType="begin"/>
            </w:r>
            <w:r w:rsidR="00ED0D9A">
              <w:rPr>
                <w:noProof/>
                <w:webHidden/>
              </w:rPr>
              <w:instrText xml:space="preserve"> PAGEREF _Toc110341273 \h </w:instrText>
            </w:r>
            <w:r w:rsidR="00ED0D9A">
              <w:rPr>
                <w:noProof/>
                <w:webHidden/>
              </w:rPr>
            </w:r>
            <w:r w:rsidR="00ED0D9A">
              <w:rPr>
                <w:noProof/>
                <w:webHidden/>
              </w:rPr>
              <w:fldChar w:fldCharType="separate"/>
            </w:r>
            <w:r w:rsidR="00ED0D9A">
              <w:rPr>
                <w:noProof/>
                <w:webHidden/>
              </w:rPr>
              <w:t>1</w:t>
            </w:r>
            <w:r w:rsidR="00ED0D9A">
              <w:rPr>
                <w:noProof/>
                <w:webHidden/>
              </w:rPr>
              <w:fldChar w:fldCharType="end"/>
            </w:r>
          </w:hyperlink>
        </w:p>
        <w:p w14:paraId="4DD6B657" w14:textId="682BC175" w:rsidR="00ED0D9A" w:rsidRDefault="007B60A3">
          <w:pPr>
            <w:pStyle w:val="TOC3"/>
            <w:rPr>
              <w:noProof/>
              <w:lang w:eastAsia="en-GB"/>
            </w:rPr>
          </w:pPr>
          <w:hyperlink w:anchor="_Toc110341274" w:history="1">
            <w:r w:rsidR="00ED0D9A" w:rsidRPr="006F7C7B">
              <w:rPr>
                <w:rStyle w:val="Hyperlink"/>
                <w:rFonts w:ascii="Arial" w:eastAsia="Calibri" w:hAnsi="Arial" w:cs="Arial"/>
                <w:b/>
                <w:noProof/>
              </w:rPr>
              <w:t>1.2.2 Distribution and occurrence of family Trichodoridae in UK</w:t>
            </w:r>
            <w:r w:rsidR="00ED0D9A">
              <w:rPr>
                <w:noProof/>
                <w:webHidden/>
              </w:rPr>
              <w:tab/>
            </w:r>
            <w:r w:rsidR="00ED0D9A">
              <w:rPr>
                <w:noProof/>
                <w:webHidden/>
              </w:rPr>
              <w:fldChar w:fldCharType="begin"/>
            </w:r>
            <w:r w:rsidR="00ED0D9A">
              <w:rPr>
                <w:noProof/>
                <w:webHidden/>
              </w:rPr>
              <w:instrText xml:space="preserve"> PAGEREF _Toc110341274 \h </w:instrText>
            </w:r>
            <w:r w:rsidR="00ED0D9A">
              <w:rPr>
                <w:noProof/>
                <w:webHidden/>
              </w:rPr>
            </w:r>
            <w:r w:rsidR="00ED0D9A">
              <w:rPr>
                <w:noProof/>
                <w:webHidden/>
              </w:rPr>
              <w:fldChar w:fldCharType="separate"/>
            </w:r>
            <w:r w:rsidR="00ED0D9A">
              <w:rPr>
                <w:noProof/>
                <w:webHidden/>
              </w:rPr>
              <w:t>6</w:t>
            </w:r>
            <w:r w:rsidR="00ED0D9A">
              <w:rPr>
                <w:noProof/>
                <w:webHidden/>
              </w:rPr>
              <w:fldChar w:fldCharType="end"/>
            </w:r>
          </w:hyperlink>
        </w:p>
        <w:p w14:paraId="411E0B56" w14:textId="4B019EF9" w:rsidR="00ED0D9A" w:rsidRDefault="007B60A3">
          <w:pPr>
            <w:pStyle w:val="TOC3"/>
            <w:rPr>
              <w:noProof/>
              <w:lang w:eastAsia="en-GB"/>
            </w:rPr>
          </w:pPr>
          <w:hyperlink w:anchor="_Toc110341275" w:history="1">
            <w:r w:rsidR="00ED0D9A" w:rsidRPr="006F7C7B">
              <w:rPr>
                <w:rStyle w:val="Hyperlink"/>
                <w:rFonts w:ascii="Arial" w:hAnsi="Arial" w:cs="Arial"/>
                <w:b/>
                <w:noProof/>
              </w:rPr>
              <w:t>1.2.3 Characteristics of species reported in the UK</w:t>
            </w:r>
            <w:r w:rsidR="00ED0D9A">
              <w:rPr>
                <w:noProof/>
                <w:webHidden/>
              </w:rPr>
              <w:tab/>
            </w:r>
            <w:r w:rsidR="00ED0D9A">
              <w:rPr>
                <w:noProof/>
                <w:webHidden/>
              </w:rPr>
              <w:fldChar w:fldCharType="begin"/>
            </w:r>
            <w:r w:rsidR="00ED0D9A">
              <w:rPr>
                <w:noProof/>
                <w:webHidden/>
              </w:rPr>
              <w:instrText xml:space="preserve"> PAGEREF _Toc110341275 \h </w:instrText>
            </w:r>
            <w:r w:rsidR="00ED0D9A">
              <w:rPr>
                <w:noProof/>
                <w:webHidden/>
              </w:rPr>
            </w:r>
            <w:r w:rsidR="00ED0D9A">
              <w:rPr>
                <w:noProof/>
                <w:webHidden/>
              </w:rPr>
              <w:fldChar w:fldCharType="separate"/>
            </w:r>
            <w:r w:rsidR="00ED0D9A">
              <w:rPr>
                <w:noProof/>
                <w:webHidden/>
              </w:rPr>
              <w:t>7</w:t>
            </w:r>
            <w:r w:rsidR="00ED0D9A">
              <w:rPr>
                <w:noProof/>
                <w:webHidden/>
              </w:rPr>
              <w:fldChar w:fldCharType="end"/>
            </w:r>
          </w:hyperlink>
        </w:p>
        <w:p w14:paraId="38A5B304" w14:textId="1ED71EEB" w:rsidR="00ED0D9A" w:rsidRDefault="007B60A3">
          <w:pPr>
            <w:pStyle w:val="TOC3"/>
            <w:rPr>
              <w:noProof/>
              <w:lang w:eastAsia="en-GB"/>
            </w:rPr>
          </w:pPr>
          <w:hyperlink w:anchor="_Toc110341276" w:history="1">
            <w:r w:rsidR="00ED0D9A" w:rsidRPr="006F7C7B">
              <w:rPr>
                <w:rStyle w:val="Hyperlink"/>
                <w:rFonts w:ascii="Arial" w:eastAsia="Calibri" w:hAnsi="Arial" w:cs="Arial"/>
                <w:b/>
                <w:noProof/>
              </w:rPr>
              <w:t>.1.2.4 Life cycle</w:t>
            </w:r>
            <w:r w:rsidR="00ED0D9A">
              <w:rPr>
                <w:noProof/>
                <w:webHidden/>
              </w:rPr>
              <w:tab/>
            </w:r>
            <w:r w:rsidR="00ED0D9A">
              <w:rPr>
                <w:noProof/>
                <w:webHidden/>
              </w:rPr>
              <w:fldChar w:fldCharType="begin"/>
            </w:r>
            <w:r w:rsidR="00ED0D9A">
              <w:rPr>
                <w:noProof/>
                <w:webHidden/>
              </w:rPr>
              <w:instrText xml:space="preserve"> PAGEREF _Toc110341276 \h </w:instrText>
            </w:r>
            <w:r w:rsidR="00ED0D9A">
              <w:rPr>
                <w:noProof/>
                <w:webHidden/>
              </w:rPr>
            </w:r>
            <w:r w:rsidR="00ED0D9A">
              <w:rPr>
                <w:noProof/>
                <w:webHidden/>
              </w:rPr>
              <w:fldChar w:fldCharType="separate"/>
            </w:r>
            <w:r w:rsidR="00ED0D9A">
              <w:rPr>
                <w:noProof/>
                <w:webHidden/>
              </w:rPr>
              <w:t>9</w:t>
            </w:r>
            <w:r w:rsidR="00ED0D9A">
              <w:rPr>
                <w:noProof/>
                <w:webHidden/>
              </w:rPr>
              <w:fldChar w:fldCharType="end"/>
            </w:r>
          </w:hyperlink>
        </w:p>
        <w:p w14:paraId="47D172F3" w14:textId="35165D69" w:rsidR="00ED0D9A" w:rsidRDefault="007B60A3">
          <w:pPr>
            <w:pStyle w:val="TOC3"/>
            <w:rPr>
              <w:noProof/>
              <w:lang w:eastAsia="en-GB"/>
            </w:rPr>
          </w:pPr>
          <w:hyperlink w:anchor="_Toc110341277" w:history="1">
            <w:r w:rsidR="00ED0D9A" w:rsidRPr="006F7C7B">
              <w:rPr>
                <w:rStyle w:val="Hyperlink"/>
                <w:rFonts w:ascii="Arial" w:eastAsia="Calibri" w:hAnsi="Arial" w:cs="Arial"/>
                <w:b/>
                <w:noProof/>
              </w:rPr>
              <w:t>1.2.5 Ecology, Survival and damage</w:t>
            </w:r>
            <w:r w:rsidR="00ED0D9A">
              <w:rPr>
                <w:noProof/>
                <w:webHidden/>
              </w:rPr>
              <w:tab/>
            </w:r>
            <w:r w:rsidR="00ED0D9A">
              <w:rPr>
                <w:noProof/>
                <w:webHidden/>
              </w:rPr>
              <w:fldChar w:fldCharType="begin"/>
            </w:r>
            <w:r w:rsidR="00ED0D9A">
              <w:rPr>
                <w:noProof/>
                <w:webHidden/>
              </w:rPr>
              <w:instrText xml:space="preserve"> PAGEREF _Toc110341277 \h </w:instrText>
            </w:r>
            <w:r w:rsidR="00ED0D9A">
              <w:rPr>
                <w:noProof/>
                <w:webHidden/>
              </w:rPr>
            </w:r>
            <w:r w:rsidR="00ED0D9A">
              <w:rPr>
                <w:noProof/>
                <w:webHidden/>
              </w:rPr>
              <w:fldChar w:fldCharType="separate"/>
            </w:r>
            <w:r w:rsidR="00ED0D9A">
              <w:rPr>
                <w:noProof/>
                <w:webHidden/>
              </w:rPr>
              <w:t>11</w:t>
            </w:r>
            <w:r w:rsidR="00ED0D9A">
              <w:rPr>
                <w:noProof/>
                <w:webHidden/>
              </w:rPr>
              <w:fldChar w:fldCharType="end"/>
            </w:r>
          </w:hyperlink>
        </w:p>
        <w:p w14:paraId="4933AD97" w14:textId="410B089A" w:rsidR="00ED0D9A" w:rsidRDefault="007B60A3">
          <w:pPr>
            <w:pStyle w:val="TOC3"/>
            <w:rPr>
              <w:noProof/>
              <w:lang w:eastAsia="en-GB"/>
            </w:rPr>
          </w:pPr>
          <w:hyperlink w:anchor="_Toc110341278" w:history="1">
            <w:r w:rsidR="00ED0D9A" w:rsidRPr="006F7C7B">
              <w:rPr>
                <w:rStyle w:val="Hyperlink"/>
                <w:rFonts w:ascii="Arial" w:eastAsia="Calibri" w:hAnsi="Arial" w:cs="Arial"/>
                <w:b/>
                <w:noProof/>
              </w:rPr>
              <w:t>1.2.6. Host range</w:t>
            </w:r>
            <w:r w:rsidR="00ED0D9A">
              <w:rPr>
                <w:noProof/>
                <w:webHidden/>
              </w:rPr>
              <w:tab/>
            </w:r>
            <w:r w:rsidR="00ED0D9A">
              <w:rPr>
                <w:noProof/>
                <w:webHidden/>
              </w:rPr>
              <w:fldChar w:fldCharType="begin"/>
            </w:r>
            <w:r w:rsidR="00ED0D9A">
              <w:rPr>
                <w:noProof/>
                <w:webHidden/>
              </w:rPr>
              <w:instrText xml:space="preserve"> PAGEREF _Toc110341278 \h </w:instrText>
            </w:r>
            <w:r w:rsidR="00ED0D9A">
              <w:rPr>
                <w:noProof/>
                <w:webHidden/>
              </w:rPr>
            </w:r>
            <w:r w:rsidR="00ED0D9A">
              <w:rPr>
                <w:noProof/>
                <w:webHidden/>
              </w:rPr>
              <w:fldChar w:fldCharType="separate"/>
            </w:r>
            <w:r w:rsidR="00ED0D9A">
              <w:rPr>
                <w:noProof/>
                <w:webHidden/>
              </w:rPr>
              <w:t>15</w:t>
            </w:r>
            <w:r w:rsidR="00ED0D9A">
              <w:rPr>
                <w:noProof/>
                <w:webHidden/>
              </w:rPr>
              <w:fldChar w:fldCharType="end"/>
            </w:r>
          </w:hyperlink>
        </w:p>
        <w:p w14:paraId="5E976779" w14:textId="1DE0C700" w:rsidR="00ED0D9A" w:rsidRDefault="007B60A3">
          <w:pPr>
            <w:pStyle w:val="TOC3"/>
            <w:rPr>
              <w:noProof/>
              <w:lang w:eastAsia="en-GB"/>
            </w:rPr>
          </w:pPr>
          <w:hyperlink w:anchor="_Toc110341279" w:history="1">
            <w:r w:rsidR="00ED0D9A" w:rsidRPr="006F7C7B">
              <w:rPr>
                <w:rStyle w:val="Hyperlink"/>
                <w:rFonts w:ascii="Arial" w:eastAsia="Calibri" w:hAnsi="Arial" w:cs="Arial"/>
                <w:b/>
                <w:noProof/>
              </w:rPr>
              <w:t>1.2.7 Damage and symptoms to host crops</w:t>
            </w:r>
            <w:r w:rsidR="00ED0D9A">
              <w:rPr>
                <w:noProof/>
                <w:webHidden/>
              </w:rPr>
              <w:tab/>
            </w:r>
            <w:r w:rsidR="00ED0D9A">
              <w:rPr>
                <w:noProof/>
                <w:webHidden/>
              </w:rPr>
              <w:fldChar w:fldCharType="begin"/>
            </w:r>
            <w:r w:rsidR="00ED0D9A">
              <w:rPr>
                <w:noProof/>
                <w:webHidden/>
              </w:rPr>
              <w:instrText xml:space="preserve"> PAGEREF _Toc110341279 \h </w:instrText>
            </w:r>
            <w:r w:rsidR="00ED0D9A">
              <w:rPr>
                <w:noProof/>
                <w:webHidden/>
              </w:rPr>
            </w:r>
            <w:r w:rsidR="00ED0D9A">
              <w:rPr>
                <w:noProof/>
                <w:webHidden/>
              </w:rPr>
              <w:fldChar w:fldCharType="separate"/>
            </w:r>
            <w:r w:rsidR="00ED0D9A">
              <w:rPr>
                <w:noProof/>
                <w:webHidden/>
              </w:rPr>
              <w:t>19</w:t>
            </w:r>
            <w:r w:rsidR="00ED0D9A">
              <w:rPr>
                <w:noProof/>
                <w:webHidden/>
              </w:rPr>
              <w:fldChar w:fldCharType="end"/>
            </w:r>
          </w:hyperlink>
        </w:p>
        <w:p w14:paraId="71698331" w14:textId="2730ADCB" w:rsidR="00ED0D9A" w:rsidRDefault="007B60A3">
          <w:pPr>
            <w:pStyle w:val="TOC3"/>
            <w:rPr>
              <w:noProof/>
              <w:lang w:eastAsia="en-GB"/>
            </w:rPr>
          </w:pPr>
          <w:hyperlink w:anchor="_Toc110341280" w:history="1">
            <w:r w:rsidR="00ED0D9A" w:rsidRPr="006F7C7B">
              <w:rPr>
                <w:rStyle w:val="Hyperlink"/>
                <w:rFonts w:ascii="Arial" w:eastAsia="Calibri" w:hAnsi="Arial" w:cs="Arial"/>
                <w:b/>
                <w:noProof/>
              </w:rPr>
              <w:t>1.2.8 Docking disorder in sugar beet</w:t>
            </w:r>
            <w:r w:rsidR="00ED0D9A">
              <w:rPr>
                <w:noProof/>
                <w:webHidden/>
              </w:rPr>
              <w:tab/>
            </w:r>
            <w:r w:rsidR="00ED0D9A">
              <w:rPr>
                <w:noProof/>
                <w:webHidden/>
              </w:rPr>
              <w:fldChar w:fldCharType="begin"/>
            </w:r>
            <w:r w:rsidR="00ED0D9A">
              <w:rPr>
                <w:noProof/>
                <w:webHidden/>
              </w:rPr>
              <w:instrText xml:space="preserve"> PAGEREF _Toc110341280 \h </w:instrText>
            </w:r>
            <w:r w:rsidR="00ED0D9A">
              <w:rPr>
                <w:noProof/>
                <w:webHidden/>
              </w:rPr>
            </w:r>
            <w:r w:rsidR="00ED0D9A">
              <w:rPr>
                <w:noProof/>
                <w:webHidden/>
              </w:rPr>
              <w:fldChar w:fldCharType="separate"/>
            </w:r>
            <w:r w:rsidR="00ED0D9A">
              <w:rPr>
                <w:noProof/>
                <w:webHidden/>
              </w:rPr>
              <w:t>21</w:t>
            </w:r>
            <w:r w:rsidR="00ED0D9A">
              <w:rPr>
                <w:noProof/>
                <w:webHidden/>
              </w:rPr>
              <w:fldChar w:fldCharType="end"/>
            </w:r>
          </w:hyperlink>
        </w:p>
        <w:p w14:paraId="77DAE0C3" w14:textId="4B8B8B3D" w:rsidR="00ED0D9A" w:rsidRDefault="007B60A3">
          <w:pPr>
            <w:pStyle w:val="TOC2"/>
            <w:tabs>
              <w:tab w:val="right" w:leader="dot" w:pos="9016"/>
            </w:tabs>
            <w:rPr>
              <w:noProof/>
              <w:lang w:eastAsia="en-GB"/>
            </w:rPr>
          </w:pPr>
          <w:hyperlink w:anchor="_Toc110341281" w:history="1">
            <w:r w:rsidR="00ED0D9A" w:rsidRPr="006F7C7B">
              <w:rPr>
                <w:rStyle w:val="Hyperlink"/>
                <w:rFonts w:ascii="Arial" w:eastAsia="Calibri" w:hAnsi="Arial" w:cs="Arial"/>
                <w:noProof/>
              </w:rPr>
              <w:t xml:space="preserve">. </w:t>
            </w:r>
            <w:r w:rsidR="00ED0D9A" w:rsidRPr="006F7C7B">
              <w:rPr>
                <w:rStyle w:val="Hyperlink"/>
                <w:rFonts w:ascii="Arial" w:hAnsi="Arial" w:cs="Arial"/>
                <w:b/>
                <w:noProof/>
              </w:rPr>
              <w:t>1.3 Management options for Stubby root nematodes</w:t>
            </w:r>
            <w:r w:rsidR="00ED0D9A">
              <w:rPr>
                <w:noProof/>
                <w:webHidden/>
              </w:rPr>
              <w:tab/>
            </w:r>
            <w:r w:rsidR="00ED0D9A">
              <w:rPr>
                <w:noProof/>
                <w:webHidden/>
              </w:rPr>
              <w:fldChar w:fldCharType="begin"/>
            </w:r>
            <w:r w:rsidR="00ED0D9A">
              <w:rPr>
                <w:noProof/>
                <w:webHidden/>
              </w:rPr>
              <w:instrText xml:space="preserve"> PAGEREF _Toc110341281 \h </w:instrText>
            </w:r>
            <w:r w:rsidR="00ED0D9A">
              <w:rPr>
                <w:noProof/>
                <w:webHidden/>
              </w:rPr>
            </w:r>
            <w:r w:rsidR="00ED0D9A">
              <w:rPr>
                <w:noProof/>
                <w:webHidden/>
              </w:rPr>
              <w:fldChar w:fldCharType="separate"/>
            </w:r>
            <w:r w:rsidR="00ED0D9A">
              <w:rPr>
                <w:noProof/>
                <w:webHidden/>
              </w:rPr>
              <w:t>23</w:t>
            </w:r>
            <w:r w:rsidR="00ED0D9A">
              <w:rPr>
                <w:noProof/>
                <w:webHidden/>
              </w:rPr>
              <w:fldChar w:fldCharType="end"/>
            </w:r>
          </w:hyperlink>
        </w:p>
        <w:p w14:paraId="22EDA3AF" w14:textId="79C85436" w:rsidR="00ED0D9A" w:rsidRDefault="007B60A3">
          <w:pPr>
            <w:pStyle w:val="TOC2"/>
            <w:tabs>
              <w:tab w:val="right" w:leader="dot" w:pos="9016"/>
            </w:tabs>
            <w:rPr>
              <w:noProof/>
              <w:lang w:eastAsia="en-GB"/>
            </w:rPr>
          </w:pPr>
          <w:hyperlink w:anchor="_Toc110341282" w:history="1">
            <w:r w:rsidR="00ED0D9A" w:rsidRPr="006F7C7B">
              <w:rPr>
                <w:rStyle w:val="Hyperlink"/>
                <w:rFonts w:ascii="Arial" w:hAnsi="Arial" w:cs="Arial"/>
                <w:b/>
                <w:noProof/>
              </w:rPr>
              <w:t>1.3.1 Introduction</w:t>
            </w:r>
            <w:r w:rsidR="00ED0D9A">
              <w:rPr>
                <w:noProof/>
                <w:webHidden/>
              </w:rPr>
              <w:tab/>
            </w:r>
            <w:r w:rsidR="00ED0D9A">
              <w:rPr>
                <w:noProof/>
                <w:webHidden/>
              </w:rPr>
              <w:fldChar w:fldCharType="begin"/>
            </w:r>
            <w:r w:rsidR="00ED0D9A">
              <w:rPr>
                <w:noProof/>
                <w:webHidden/>
              </w:rPr>
              <w:instrText xml:space="preserve"> PAGEREF _Toc110341282 \h </w:instrText>
            </w:r>
            <w:r w:rsidR="00ED0D9A">
              <w:rPr>
                <w:noProof/>
                <w:webHidden/>
              </w:rPr>
            </w:r>
            <w:r w:rsidR="00ED0D9A">
              <w:rPr>
                <w:noProof/>
                <w:webHidden/>
              </w:rPr>
              <w:fldChar w:fldCharType="separate"/>
            </w:r>
            <w:r w:rsidR="00ED0D9A">
              <w:rPr>
                <w:noProof/>
                <w:webHidden/>
              </w:rPr>
              <w:t>23</w:t>
            </w:r>
            <w:r w:rsidR="00ED0D9A">
              <w:rPr>
                <w:noProof/>
                <w:webHidden/>
              </w:rPr>
              <w:fldChar w:fldCharType="end"/>
            </w:r>
          </w:hyperlink>
        </w:p>
        <w:p w14:paraId="11AD3A62" w14:textId="593FFC0C" w:rsidR="00ED0D9A" w:rsidRDefault="007B60A3">
          <w:pPr>
            <w:pStyle w:val="TOC3"/>
            <w:rPr>
              <w:noProof/>
              <w:lang w:eastAsia="en-GB"/>
            </w:rPr>
          </w:pPr>
          <w:hyperlink w:anchor="_Toc110341283" w:history="1">
            <w:r w:rsidR="00ED0D9A" w:rsidRPr="006F7C7B">
              <w:rPr>
                <w:rStyle w:val="Hyperlink"/>
                <w:rFonts w:ascii="Arial" w:eastAsia="Times New Roman" w:hAnsi="Arial" w:cs="Arial"/>
                <w:b/>
                <w:bCs/>
                <w:noProof/>
                <w:lang w:val="en-US"/>
              </w:rPr>
              <w:t>1.3.2 Use of cover crops for the suppression of plant parasitic nematodes (PPN)</w:t>
            </w:r>
            <w:r w:rsidR="00ED0D9A">
              <w:rPr>
                <w:noProof/>
                <w:webHidden/>
              </w:rPr>
              <w:tab/>
            </w:r>
            <w:r w:rsidR="00ED0D9A">
              <w:rPr>
                <w:noProof/>
                <w:webHidden/>
              </w:rPr>
              <w:fldChar w:fldCharType="begin"/>
            </w:r>
            <w:r w:rsidR="00ED0D9A">
              <w:rPr>
                <w:noProof/>
                <w:webHidden/>
              </w:rPr>
              <w:instrText xml:space="preserve"> PAGEREF _Toc110341283 \h </w:instrText>
            </w:r>
            <w:r w:rsidR="00ED0D9A">
              <w:rPr>
                <w:noProof/>
                <w:webHidden/>
              </w:rPr>
            </w:r>
            <w:r w:rsidR="00ED0D9A">
              <w:rPr>
                <w:noProof/>
                <w:webHidden/>
              </w:rPr>
              <w:fldChar w:fldCharType="separate"/>
            </w:r>
            <w:r w:rsidR="00ED0D9A">
              <w:rPr>
                <w:noProof/>
                <w:webHidden/>
              </w:rPr>
              <w:t>26</w:t>
            </w:r>
            <w:r w:rsidR="00ED0D9A">
              <w:rPr>
                <w:noProof/>
                <w:webHidden/>
              </w:rPr>
              <w:fldChar w:fldCharType="end"/>
            </w:r>
          </w:hyperlink>
        </w:p>
        <w:p w14:paraId="3DA571DB" w14:textId="2B1ADCD0" w:rsidR="00ED0D9A" w:rsidRDefault="007B60A3">
          <w:pPr>
            <w:pStyle w:val="TOC3"/>
            <w:rPr>
              <w:noProof/>
              <w:lang w:eastAsia="en-GB"/>
            </w:rPr>
          </w:pPr>
          <w:hyperlink w:anchor="_Toc110341284" w:history="1">
            <w:r w:rsidR="00ED0D9A" w:rsidRPr="006F7C7B">
              <w:rPr>
                <w:rStyle w:val="Hyperlink"/>
                <w:rFonts w:ascii="Arial" w:eastAsia="Times New Roman" w:hAnsi="Arial" w:cs="Arial"/>
                <w:b/>
                <w:noProof/>
              </w:rPr>
              <w:t xml:space="preserve">1.3.3 </w:t>
            </w:r>
            <w:r w:rsidR="00ED0D9A" w:rsidRPr="006F7C7B">
              <w:rPr>
                <w:rStyle w:val="Hyperlink"/>
                <w:rFonts w:ascii="Arial" w:hAnsi="Arial" w:cs="Arial"/>
                <w:b/>
                <w:bCs/>
                <w:iCs/>
                <w:noProof/>
              </w:rPr>
              <w:t>The use of brassicaceous crops for the PPN management</w:t>
            </w:r>
            <w:r w:rsidR="00ED0D9A">
              <w:rPr>
                <w:noProof/>
                <w:webHidden/>
              </w:rPr>
              <w:tab/>
            </w:r>
            <w:r w:rsidR="00ED0D9A">
              <w:rPr>
                <w:noProof/>
                <w:webHidden/>
              </w:rPr>
              <w:fldChar w:fldCharType="begin"/>
            </w:r>
            <w:r w:rsidR="00ED0D9A">
              <w:rPr>
                <w:noProof/>
                <w:webHidden/>
              </w:rPr>
              <w:instrText xml:space="preserve"> PAGEREF _Toc110341284 \h </w:instrText>
            </w:r>
            <w:r w:rsidR="00ED0D9A">
              <w:rPr>
                <w:noProof/>
                <w:webHidden/>
              </w:rPr>
            </w:r>
            <w:r w:rsidR="00ED0D9A">
              <w:rPr>
                <w:noProof/>
                <w:webHidden/>
              </w:rPr>
              <w:fldChar w:fldCharType="separate"/>
            </w:r>
            <w:r w:rsidR="00ED0D9A">
              <w:rPr>
                <w:noProof/>
                <w:webHidden/>
              </w:rPr>
              <w:t>28</w:t>
            </w:r>
            <w:r w:rsidR="00ED0D9A">
              <w:rPr>
                <w:noProof/>
                <w:webHidden/>
              </w:rPr>
              <w:fldChar w:fldCharType="end"/>
            </w:r>
          </w:hyperlink>
        </w:p>
        <w:p w14:paraId="0F0DB780" w14:textId="2E1D2E07" w:rsidR="00ED0D9A" w:rsidRDefault="007B60A3">
          <w:pPr>
            <w:pStyle w:val="TOC3"/>
            <w:rPr>
              <w:noProof/>
              <w:lang w:eastAsia="en-GB"/>
            </w:rPr>
          </w:pPr>
          <w:hyperlink w:anchor="_Toc110341285" w:history="1">
            <w:r w:rsidR="00ED0D9A" w:rsidRPr="006F7C7B">
              <w:rPr>
                <w:rStyle w:val="Hyperlink"/>
                <w:rFonts w:ascii="Arial" w:hAnsi="Arial" w:cs="Arial"/>
                <w:b/>
                <w:noProof/>
              </w:rPr>
              <w:t>1.3.4 Allelopathic plant species</w:t>
            </w:r>
            <w:r w:rsidR="00ED0D9A">
              <w:rPr>
                <w:noProof/>
                <w:webHidden/>
              </w:rPr>
              <w:tab/>
            </w:r>
            <w:r w:rsidR="00ED0D9A">
              <w:rPr>
                <w:noProof/>
                <w:webHidden/>
              </w:rPr>
              <w:fldChar w:fldCharType="begin"/>
            </w:r>
            <w:r w:rsidR="00ED0D9A">
              <w:rPr>
                <w:noProof/>
                <w:webHidden/>
              </w:rPr>
              <w:instrText xml:space="preserve"> PAGEREF _Toc110341285 \h </w:instrText>
            </w:r>
            <w:r w:rsidR="00ED0D9A">
              <w:rPr>
                <w:noProof/>
                <w:webHidden/>
              </w:rPr>
            </w:r>
            <w:r w:rsidR="00ED0D9A">
              <w:rPr>
                <w:noProof/>
                <w:webHidden/>
              </w:rPr>
              <w:fldChar w:fldCharType="separate"/>
            </w:r>
            <w:r w:rsidR="00ED0D9A">
              <w:rPr>
                <w:noProof/>
                <w:webHidden/>
              </w:rPr>
              <w:t>44</w:t>
            </w:r>
            <w:r w:rsidR="00ED0D9A">
              <w:rPr>
                <w:noProof/>
                <w:webHidden/>
              </w:rPr>
              <w:fldChar w:fldCharType="end"/>
            </w:r>
          </w:hyperlink>
        </w:p>
        <w:p w14:paraId="1C457448" w14:textId="7FFF68F3" w:rsidR="00ED0D9A" w:rsidRDefault="007B60A3">
          <w:pPr>
            <w:pStyle w:val="TOC3"/>
            <w:rPr>
              <w:noProof/>
              <w:lang w:eastAsia="en-GB"/>
            </w:rPr>
          </w:pPr>
          <w:hyperlink w:anchor="_Toc110341286" w:history="1">
            <w:r w:rsidR="00ED0D9A" w:rsidRPr="006F7C7B">
              <w:rPr>
                <w:rStyle w:val="Hyperlink"/>
                <w:rFonts w:ascii="Arial" w:hAnsi="Arial" w:cs="Arial"/>
                <w:b/>
                <w:noProof/>
              </w:rPr>
              <w:t>1.3.5 Fungal endophytes in PPN management</w:t>
            </w:r>
            <w:r w:rsidR="00ED0D9A">
              <w:rPr>
                <w:noProof/>
                <w:webHidden/>
              </w:rPr>
              <w:tab/>
            </w:r>
            <w:r w:rsidR="00ED0D9A">
              <w:rPr>
                <w:noProof/>
                <w:webHidden/>
              </w:rPr>
              <w:fldChar w:fldCharType="begin"/>
            </w:r>
            <w:r w:rsidR="00ED0D9A">
              <w:rPr>
                <w:noProof/>
                <w:webHidden/>
              </w:rPr>
              <w:instrText xml:space="preserve"> PAGEREF _Toc110341286 \h </w:instrText>
            </w:r>
            <w:r w:rsidR="00ED0D9A">
              <w:rPr>
                <w:noProof/>
                <w:webHidden/>
              </w:rPr>
            </w:r>
            <w:r w:rsidR="00ED0D9A">
              <w:rPr>
                <w:noProof/>
                <w:webHidden/>
              </w:rPr>
              <w:fldChar w:fldCharType="separate"/>
            </w:r>
            <w:r w:rsidR="00ED0D9A">
              <w:rPr>
                <w:noProof/>
                <w:webHidden/>
              </w:rPr>
              <w:t>50</w:t>
            </w:r>
            <w:r w:rsidR="00ED0D9A">
              <w:rPr>
                <w:noProof/>
                <w:webHidden/>
              </w:rPr>
              <w:fldChar w:fldCharType="end"/>
            </w:r>
          </w:hyperlink>
        </w:p>
        <w:p w14:paraId="2F8AAC46" w14:textId="696D82AE" w:rsidR="00ED0D9A" w:rsidRDefault="007B60A3">
          <w:pPr>
            <w:pStyle w:val="TOC2"/>
            <w:tabs>
              <w:tab w:val="right" w:leader="dot" w:pos="9016"/>
            </w:tabs>
            <w:rPr>
              <w:noProof/>
              <w:lang w:eastAsia="en-GB"/>
            </w:rPr>
          </w:pPr>
          <w:hyperlink w:anchor="_Toc110341287" w:history="1">
            <w:r w:rsidR="00ED0D9A" w:rsidRPr="006F7C7B">
              <w:rPr>
                <w:rStyle w:val="Hyperlink"/>
                <w:rFonts w:ascii="Arial" w:hAnsi="Arial" w:cs="Arial"/>
                <w:b/>
                <w:noProof/>
              </w:rPr>
              <w:t>1.4 Conclusion</w:t>
            </w:r>
            <w:r w:rsidR="00ED0D9A">
              <w:rPr>
                <w:noProof/>
                <w:webHidden/>
              </w:rPr>
              <w:tab/>
            </w:r>
            <w:r w:rsidR="00ED0D9A">
              <w:rPr>
                <w:noProof/>
                <w:webHidden/>
              </w:rPr>
              <w:fldChar w:fldCharType="begin"/>
            </w:r>
            <w:r w:rsidR="00ED0D9A">
              <w:rPr>
                <w:noProof/>
                <w:webHidden/>
              </w:rPr>
              <w:instrText xml:space="preserve"> PAGEREF _Toc110341287 \h </w:instrText>
            </w:r>
            <w:r w:rsidR="00ED0D9A">
              <w:rPr>
                <w:noProof/>
                <w:webHidden/>
              </w:rPr>
            </w:r>
            <w:r w:rsidR="00ED0D9A">
              <w:rPr>
                <w:noProof/>
                <w:webHidden/>
              </w:rPr>
              <w:fldChar w:fldCharType="separate"/>
            </w:r>
            <w:r w:rsidR="00ED0D9A">
              <w:rPr>
                <w:noProof/>
                <w:webHidden/>
              </w:rPr>
              <w:t>53</w:t>
            </w:r>
            <w:r w:rsidR="00ED0D9A">
              <w:rPr>
                <w:noProof/>
                <w:webHidden/>
              </w:rPr>
              <w:fldChar w:fldCharType="end"/>
            </w:r>
          </w:hyperlink>
        </w:p>
        <w:p w14:paraId="75FFC328" w14:textId="1D447031" w:rsidR="00ED0D9A" w:rsidRDefault="007B60A3">
          <w:pPr>
            <w:pStyle w:val="TOC1"/>
            <w:tabs>
              <w:tab w:val="right" w:leader="dot" w:pos="9016"/>
            </w:tabs>
            <w:rPr>
              <w:noProof/>
              <w:lang w:eastAsia="en-GB"/>
            </w:rPr>
          </w:pPr>
          <w:hyperlink w:anchor="_Toc110341288" w:history="1">
            <w:r w:rsidR="00ED0D9A" w:rsidRPr="006F7C7B">
              <w:rPr>
                <w:rStyle w:val="Hyperlink"/>
                <w:rFonts w:ascii="Arial" w:hAnsi="Arial" w:cs="Arial"/>
                <w:b/>
                <w:noProof/>
              </w:rPr>
              <w:t>2. Data and methods</w:t>
            </w:r>
            <w:r w:rsidR="00ED0D9A">
              <w:rPr>
                <w:noProof/>
                <w:webHidden/>
              </w:rPr>
              <w:tab/>
            </w:r>
            <w:r w:rsidR="00ED0D9A">
              <w:rPr>
                <w:noProof/>
                <w:webHidden/>
              </w:rPr>
              <w:fldChar w:fldCharType="begin"/>
            </w:r>
            <w:r w:rsidR="00ED0D9A">
              <w:rPr>
                <w:noProof/>
                <w:webHidden/>
              </w:rPr>
              <w:instrText xml:space="preserve"> PAGEREF _Toc110341288 \h </w:instrText>
            </w:r>
            <w:r w:rsidR="00ED0D9A">
              <w:rPr>
                <w:noProof/>
                <w:webHidden/>
              </w:rPr>
            </w:r>
            <w:r w:rsidR="00ED0D9A">
              <w:rPr>
                <w:noProof/>
                <w:webHidden/>
              </w:rPr>
              <w:fldChar w:fldCharType="separate"/>
            </w:r>
            <w:r w:rsidR="00ED0D9A">
              <w:rPr>
                <w:noProof/>
                <w:webHidden/>
              </w:rPr>
              <w:t>54</w:t>
            </w:r>
            <w:r w:rsidR="00ED0D9A">
              <w:rPr>
                <w:noProof/>
                <w:webHidden/>
              </w:rPr>
              <w:fldChar w:fldCharType="end"/>
            </w:r>
          </w:hyperlink>
        </w:p>
        <w:p w14:paraId="6FEECB8A" w14:textId="2C417B1E" w:rsidR="00ED0D9A" w:rsidRDefault="007B60A3">
          <w:pPr>
            <w:pStyle w:val="TOC2"/>
            <w:tabs>
              <w:tab w:val="right" w:leader="dot" w:pos="9016"/>
            </w:tabs>
            <w:rPr>
              <w:noProof/>
              <w:lang w:eastAsia="en-GB"/>
            </w:rPr>
          </w:pPr>
          <w:hyperlink w:anchor="_Toc110341289" w:history="1">
            <w:r w:rsidR="00ED0D9A" w:rsidRPr="006F7C7B">
              <w:rPr>
                <w:rStyle w:val="Hyperlink"/>
                <w:rFonts w:ascii="Arial" w:hAnsi="Arial" w:cs="Arial"/>
                <w:b/>
                <w:noProof/>
              </w:rPr>
              <w:t>2.0 Introduction to data and methods</w:t>
            </w:r>
            <w:r w:rsidR="00ED0D9A">
              <w:rPr>
                <w:noProof/>
                <w:webHidden/>
              </w:rPr>
              <w:tab/>
            </w:r>
            <w:r w:rsidR="00ED0D9A">
              <w:rPr>
                <w:noProof/>
                <w:webHidden/>
              </w:rPr>
              <w:fldChar w:fldCharType="begin"/>
            </w:r>
            <w:r w:rsidR="00ED0D9A">
              <w:rPr>
                <w:noProof/>
                <w:webHidden/>
              </w:rPr>
              <w:instrText xml:space="preserve"> PAGEREF _Toc110341289 \h </w:instrText>
            </w:r>
            <w:r w:rsidR="00ED0D9A">
              <w:rPr>
                <w:noProof/>
                <w:webHidden/>
              </w:rPr>
            </w:r>
            <w:r w:rsidR="00ED0D9A">
              <w:rPr>
                <w:noProof/>
                <w:webHidden/>
              </w:rPr>
              <w:fldChar w:fldCharType="separate"/>
            </w:r>
            <w:r w:rsidR="00ED0D9A">
              <w:rPr>
                <w:noProof/>
                <w:webHidden/>
              </w:rPr>
              <w:t>54</w:t>
            </w:r>
            <w:r w:rsidR="00ED0D9A">
              <w:rPr>
                <w:noProof/>
                <w:webHidden/>
              </w:rPr>
              <w:fldChar w:fldCharType="end"/>
            </w:r>
          </w:hyperlink>
        </w:p>
        <w:p w14:paraId="370370A2" w14:textId="542DEC22" w:rsidR="00ED0D9A" w:rsidRDefault="007B60A3">
          <w:pPr>
            <w:pStyle w:val="TOC2"/>
            <w:tabs>
              <w:tab w:val="right" w:leader="dot" w:pos="9016"/>
            </w:tabs>
            <w:rPr>
              <w:noProof/>
              <w:lang w:eastAsia="en-GB"/>
            </w:rPr>
          </w:pPr>
          <w:hyperlink w:anchor="_Toc110341290" w:history="1">
            <w:r w:rsidR="00ED0D9A" w:rsidRPr="006F7C7B">
              <w:rPr>
                <w:rStyle w:val="Hyperlink"/>
                <w:rFonts w:ascii="Arial" w:hAnsi="Arial" w:cs="Arial"/>
                <w:b/>
                <w:noProof/>
              </w:rPr>
              <w:t xml:space="preserve">2.1 Experiment 1: </w:t>
            </w:r>
            <w:r w:rsidR="00ED0D9A" w:rsidRPr="006F7C7B">
              <w:rPr>
                <w:rStyle w:val="Hyperlink"/>
                <w:rFonts w:ascii="Arial" w:eastAsia="Times New Roman" w:hAnsi="Arial" w:cs="Arial"/>
                <w:b/>
                <w:noProof/>
              </w:rPr>
              <w:t>Selection of nematode extraction method</w:t>
            </w:r>
            <w:r w:rsidR="00ED0D9A">
              <w:rPr>
                <w:noProof/>
                <w:webHidden/>
              </w:rPr>
              <w:tab/>
            </w:r>
            <w:r w:rsidR="00ED0D9A">
              <w:rPr>
                <w:noProof/>
                <w:webHidden/>
              </w:rPr>
              <w:fldChar w:fldCharType="begin"/>
            </w:r>
            <w:r w:rsidR="00ED0D9A">
              <w:rPr>
                <w:noProof/>
                <w:webHidden/>
              </w:rPr>
              <w:instrText xml:space="preserve"> PAGEREF _Toc110341290 \h </w:instrText>
            </w:r>
            <w:r w:rsidR="00ED0D9A">
              <w:rPr>
                <w:noProof/>
                <w:webHidden/>
              </w:rPr>
            </w:r>
            <w:r w:rsidR="00ED0D9A">
              <w:rPr>
                <w:noProof/>
                <w:webHidden/>
              </w:rPr>
              <w:fldChar w:fldCharType="separate"/>
            </w:r>
            <w:r w:rsidR="00ED0D9A">
              <w:rPr>
                <w:noProof/>
                <w:webHidden/>
              </w:rPr>
              <w:t>54</w:t>
            </w:r>
            <w:r w:rsidR="00ED0D9A">
              <w:rPr>
                <w:noProof/>
                <w:webHidden/>
              </w:rPr>
              <w:fldChar w:fldCharType="end"/>
            </w:r>
          </w:hyperlink>
        </w:p>
        <w:p w14:paraId="1A04C84D" w14:textId="50539C3F" w:rsidR="00ED0D9A" w:rsidRDefault="007B60A3">
          <w:pPr>
            <w:pStyle w:val="TOC2"/>
            <w:tabs>
              <w:tab w:val="right" w:leader="dot" w:pos="9016"/>
            </w:tabs>
            <w:rPr>
              <w:noProof/>
              <w:lang w:eastAsia="en-GB"/>
            </w:rPr>
          </w:pPr>
          <w:hyperlink w:anchor="_Toc110341291" w:history="1">
            <w:r w:rsidR="00ED0D9A" w:rsidRPr="006F7C7B">
              <w:rPr>
                <w:rStyle w:val="Hyperlink"/>
                <w:rFonts w:ascii="Arial" w:hAnsi="Arial" w:cs="Arial"/>
                <w:b/>
                <w:noProof/>
              </w:rPr>
              <w:t>2.2 Experiment 2: Host status experiment on potential cover crop species</w:t>
            </w:r>
            <w:r w:rsidR="00ED0D9A">
              <w:rPr>
                <w:noProof/>
                <w:webHidden/>
              </w:rPr>
              <w:tab/>
            </w:r>
            <w:r w:rsidR="00ED0D9A">
              <w:rPr>
                <w:noProof/>
                <w:webHidden/>
              </w:rPr>
              <w:fldChar w:fldCharType="begin"/>
            </w:r>
            <w:r w:rsidR="00ED0D9A">
              <w:rPr>
                <w:noProof/>
                <w:webHidden/>
              </w:rPr>
              <w:instrText xml:space="preserve"> PAGEREF _Toc110341291 \h </w:instrText>
            </w:r>
            <w:r w:rsidR="00ED0D9A">
              <w:rPr>
                <w:noProof/>
                <w:webHidden/>
              </w:rPr>
            </w:r>
            <w:r w:rsidR="00ED0D9A">
              <w:rPr>
                <w:noProof/>
                <w:webHidden/>
              </w:rPr>
              <w:fldChar w:fldCharType="separate"/>
            </w:r>
            <w:r w:rsidR="00ED0D9A">
              <w:rPr>
                <w:noProof/>
                <w:webHidden/>
              </w:rPr>
              <w:t>55</w:t>
            </w:r>
            <w:r w:rsidR="00ED0D9A">
              <w:rPr>
                <w:noProof/>
                <w:webHidden/>
              </w:rPr>
              <w:fldChar w:fldCharType="end"/>
            </w:r>
          </w:hyperlink>
        </w:p>
        <w:p w14:paraId="4484F675" w14:textId="44050C79" w:rsidR="00ED0D9A" w:rsidRDefault="007B60A3">
          <w:pPr>
            <w:pStyle w:val="TOC3"/>
            <w:rPr>
              <w:noProof/>
              <w:lang w:eastAsia="en-GB"/>
            </w:rPr>
          </w:pPr>
          <w:hyperlink w:anchor="_Toc110341292" w:history="1">
            <w:r w:rsidR="00ED0D9A" w:rsidRPr="006F7C7B">
              <w:rPr>
                <w:rStyle w:val="Hyperlink"/>
                <w:rFonts w:ascii="Arial" w:hAnsi="Arial" w:cs="Arial"/>
                <w:b/>
                <w:noProof/>
              </w:rPr>
              <w:t>2.2.1 Nematode extraction and quantification</w:t>
            </w:r>
            <w:r w:rsidR="00ED0D9A">
              <w:rPr>
                <w:noProof/>
                <w:webHidden/>
              </w:rPr>
              <w:tab/>
            </w:r>
            <w:r w:rsidR="00ED0D9A">
              <w:rPr>
                <w:noProof/>
                <w:webHidden/>
              </w:rPr>
              <w:fldChar w:fldCharType="begin"/>
            </w:r>
            <w:r w:rsidR="00ED0D9A">
              <w:rPr>
                <w:noProof/>
                <w:webHidden/>
              </w:rPr>
              <w:instrText xml:space="preserve"> PAGEREF _Toc110341292 \h </w:instrText>
            </w:r>
            <w:r w:rsidR="00ED0D9A">
              <w:rPr>
                <w:noProof/>
                <w:webHidden/>
              </w:rPr>
            </w:r>
            <w:r w:rsidR="00ED0D9A">
              <w:rPr>
                <w:noProof/>
                <w:webHidden/>
              </w:rPr>
              <w:fldChar w:fldCharType="separate"/>
            </w:r>
            <w:r w:rsidR="00ED0D9A">
              <w:rPr>
                <w:noProof/>
                <w:webHidden/>
              </w:rPr>
              <w:t>57</w:t>
            </w:r>
            <w:r w:rsidR="00ED0D9A">
              <w:rPr>
                <w:noProof/>
                <w:webHidden/>
              </w:rPr>
              <w:fldChar w:fldCharType="end"/>
            </w:r>
          </w:hyperlink>
        </w:p>
        <w:p w14:paraId="3BEFC118" w14:textId="575381E9" w:rsidR="00ED0D9A" w:rsidRDefault="007B60A3">
          <w:pPr>
            <w:pStyle w:val="TOC2"/>
            <w:tabs>
              <w:tab w:val="right" w:leader="dot" w:pos="9016"/>
            </w:tabs>
            <w:rPr>
              <w:noProof/>
              <w:lang w:eastAsia="en-GB"/>
            </w:rPr>
          </w:pPr>
          <w:hyperlink w:anchor="_Toc110341293" w:history="1">
            <w:r w:rsidR="00ED0D9A" w:rsidRPr="006F7C7B">
              <w:rPr>
                <w:rStyle w:val="Hyperlink"/>
                <w:rFonts w:ascii="Arial" w:hAnsi="Arial" w:cs="Arial"/>
                <w:b/>
                <w:noProof/>
              </w:rPr>
              <w:t>2.3 Evaluation of potential of biofumigant cover crops under Field conditions</w:t>
            </w:r>
            <w:r w:rsidR="00ED0D9A">
              <w:rPr>
                <w:noProof/>
                <w:webHidden/>
              </w:rPr>
              <w:tab/>
            </w:r>
            <w:r w:rsidR="00ED0D9A">
              <w:rPr>
                <w:noProof/>
                <w:webHidden/>
              </w:rPr>
              <w:fldChar w:fldCharType="begin"/>
            </w:r>
            <w:r w:rsidR="00ED0D9A">
              <w:rPr>
                <w:noProof/>
                <w:webHidden/>
              </w:rPr>
              <w:instrText xml:space="preserve"> PAGEREF _Toc110341293 \h </w:instrText>
            </w:r>
            <w:r w:rsidR="00ED0D9A">
              <w:rPr>
                <w:noProof/>
                <w:webHidden/>
              </w:rPr>
            </w:r>
            <w:r w:rsidR="00ED0D9A">
              <w:rPr>
                <w:noProof/>
                <w:webHidden/>
              </w:rPr>
              <w:fldChar w:fldCharType="separate"/>
            </w:r>
            <w:r w:rsidR="00ED0D9A">
              <w:rPr>
                <w:noProof/>
                <w:webHidden/>
              </w:rPr>
              <w:t>58</w:t>
            </w:r>
            <w:r w:rsidR="00ED0D9A">
              <w:rPr>
                <w:noProof/>
                <w:webHidden/>
              </w:rPr>
              <w:fldChar w:fldCharType="end"/>
            </w:r>
          </w:hyperlink>
        </w:p>
        <w:p w14:paraId="77CF8058" w14:textId="4CEFF5F9" w:rsidR="00ED0D9A" w:rsidRDefault="007B60A3">
          <w:pPr>
            <w:pStyle w:val="TOC3"/>
            <w:rPr>
              <w:noProof/>
              <w:lang w:eastAsia="en-GB"/>
            </w:rPr>
          </w:pPr>
          <w:hyperlink w:anchor="_Toc110341294" w:history="1">
            <w:r w:rsidR="00ED0D9A" w:rsidRPr="006F7C7B">
              <w:rPr>
                <w:rStyle w:val="Hyperlink"/>
                <w:rFonts w:ascii="Arial" w:hAnsi="Arial" w:cs="Arial"/>
                <w:b/>
                <w:noProof/>
              </w:rPr>
              <w:t>2.3.2 Field soil sampling</w:t>
            </w:r>
            <w:r w:rsidR="00ED0D9A">
              <w:rPr>
                <w:noProof/>
                <w:webHidden/>
              </w:rPr>
              <w:tab/>
            </w:r>
            <w:r w:rsidR="00ED0D9A">
              <w:rPr>
                <w:noProof/>
                <w:webHidden/>
              </w:rPr>
              <w:fldChar w:fldCharType="begin"/>
            </w:r>
            <w:r w:rsidR="00ED0D9A">
              <w:rPr>
                <w:noProof/>
                <w:webHidden/>
              </w:rPr>
              <w:instrText xml:space="preserve"> PAGEREF _Toc110341294 \h </w:instrText>
            </w:r>
            <w:r w:rsidR="00ED0D9A">
              <w:rPr>
                <w:noProof/>
                <w:webHidden/>
              </w:rPr>
            </w:r>
            <w:r w:rsidR="00ED0D9A">
              <w:rPr>
                <w:noProof/>
                <w:webHidden/>
              </w:rPr>
              <w:fldChar w:fldCharType="separate"/>
            </w:r>
            <w:r w:rsidR="00ED0D9A">
              <w:rPr>
                <w:noProof/>
                <w:webHidden/>
              </w:rPr>
              <w:t>58</w:t>
            </w:r>
            <w:r w:rsidR="00ED0D9A">
              <w:rPr>
                <w:noProof/>
                <w:webHidden/>
              </w:rPr>
              <w:fldChar w:fldCharType="end"/>
            </w:r>
          </w:hyperlink>
        </w:p>
        <w:p w14:paraId="6E7BACDF" w14:textId="1051A5EE" w:rsidR="00ED0D9A" w:rsidRDefault="007B60A3">
          <w:pPr>
            <w:pStyle w:val="TOC3"/>
            <w:rPr>
              <w:noProof/>
              <w:lang w:eastAsia="en-GB"/>
            </w:rPr>
          </w:pPr>
          <w:hyperlink w:anchor="_Toc110341295" w:history="1">
            <w:r w:rsidR="00ED0D9A" w:rsidRPr="006F7C7B">
              <w:rPr>
                <w:rStyle w:val="Hyperlink"/>
                <w:rFonts w:ascii="Arial" w:hAnsi="Arial" w:cs="Arial"/>
                <w:b/>
                <w:noProof/>
              </w:rPr>
              <w:t>2.2.3 Nematode extraction, Identification and quantification</w:t>
            </w:r>
            <w:r w:rsidR="00ED0D9A">
              <w:rPr>
                <w:noProof/>
                <w:webHidden/>
              </w:rPr>
              <w:tab/>
            </w:r>
            <w:r w:rsidR="00ED0D9A">
              <w:rPr>
                <w:noProof/>
                <w:webHidden/>
              </w:rPr>
              <w:fldChar w:fldCharType="begin"/>
            </w:r>
            <w:r w:rsidR="00ED0D9A">
              <w:rPr>
                <w:noProof/>
                <w:webHidden/>
              </w:rPr>
              <w:instrText xml:space="preserve"> PAGEREF _Toc110341295 \h </w:instrText>
            </w:r>
            <w:r w:rsidR="00ED0D9A">
              <w:rPr>
                <w:noProof/>
                <w:webHidden/>
              </w:rPr>
            </w:r>
            <w:r w:rsidR="00ED0D9A">
              <w:rPr>
                <w:noProof/>
                <w:webHidden/>
              </w:rPr>
              <w:fldChar w:fldCharType="separate"/>
            </w:r>
            <w:r w:rsidR="00ED0D9A">
              <w:rPr>
                <w:noProof/>
                <w:webHidden/>
              </w:rPr>
              <w:t>59</w:t>
            </w:r>
            <w:r w:rsidR="00ED0D9A">
              <w:rPr>
                <w:noProof/>
                <w:webHidden/>
              </w:rPr>
              <w:fldChar w:fldCharType="end"/>
            </w:r>
          </w:hyperlink>
        </w:p>
        <w:p w14:paraId="19A3DF6D" w14:textId="0DBD3972" w:rsidR="00ED0D9A" w:rsidRDefault="007B60A3">
          <w:pPr>
            <w:pStyle w:val="TOC2"/>
            <w:tabs>
              <w:tab w:val="right" w:leader="dot" w:pos="9016"/>
            </w:tabs>
            <w:rPr>
              <w:noProof/>
              <w:lang w:eastAsia="en-GB"/>
            </w:rPr>
          </w:pPr>
          <w:hyperlink w:anchor="_Toc110341296" w:history="1">
            <w:r w:rsidR="00ED0D9A" w:rsidRPr="006F7C7B">
              <w:rPr>
                <w:rStyle w:val="Hyperlink"/>
                <w:rFonts w:ascii="Arial" w:hAnsi="Arial" w:cs="Arial"/>
                <w:b/>
                <w:noProof/>
              </w:rPr>
              <w:t>2.4 Statistical analysis</w:t>
            </w:r>
            <w:r w:rsidR="00ED0D9A">
              <w:rPr>
                <w:noProof/>
                <w:webHidden/>
              </w:rPr>
              <w:tab/>
            </w:r>
            <w:r w:rsidR="00ED0D9A">
              <w:rPr>
                <w:noProof/>
                <w:webHidden/>
              </w:rPr>
              <w:fldChar w:fldCharType="begin"/>
            </w:r>
            <w:r w:rsidR="00ED0D9A">
              <w:rPr>
                <w:noProof/>
                <w:webHidden/>
              </w:rPr>
              <w:instrText xml:space="preserve"> PAGEREF _Toc110341296 \h </w:instrText>
            </w:r>
            <w:r w:rsidR="00ED0D9A">
              <w:rPr>
                <w:noProof/>
                <w:webHidden/>
              </w:rPr>
            </w:r>
            <w:r w:rsidR="00ED0D9A">
              <w:rPr>
                <w:noProof/>
                <w:webHidden/>
              </w:rPr>
              <w:fldChar w:fldCharType="separate"/>
            </w:r>
            <w:r w:rsidR="00ED0D9A">
              <w:rPr>
                <w:noProof/>
                <w:webHidden/>
              </w:rPr>
              <w:t>59</w:t>
            </w:r>
            <w:r w:rsidR="00ED0D9A">
              <w:rPr>
                <w:noProof/>
                <w:webHidden/>
              </w:rPr>
              <w:fldChar w:fldCharType="end"/>
            </w:r>
          </w:hyperlink>
        </w:p>
        <w:p w14:paraId="3EBF082D" w14:textId="341563EA" w:rsidR="00ED0D9A" w:rsidRDefault="007B60A3">
          <w:pPr>
            <w:pStyle w:val="TOC2"/>
            <w:tabs>
              <w:tab w:val="right" w:leader="dot" w:pos="9016"/>
            </w:tabs>
            <w:rPr>
              <w:noProof/>
              <w:lang w:eastAsia="en-GB"/>
            </w:rPr>
          </w:pPr>
          <w:hyperlink w:anchor="_Toc110341297" w:history="1">
            <w:r w:rsidR="00ED0D9A" w:rsidRPr="006F7C7B">
              <w:rPr>
                <w:rStyle w:val="Hyperlink"/>
                <w:rFonts w:ascii="Arial" w:hAnsi="Arial" w:cs="Arial"/>
                <w:b/>
                <w:noProof/>
              </w:rPr>
              <w:t>2.5 Results</w:t>
            </w:r>
            <w:r w:rsidR="00ED0D9A">
              <w:rPr>
                <w:noProof/>
                <w:webHidden/>
              </w:rPr>
              <w:tab/>
            </w:r>
            <w:r w:rsidR="00ED0D9A">
              <w:rPr>
                <w:noProof/>
                <w:webHidden/>
              </w:rPr>
              <w:fldChar w:fldCharType="begin"/>
            </w:r>
            <w:r w:rsidR="00ED0D9A">
              <w:rPr>
                <w:noProof/>
                <w:webHidden/>
              </w:rPr>
              <w:instrText xml:space="preserve"> PAGEREF _Toc110341297 \h </w:instrText>
            </w:r>
            <w:r w:rsidR="00ED0D9A">
              <w:rPr>
                <w:noProof/>
                <w:webHidden/>
              </w:rPr>
            </w:r>
            <w:r w:rsidR="00ED0D9A">
              <w:rPr>
                <w:noProof/>
                <w:webHidden/>
              </w:rPr>
              <w:fldChar w:fldCharType="separate"/>
            </w:r>
            <w:r w:rsidR="00ED0D9A">
              <w:rPr>
                <w:noProof/>
                <w:webHidden/>
              </w:rPr>
              <w:t>60</w:t>
            </w:r>
            <w:r w:rsidR="00ED0D9A">
              <w:rPr>
                <w:noProof/>
                <w:webHidden/>
              </w:rPr>
              <w:fldChar w:fldCharType="end"/>
            </w:r>
          </w:hyperlink>
        </w:p>
        <w:p w14:paraId="41A98D4D" w14:textId="33170B56" w:rsidR="00ED0D9A" w:rsidRDefault="007B60A3">
          <w:pPr>
            <w:pStyle w:val="TOC3"/>
            <w:rPr>
              <w:noProof/>
              <w:lang w:eastAsia="en-GB"/>
            </w:rPr>
          </w:pPr>
          <w:hyperlink w:anchor="_Toc110341298" w:history="1">
            <w:r w:rsidR="00ED0D9A" w:rsidRPr="006F7C7B">
              <w:rPr>
                <w:rStyle w:val="Hyperlink"/>
                <w:rFonts w:ascii="Arial" w:hAnsi="Arial" w:cs="Arial"/>
                <w:b/>
                <w:noProof/>
              </w:rPr>
              <w:t>2.5.1 Selection of extraction method</w:t>
            </w:r>
            <w:r w:rsidR="00ED0D9A">
              <w:rPr>
                <w:noProof/>
                <w:webHidden/>
              </w:rPr>
              <w:tab/>
            </w:r>
            <w:r w:rsidR="00ED0D9A">
              <w:rPr>
                <w:noProof/>
                <w:webHidden/>
              </w:rPr>
              <w:fldChar w:fldCharType="begin"/>
            </w:r>
            <w:r w:rsidR="00ED0D9A">
              <w:rPr>
                <w:noProof/>
                <w:webHidden/>
              </w:rPr>
              <w:instrText xml:space="preserve"> PAGEREF _Toc110341298 \h </w:instrText>
            </w:r>
            <w:r w:rsidR="00ED0D9A">
              <w:rPr>
                <w:noProof/>
                <w:webHidden/>
              </w:rPr>
            </w:r>
            <w:r w:rsidR="00ED0D9A">
              <w:rPr>
                <w:noProof/>
                <w:webHidden/>
              </w:rPr>
              <w:fldChar w:fldCharType="separate"/>
            </w:r>
            <w:r w:rsidR="00ED0D9A">
              <w:rPr>
                <w:noProof/>
                <w:webHidden/>
              </w:rPr>
              <w:t>60</w:t>
            </w:r>
            <w:r w:rsidR="00ED0D9A">
              <w:rPr>
                <w:noProof/>
                <w:webHidden/>
              </w:rPr>
              <w:fldChar w:fldCharType="end"/>
            </w:r>
          </w:hyperlink>
        </w:p>
        <w:p w14:paraId="209E8C7B" w14:textId="35898EEA" w:rsidR="00ED0D9A" w:rsidRDefault="007B60A3">
          <w:pPr>
            <w:pStyle w:val="TOC3"/>
            <w:rPr>
              <w:noProof/>
              <w:lang w:eastAsia="en-GB"/>
            </w:rPr>
          </w:pPr>
          <w:hyperlink w:anchor="_Toc110341299" w:history="1">
            <w:r w:rsidR="00ED0D9A" w:rsidRPr="006F7C7B">
              <w:rPr>
                <w:rStyle w:val="Hyperlink"/>
                <w:rFonts w:ascii="Arial" w:hAnsi="Arial" w:cs="Arial"/>
                <w:b/>
                <w:bCs/>
                <w:noProof/>
              </w:rPr>
              <w:t>2.5.2 Experiment 2: Glasshouse host status experiment</w:t>
            </w:r>
            <w:r w:rsidR="00ED0D9A">
              <w:rPr>
                <w:noProof/>
                <w:webHidden/>
              </w:rPr>
              <w:tab/>
            </w:r>
            <w:r w:rsidR="00ED0D9A">
              <w:rPr>
                <w:noProof/>
                <w:webHidden/>
              </w:rPr>
              <w:fldChar w:fldCharType="begin"/>
            </w:r>
            <w:r w:rsidR="00ED0D9A">
              <w:rPr>
                <w:noProof/>
                <w:webHidden/>
              </w:rPr>
              <w:instrText xml:space="preserve"> PAGEREF _Toc110341299 \h </w:instrText>
            </w:r>
            <w:r w:rsidR="00ED0D9A">
              <w:rPr>
                <w:noProof/>
                <w:webHidden/>
              </w:rPr>
            </w:r>
            <w:r w:rsidR="00ED0D9A">
              <w:rPr>
                <w:noProof/>
                <w:webHidden/>
              </w:rPr>
              <w:fldChar w:fldCharType="separate"/>
            </w:r>
            <w:r w:rsidR="00ED0D9A">
              <w:rPr>
                <w:noProof/>
                <w:webHidden/>
              </w:rPr>
              <w:t>61</w:t>
            </w:r>
            <w:r w:rsidR="00ED0D9A">
              <w:rPr>
                <w:noProof/>
                <w:webHidden/>
              </w:rPr>
              <w:fldChar w:fldCharType="end"/>
            </w:r>
          </w:hyperlink>
        </w:p>
        <w:p w14:paraId="7D80056D" w14:textId="6894245B" w:rsidR="00ED0D9A" w:rsidRDefault="007B60A3">
          <w:pPr>
            <w:pStyle w:val="TOC3"/>
            <w:rPr>
              <w:noProof/>
              <w:lang w:eastAsia="en-GB"/>
            </w:rPr>
          </w:pPr>
          <w:hyperlink w:anchor="_Toc110341300" w:history="1">
            <w:r w:rsidR="00ED0D9A" w:rsidRPr="006F7C7B">
              <w:rPr>
                <w:rStyle w:val="Hyperlink"/>
                <w:rFonts w:ascii="Arial" w:hAnsi="Arial" w:cs="Arial"/>
                <w:b/>
                <w:noProof/>
              </w:rPr>
              <w:t>2.5.3 Field experiment to evaluate the potential of biofumigant cover crops in the suppression of SRN</w:t>
            </w:r>
            <w:r w:rsidR="00ED0D9A">
              <w:rPr>
                <w:noProof/>
                <w:webHidden/>
              </w:rPr>
              <w:tab/>
            </w:r>
            <w:r w:rsidR="00ED0D9A">
              <w:rPr>
                <w:noProof/>
                <w:webHidden/>
              </w:rPr>
              <w:fldChar w:fldCharType="begin"/>
            </w:r>
            <w:r w:rsidR="00ED0D9A">
              <w:rPr>
                <w:noProof/>
                <w:webHidden/>
              </w:rPr>
              <w:instrText xml:space="preserve"> PAGEREF _Toc110341300 \h </w:instrText>
            </w:r>
            <w:r w:rsidR="00ED0D9A">
              <w:rPr>
                <w:noProof/>
                <w:webHidden/>
              </w:rPr>
            </w:r>
            <w:r w:rsidR="00ED0D9A">
              <w:rPr>
                <w:noProof/>
                <w:webHidden/>
              </w:rPr>
              <w:fldChar w:fldCharType="separate"/>
            </w:r>
            <w:r w:rsidR="00ED0D9A">
              <w:rPr>
                <w:noProof/>
                <w:webHidden/>
              </w:rPr>
              <w:t>64</w:t>
            </w:r>
            <w:r w:rsidR="00ED0D9A">
              <w:rPr>
                <w:noProof/>
                <w:webHidden/>
              </w:rPr>
              <w:fldChar w:fldCharType="end"/>
            </w:r>
          </w:hyperlink>
        </w:p>
        <w:p w14:paraId="335D1006" w14:textId="2C4CA2AD" w:rsidR="00ED0D9A" w:rsidRDefault="007B60A3">
          <w:pPr>
            <w:pStyle w:val="TOC2"/>
            <w:tabs>
              <w:tab w:val="right" w:leader="dot" w:pos="9016"/>
            </w:tabs>
            <w:rPr>
              <w:noProof/>
              <w:lang w:eastAsia="en-GB"/>
            </w:rPr>
          </w:pPr>
          <w:hyperlink w:anchor="_Toc110341301" w:history="1">
            <w:r w:rsidR="00ED0D9A" w:rsidRPr="006F7C7B">
              <w:rPr>
                <w:rStyle w:val="Hyperlink"/>
                <w:rFonts w:ascii="Arial" w:hAnsi="Arial" w:cs="Arial"/>
                <w:b/>
                <w:noProof/>
              </w:rPr>
              <w:t>2.6 Discussion</w:t>
            </w:r>
            <w:r w:rsidR="00ED0D9A">
              <w:rPr>
                <w:noProof/>
                <w:webHidden/>
              </w:rPr>
              <w:tab/>
            </w:r>
            <w:r w:rsidR="00ED0D9A">
              <w:rPr>
                <w:noProof/>
                <w:webHidden/>
              </w:rPr>
              <w:fldChar w:fldCharType="begin"/>
            </w:r>
            <w:r w:rsidR="00ED0D9A">
              <w:rPr>
                <w:noProof/>
                <w:webHidden/>
              </w:rPr>
              <w:instrText xml:space="preserve"> PAGEREF _Toc110341301 \h </w:instrText>
            </w:r>
            <w:r w:rsidR="00ED0D9A">
              <w:rPr>
                <w:noProof/>
                <w:webHidden/>
              </w:rPr>
            </w:r>
            <w:r w:rsidR="00ED0D9A">
              <w:rPr>
                <w:noProof/>
                <w:webHidden/>
              </w:rPr>
              <w:fldChar w:fldCharType="separate"/>
            </w:r>
            <w:r w:rsidR="00ED0D9A">
              <w:rPr>
                <w:noProof/>
                <w:webHidden/>
              </w:rPr>
              <w:t>66</w:t>
            </w:r>
            <w:r w:rsidR="00ED0D9A">
              <w:rPr>
                <w:noProof/>
                <w:webHidden/>
              </w:rPr>
              <w:fldChar w:fldCharType="end"/>
            </w:r>
          </w:hyperlink>
        </w:p>
        <w:p w14:paraId="143C7F8A" w14:textId="4E26671F" w:rsidR="00ED0D9A" w:rsidRDefault="007B60A3">
          <w:pPr>
            <w:pStyle w:val="TOC1"/>
            <w:tabs>
              <w:tab w:val="right" w:leader="dot" w:pos="9016"/>
            </w:tabs>
            <w:rPr>
              <w:noProof/>
              <w:lang w:eastAsia="en-GB"/>
            </w:rPr>
          </w:pPr>
          <w:hyperlink w:anchor="_Toc110341302" w:history="1">
            <w:r w:rsidR="00ED0D9A" w:rsidRPr="006F7C7B">
              <w:rPr>
                <w:rStyle w:val="Hyperlink"/>
                <w:rFonts w:ascii="Arial" w:hAnsi="Arial" w:cs="Arial"/>
                <w:b/>
                <w:noProof/>
              </w:rPr>
              <w:t>3. References</w:t>
            </w:r>
            <w:r w:rsidR="00ED0D9A">
              <w:rPr>
                <w:noProof/>
                <w:webHidden/>
              </w:rPr>
              <w:tab/>
            </w:r>
            <w:r w:rsidR="00ED0D9A">
              <w:rPr>
                <w:noProof/>
                <w:webHidden/>
              </w:rPr>
              <w:fldChar w:fldCharType="begin"/>
            </w:r>
            <w:r w:rsidR="00ED0D9A">
              <w:rPr>
                <w:noProof/>
                <w:webHidden/>
              </w:rPr>
              <w:instrText xml:space="preserve"> PAGEREF _Toc110341302 \h </w:instrText>
            </w:r>
            <w:r w:rsidR="00ED0D9A">
              <w:rPr>
                <w:noProof/>
                <w:webHidden/>
              </w:rPr>
            </w:r>
            <w:r w:rsidR="00ED0D9A">
              <w:rPr>
                <w:noProof/>
                <w:webHidden/>
              </w:rPr>
              <w:fldChar w:fldCharType="separate"/>
            </w:r>
            <w:r w:rsidR="00ED0D9A">
              <w:rPr>
                <w:noProof/>
                <w:webHidden/>
              </w:rPr>
              <w:t>69</w:t>
            </w:r>
            <w:r w:rsidR="00ED0D9A">
              <w:rPr>
                <w:noProof/>
                <w:webHidden/>
              </w:rPr>
              <w:fldChar w:fldCharType="end"/>
            </w:r>
          </w:hyperlink>
        </w:p>
        <w:p w14:paraId="6FF57DF0" w14:textId="558485F4" w:rsidR="00ED0D9A" w:rsidRDefault="007B60A3">
          <w:pPr>
            <w:pStyle w:val="TOC1"/>
            <w:tabs>
              <w:tab w:val="right" w:leader="dot" w:pos="9016"/>
            </w:tabs>
            <w:rPr>
              <w:noProof/>
              <w:lang w:eastAsia="en-GB"/>
            </w:rPr>
          </w:pPr>
          <w:hyperlink w:anchor="_Toc110341303" w:history="1">
            <w:r w:rsidR="00ED0D9A" w:rsidRPr="006F7C7B">
              <w:rPr>
                <w:rStyle w:val="Hyperlink"/>
                <w:rFonts w:ascii="Arial" w:hAnsi="Arial" w:cs="Arial"/>
                <w:b/>
                <w:noProof/>
              </w:rPr>
              <w:t>4. Appendices</w:t>
            </w:r>
            <w:r w:rsidR="00ED0D9A">
              <w:rPr>
                <w:noProof/>
                <w:webHidden/>
              </w:rPr>
              <w:tab/>
            </w:r>
            <w:r w:rsidR="00ED0D9A">
              <w:rPr>
                <w:noProof/>
                <w:webHidden/>
              </w:rPr>
              <w:fldChar w:fldCharType="begin"/>
            </w:r>
            <w:r w:rsidR="00ED0D9A">
              <w:rPr>
                <w:noProof/>
                <w:webHidden/>
              </w:rPr>
              <w:instrText xml:space="preserve"> PAGEREF _Toc110341303 \h </w:instrText>
            </w:r>
            <w:r w:rsidR="00ED0D9A">
              <w:rPr>
                <w:noProof/>
                <w:webHidden/>
              </w:rPr>
            </w:r>
            <w:r w:rsidR="00ED0D9A">
              <w:rPr>
                <w:noProof/>
                <w:webHidden/>
              </w:rPr>
              <w:fldChar w:fldCharType="separate"/>
            </w:r>
            <w:r w:rsidR="00ED0D9A">
              <w:rPr>
                <w:noProof/>
                <w:webHidden/>
              </w:rPr>
              <w:t>84</w:t>
            </w:r>
            <w:r w:rsidR="00ED0D9A">
              <w:rPr>
                <w:noProof/>
                <w:webHidden/>
              </w:rPr>
              <w:fldChar w:fldCharType="end"/>
            </w:r>
          </w:hyperlink>
        </w:p>
        <w:p w14:paraId="37ED51DB" w14:textId="574714F0" w:rsidR="00ED0D9A" w:rsidRDefault="007B60A3">
          <w:pPr>
            <w:pStyle w:val="TOC1"/>
            <w:tabs>
              <w:tab w:val="right" w:leader="dot" w:pos="9016"/>
            </w:tabs>
            <w:rPr>
              <w:noProof/>
              <w:lang w:eastAsia="en-GB"/>
            </w:rPr>
          </w:pPr>
          <w:hyperlink w:anchor="_Toc110341304" w:history="1">
            <w:r w:rsidR="00ED0D9A" w:rsidRPr="006F7C7B">
              <w:rPr>
                <w:rStyle w:val="Hyperlink"/>
                <w:rFonts w:ascii="Arial" w:hAnsi="Arial" w:cs="Arial"/>
                <w:b/>
                <w:noProof/>
              </w:rPr>
              <w:t>Appendix A: RDF Evidence report</w:t>
            </w:r>
            <w:r w:rsidR="00ED0D9A">
              <w:rPr>
                <w:noProof/>
                <w:webHidden/>
              </w:rPr>
              <w:tab/>
            </w:r>
            <w:r w:rsidR="00ED0D9A">
              <w:rPr>
                <w:noProof/>
                <w:webHidden/>
              </w:rPr>
              <w:fldChar w:fldCharType="begin"/>
            </w:r>
            <w:r w:rsidR="00ED0D9A">
              <w:rPr>
                <w:noProof/>
                <w:webHidden/>
              </w:rPr>
              <w:instrText xml:space="preserve"> PAGEREF _Toc110341304 \h </w:instrText>
            </w:r>
            <w:r w:rsidR="00ED0D9A">
              <w:rPr>
                <w:noProof/>
                <w:webHidden/>
              </w:rPr>
            </w:r>
            <w:r w:rsidR="00ED0D9A">
              <w:rPr>
                <w:noProof/>
                <w:webHidden/>
              </w:rPr>
              <w:fldChar w:fldCharType="separate"/>
            </w:r>
            <w:r w:rsidR="00ED0D9A">
              <w:rPr>
                <w:noProof/>
                <w:webHidden/>
              </w:rPr>
              <w:t>84</w:t>
            </w:r>
            <w:r w:rsidR="00ED0D9A">
              <w:rPr>
                <w:noProof/>
                <w:webHidden/>
              </w:rPr>
              <w:fldChar w:fldCharType="end"/>
            </w:r>
          </w:hyperlink>
        </w:p>
        <w:p w14:paraId="266A072A" w14:textId="4AF300E2" w:rsidR="00ED0D9A" w:rsidRDefault="007B60A3">
          <w:pPr>
            <w:pStyle w:val="TOC1"/>
            <w:tabs>
              <w:tab w:val="right" w:leader="dot" w:pos="9016"/>
            </w:tabs>
            <w:rPr>
              <w:noProof/>
              <w:lang w:eastAsia="en-GB"/>
            </w:rPr>
          </w:pPr>
          <w:hyperlink w:anchor="_Toc110341305" w:history="1">
            <w:r w:rsidR="00ED0D9A" w:rsidRPr="006F7C7B">
              <w:rPr>
                <w:rStyle w:val="Hyperlink"/>
                <w:rFonts w:ascii="Arial" w:hAnsi="Arial" w:cs="Arial"/>
                <w:b/>
                <w:noProof/>
              </w:rPr>
              <w:t>Appendix B: RDF Action plan</w:t>
            </w:r>
            <w:r w:rsidR="00ED0D9A">
              <w:rPr>
                <w:noProof/>
                <w:webHidden/>
              </w:rPr>
              <w:tab/>
            </w:r>
            <w:r w:rsidR="00ED0D9A">
              <w:rPr>
                <w:noProof/>
                <w:webHidden/>
              </w:rPr>
              <w:fldChar w:fldCharType="begin"/>
            </w:r>
            <w:r w:rsidR="00ED0D9A">
              <w:rPr>
                <w:noProof/>
                <w:webHidden/>
              </w:rPr>
              <w:instrText xml:space="preserve"> PAGEREF _Toc110341305 \h </w:instrText>
            </w:r>
            <w:r w:rsidR="00ED0D9A">
              <w:rPr>
                <w:noProof/>
                <w:webHidden/>
              </w:rPr>
            </w:r>
            <w:r w:rsidR="00ED0D9A">
              <w:rPr>
                <w:noProof/>
                <w:webHidden/>
              </w:rPr>
              <w:fldChar w:fldCharType="separate"/>
            </w:r>
            <w:r w:rsidR="00ED0D9A">
              <w:rPr>
                <w:noProof/>
                <w:webHidden/>
              </w:rPr>
              <w:t>114</w:t>
            </w:r>
            <w:r w:rsidR="00ED0D9A">
              <w:rPr>
                <w:noProof/>
                <w:webHidden/>
              </w:rPr>
              <w:fldChar w:fldCharType="end"/>
            </w:r>
          </w:hyperlink>
        </w:p>
        <w:p w14:paraId="4CA1B079" w14:textId="06C0AE08" w:rsidR="00ED0D9A" w:rsidRDefault="007B60A3">
          <w:pPr>
            <w:pStyle w:val="TOC1"/>
            <w:tabs>
              <w:tab w:val="right" w:leader="dot" w:pos="9016"/>
            </w:tabs>
            <w:rPr>
              <w:noProof/>
              <w:lang w:eastAsia="en-GB"/>
            </w:rPr>
          </w:pPr>
          <w:hyperlink w:anchor="_Toc110341306" w:history="1">
            <w:r w:rsidR="00ED0D9A" w:rsidRPr="006F7C7B">
              <w:rPr>
                <w:rStyle w:val="Hyperlink"/>
                <w:rFonts w:ascii="Arial" w:hAnsi="Arial" w:cs="Arial"/>
                <w:b/>
                <w:noProof/>
              </w:rPr>
              <w:t xml:space="preserve">Appendix C: Gannt chart for </w:t>
            </w:r>
            <w:r w:rsidR="00ED0D9A" w:rsidRPr="006F7C7B">
              <w:rPr>
                <w:rStyle w:val="Hyperlink"/>
                <w:rFonts w:ascii="Arial" w:eastAsia="Times New Roman" w:hAnsi="Arial" w:cs="Arial"/>
                <w:b/>
                <w:bCs/>
                <w:noProof/>
                <w:lang w:eastAsia="en-GB"/>
              </w:rPr>
              <w:t>October 2021 to October 2022</w:t>
            </w:r>
            <w:r w:rsidR="00ED0D9A">
              <w:rPr>
                <w:noProof/>
                <w:webHidden/>
              </w:rPr>
              <w:tab/>
            </w:r>
            <w:r w:rsidR="00ED0D9A">
              <w:rPr>
                <w:noProof/>
                <w:webHidden/>
              </w:rPr>
              <w:fldChar w:fldCharType="begin"/>
            </w:r>
            <w:r w:rsidR="00ED0D9A">
              <w:rPr>
                <w:noProof/>
                <w:webHidden/>
              </w:rPr>
              <w:instrText xml:space="preserve"> PAGEREF _Toc110341306 \h </w:instrText>
            </w:r>
            <w:r w:rsidR="00ED0D9A">
              <w:rPr>
                <w:noProof/>
                <w:webHidden/>
              </w:rPr>
            </w:r>
            <w:r w:rsidR="00ED0D9A">
              <w:rPr>
                <w:noProof/>
                <w:webHidden/>
              </w:rPr>
              <w:fldChar w:fldCharType="separate"/>
            </w:r>
            <w:r w:rsidR="00ED0D9A">
              <w:rPr>
                <w:noProof/>
                <w:webHidden/>
              </w:rPr>
              <w:t>119</w:t>
            </w:r>
            <w:r w:rsidR="00ED0D9A">
              <w:rPr>
                <w:noProof/>
                <w:webHidden/>
              </w:rPr>
              <w:fldChar w:fldCharType="end"/>
            </w:r>
          </w:hyperlink>
        </w:p>
        <w:p w14:paraId="37BF9EB2" w14:textId="762969E0" w:rsidR="00B115F3" w:rsidRPr="00B115F3" w:rsidRDefault="004C34C1" w:rsidP="00616CDC">
          <w:pPr>
            <w:pStyle w:val="TableofFigures"/>
            <w:tabs>
              <w:tab w:val="right" w:leader="dot" w:pos="9016"/>
            </w:tabs>
            <w:ind w:left="-284"/>
            <w:rPr>
              <w:rFonts w:ascii="Arial" w:hAnsi="Arial" w:cs="Arial"/>
              <w:b/>
              <w:color w:val="000000" w:themeColor="text1"/>
              <w:sz w:val="24"/>
              <w:szCs w:val="24"/>
            </w:rPr>
          </w:pPr>
          <w:r w:rsidRPr="00F13673">
            <w:rPr>
              <w:rFonts w:ascii="Arial" w:hAnsi="Arial" w:cs="Arial"/>
              <w:bCs/>
              <w:noProof/>
              <w:color w:val="000000" w:themeColor="text1"/>
              <w:sz w:val="24"/>
              <w:szCs w:val="24"/>
            </w:rPr>
            <w:fldChar w:fldCharType="end"/>
          </w:r>
        </w:p>
      </w:sdtContent>
    </w:sdt>
    <w:p w14:paraId="434B4521" w14:textId="4DE57452" w:rsidR="002D4EBB" w:rsidRPr="00616CDC" w:rsidRDefault="002D4EBB" w:rsidP="00616CDC">
      <w:pPr>
        <w:spacing w:line="240" w:lineRule="auto"/>
        <w:ind w:left="-284"/>
        <w:jc w:val="both"/>
        <w:rPr>
          <w:rFonts w:ascii="Arial" w:hAnsi="Arial" w:cs="Arial"/>
          <w:b/>
          <w:sz w:val="24"/>
          <w:szCs w:val="24"/>
        </w:rPr>
      </w:pPr>
      <w:r w:rsidRPr="00616CDC">
        <w:rPr>
          <w:rFonts w:ascii="Arial" w:hAnsi="Arial" w:cs="Arial"/>
          <w:b/>
          <w:sz w:val="24"/>
          <w:szCs w:val="24"/>
        </w:rPr>
        <w:t xml:space="preserve">List of Figures </w:t>
      </w:r>
    </w:p>
    <w:p w14:paraId="30AD4269" w14:textId="227DDB76" w:rsidR="00C10D2B" w:rsidRDefault="002D4EBB" w:rsidP="00C10D2B">
      <w:pPr>
        <w:pStyle w:val="TableofFigures"/>
        <w:tabs>
          <w:tab w:val="right" w:leader="dot" w:pos="9016"/>
        </w:tabs>
        <w:spacing w:line="360" w:lineRule="auto"/>
        <w:rPr>
          <w:noProof/>
          <w:lang w:eastAsia="en-GB"/>
        </w:rPr>
      </w:pPr>
      <w:r w:rsidRPr="00B115F3">
        <w:rPr>
          <w:rFonts w:ascii="Arial" w:hAnsi="Arial" w:cs="Arial"/>
          <w:b/>
          <w:color w:val="000000" w:themeColor="text1"/>
          <w:sz w:val="24"/>
          <w:szCs w:val="24"/>
        </w:rPr>
        <w:fldChar w:fldCharType="begin"/>
      </w:r>
      <w:r w:rsidRPr="00B115F3">
        <w:rPr>
          <w:rFonts w:ascii="Arial" w:hAnsi="Arial" w:cs="Arial"/>
          <w:b/>
          <w:color w:val="000000" w:themeColor="text1"/>
          <w:sz w:val="24"/>
          <w:szCs w:val="24"/>
        </w:rPr>
        <w:instrText xml:space="preserve"> TOC \h \z \c "Figure" </w:instrText>
      </w:r>
      <w:r w:rsidRPr="00B115F3">
        <w:rPr>
          <w:rFonts w:ascii="Arial" w:hAnsi="Arial" w:cs="Arial"/>
          <w:b/>
          <w:color w:val="000000" w:themeColor="text1"/>
          <w:sz w:val="24"/>
          <w:szCs w:val="24"/>
        </w:rPr>
        <w:fldChar w:fldCharType="separate"/>
      </w:r>
      <w:hyperlink w:anchor="_Toc110342104" w:history="1">
        <w:r w:rsidR="00C10D2B" w:rsidRPr="00C10D2B">
          <w:rPr>
            <w:rStyle w:val="Hyperlink"/>
            <w:rFonts w:ascii="Arial" w:hAnsi="Arial" w:cs="Arial"/>
            <w:b/>
            <w:noProof/>
          </w:rPr>
          <w:t>Figure 1</w:t>
        </w:r>
        <w:r w:rsidR="00C10D2B" w:rsidRPr="00916160">
          <w:rPr>
            <w:rStyle w:val="Hyperlink"/>
            <w:rFonts w:ascii="Arial" w:hAnsi="Arial" w:cs="Arial"/>
            <w:b/>
            <w:i/>
            <w:noProof/>
          </w:rPr>
          <w:t xml:space="preserve">: </w:t>
        </w:r>
        <w:r w:rsidR="00C10D2B" w:rsidRPr="00916160">
          <w:rPr>
            <w:rStyle w:val="Hyperlink"/>
            <w:rFonts w:ascii="Arial" w:hAnsi="Arial" w:cs="Arial"/>
            <w:noProof/>
          </w:rPr>
          <w:t>The lifecycle of the stubby root nematode. source: (graham stirling &amp; nicol, 2002)</w:t>
        </w:r>
        <w:r w:rsidR="00C10D2B">
          <w:rPr>
            <w:noProof/>
            <w:webHidden/>
          </w:rPr>
          <w:tab/>
        </w:r>
        <w:r w:rsidR="00C10D2B">
          <w:rPr>
            <w:noProof/>
            <w:webHidden/>
          </w:rPr>
          <w:fldChar w:fldCharType="begin"/>
        </w:r>
        <w:r w:rsidR="00C10D2B">
          <w:rPr>
            <w:noProof/>
            <w:webHidden/>
          </w:rPr>
          <w:instrText xml:space="preserve"> PAGEREF _Toc110342104 \h </w:instrText>
        </w:r>
        <w:r w:rsidR="00C10D2B">
          <w:rPr>
            <w:noProof/>
            <w:webHidden/>
          </w:rPr>
        </w:r>
        <w:r w:rsidR="00C10D2B">
          <w:rPr>
            <w:noProof/>
            <w:webHidden/>
          </w:rPr>
          <w:fldChar w:fldCharType="separate"/>
        </w:r>
        <w:r w:rsidR="00C10D2B">
          <w:rPr>
            <w:noProof/>
            <w:webHidden/>
          </w:rPr>
          <w:t>10</w:t>
        </w:r>
        <w:r w:rsidR="00C10D2B">
          <w:rPr>
            <w:noProof/>
            <w:webHidden/>
          </w:rPr>
          <w:fldChar w:fldCharType="end"/>
        </w:r>
      </w:hyperlink>
    </w:p>
    <w:p w14:paraId="01D986B2" w14:textId="36C83233" w:rsidR="00C10D2B" w:rsidRDefault="007B60A3" w:rsidP="00C10D2B">
      <w:pPr>
        <w:pStyle w:val="TableofFigures"/>
        <w:tabs>
          <w:tab w:val="right" w:leader="dot" w:pos="9016"/>
        </w:tabs>
        <w:spacing w:line="360" w:lineRule="auto"/>
        <w:rPr>
          <w:noProof/>
          <w:lang w:eastAsia="en-GB"/>
        </w:rPr>
      </w:pPr>
      <w:hyperlink w:anchor="_Toc110342105" w:history="1">
        <w:r w:rsidR="00C10D2B" w:rsidRPr="00C10D2B">
          <w:rPr>
            <w:rStyle w:val="Hyperlink"/>
            <w:rFonts w:ascii="Arial" w:hAnsi="Arial" w:cs="Arial"/>
            <w:b/>
            <w:noProof/>
          </w:rPr>
          <w:t>Figure 2</w:t>
        </w:r>
        <w:r w:rsidR="00C10D2B" w:rsidRPr="00916160">
          <w:rPr>
            <w:rStyle w:val="Hyperlink"/>
            <w:rFonts w:ascii="Arial" w:hAnsi="Arial" w:cs="Arial"/>
            <w:noProof/>
          </w:rPr>
          <w:t>: Host status of field crops to different genera and species of stubby root nematodes. Scheme created from https://www.best4soil.eu/database based on research from Wageningen University and research | Field crops, Lelystad.</w:t>
        </w:r>
        <w:r w:rsidR="00C10D2B">
          <w:rPr>
            <w:noProof/>
            <w:webHidden/>
          </w:rPr>
          <w:tab/>
        </w:r>
        <w:r w:rsidR="00C10D2B">
          <w:rPr>
            <w:noProof/>
            <w:webHidden/>
          </w:rPr>
          <w:fldChar w:fldCharType="begin"/>
        </w:r>
        <w:r w:rsidR="00C10D2B">
          <w:rPr>
            <w:noProof/>
            <w:webHidden/>
          </w:rPr>
          <w:instrText xml:space="preserve"> PAGEREF _Toc110342105 \h </w:instrText>
        </w:r>
        <w:r w:rsidR="00C10D2B">
          <w:rPr>
            <w:noProof/>
            <w:webHidden/>
          </w:rPr>
        </w:r>
        <w:r w:rsidR="00C10D2B">
          <w:rPr>
            <w:noProof/>
            <w:webHidden/>
          </w:rPr>
          <w:fldChar w:fldCharType="separate"/>
        </w:r>
        <w:r w:rsidR="00C10D2B">
          <w:rPr>
            <w:noProof/>
            <w:webHidden/>
          </w:rPr>
          <w:t>16</w:t>
        </w:r>
        <w:r w:rsidR="00C10D2B">
          <w:rPr>
            <w:noProof/>
            <w:webHidden/>
          </w:rPr>
          <w:fldChar w:fldCharType="end"/>
        </w:r>
      </w:hyperlink>
    </w:p>
    <w:p w14:paraId="11111842" w14:textId="0EF35724" w:rsidR="00C10D2B" w:rsidRDefault="007B60A3" w:rsidP="00C10D2B">
      <w:pPr>
        <w:pStyle w:val="TableofFigures"/>
        <w:tabs>
          <w:tab w:val="right" w:leader="dot" w:pos="9016"/>
        </w:tabs>
        <w:spacing w:line="360" w:lineRule="auto"/>
        <w:rPr>
          <w:noProof/>
          <w:lang w:eastAsia="en-GB"/>
        </w:rPr>
      </w:pPr>
      <w:hyperlink w:anchor="_Toc110342106" w:history="1">
        <w:r w:rsidR="00C10D2B" w:rsidRPr="00C10D2B">
          <w:rPr>
            <w:rStyle w:val="Hyperlink"/>
            <w:rFonts w:ascii="Arial" w:hAnsi="Arial" w:cs="Arial"/>
            <w:b/>
            <w:noProof/>
          </w:rPr>
          <w:t>Figure 3:</w:t>
        </w:r>
        <w:r w:rsidR="00C10D2B" w:rsidRPr="00916160">
          <w:rPr>
            <w:rStyle w:val="Hyperlink"/>
            <w:rFonts w:ascii="Arial" w:hAnsi="Arial" w:cs="Arial"/>
            <w:noProof/>
          </w:rPr>
          <w:t xml:space="preserve"> Host status of green manure crops to different genera and species of stubby root nematodes. Scheme created from https://www.best4soil.eu/database based on research from Wageningen University and research | Field crops, Lelystad.</w:t>
        </w:r>
        <w:r w:rsidR="00C10D2B">
          <w:rPr>
            <w:noProof/>
            <w:webHidden/>
          </w:rPr>
          <w:tab/>
        </w:r>
        <w:r w:rsidR="00C10D2B">
          <w:rPr>
            <w:noProof/>
            <w:webHidden/>
          </w:rPr>
          <w:fldChar w:fldCharType="begin"/>
        </w:r>
        <w:r w:rsidR="00C10D2B">
          <w:rPr>
            <w:noProof/>
            <w:webHidden/>
          </w:rPr>
          <w:instrText xml:space="preserve"> PAGEREF _Toc110342106 \h </w:instrText>
        </w:r>
        <w:r w:rsidR="00C10D2B">
          <w:rPr>
            <w:noProof/>
            <w:webHidden/>
          </w:rPr>
        </w:r>
        <w:r w:rsidR="00C10D2B">
          <w:rPr>
            <w:noProof/>
            <w:webHidden/>
          </w:rPr>
          <w:fldChar w:fldCharType="separate"/>
        </w:r>
        <w:r w:rsidR="00C10D2B">
          <w:rPr>
            <w:noProof/>
            <w:webHidden/>
          </w:rPr>
          <w:t>17</w:t>
        </w:r>
        <w:r w:rsidR="00C10D2B">
          <w:rPr>
            <w:noProof/>
            <w:webHidden/>
          </w:rPr>
          <w:fldChar w:fldCharType="end"/>
        </w:r>
      </w:hyperlink>
    </w:p>
    <w:p w14:paraId="57DC5B4B" w14:textId="1110AA6E" w:rsidR="00C10D2B" w:rsidRDefault="007B60A3" w:rsidP="00C10D2B">
      <w:pPr>
        <w:pStyle w:val="TableofFigures"/>
        <w:tabs>
          <w:tab w:val="right" w:leader="dot" w:pos="9016"/>
        </w:tabs>
        <w:spacing w:line="360" w:lineRule="auto"/>
        <w:rPr>
          <w:noProof/>
          <w:lang w:eastAsia="en-GB"/>
        </w:rPr>
      </w:pPr>
      <w:hyperlink w:anchor="_Toc110342107" w:history="1">
        <w:r w:rsidR="00C10D2B" w:rsidRPr="00C10D2B">
          <w:rPr>
            <w:rStyle w:val="Hyperlink"/>
            <w:rFonts w:ascii="Arial" w:hAnsi="Arial" w:cs="Arial"/>
            <w:b/>
            <w:noProof/>
          </w:rPr>
          <w:t>Figure 4</w:t>
        </w:r>
        <w:r w:rsidR="00C10D2B" w:rsidRPr="00916160">
          <w:rPr>
            <w:rStyle w:val="Hyperlink"/>
            <w:rFonts w:ascii="Arial" w:hAnsi="Arial" w:cs="Arial"/>
            <w:noProof/>
          </w:rPr>
          <w:t>: Host status of vegetable crops to different genera and species of stubby root nematodes. Scheme created from https://www.best4soil.eu/database based on research from Wageningen University and research | Field crops, Lelystad.</w:t>
        </w:r>
        <w:r w:rsidR="00C10D2B">
          <w:rPr>
            <w:noProof/>
            <w:webHidden/>
          </w:rPr>
          <w:tab/>
        </w:r>
        <w:r w:rsidR="00C10D2B">
          <w:rPr>
            <w:noProof/>
            <w:webHidden/>
          </w:rPr>
          <w:fldChar w:fldCharType="begin"/>
        </w:r>
        <w:r w:rsidR="00C10D2B">
          <w:rPr>
            <w:noProof/>
            <w:webHidden/>
          </w:rPr>
          <w:instrText xml:space="preserve"> PAGEREF _Toc110342107 \h </w:instrText>
        </w:r>
        <w:r w:rsidR="00C10D2B">
          <w:rPr>
            <w:noProof/>
            <w:webHidden/>
          </w:rPr>
        </w:r>
        <w:r w:rsidR="00C10D2B">
          <w:rPr>
            <w:noProof/>
            <w:webHidden/>
          </w:rPr>
          <w:fldChar w:fldCharType="separate"/>
        </w:r>
        <w:r w:rsidR="00C10D2B">
          <w:rPr>
            <w:noProof/>
            <w:webHidden/>
          </w:rPr>
          <w:t>18</w:t>
        </w:r>
        <w:r w:rsidR="00C10D2B">
          <w:rPr>
            <w:noProof/>
            <w:webHidden/>
          </w:rPr>
          <w:fldChar w:fldCharType="end"/>
        </w:r>
      </w:hyperlink>
    </w:p>
    <w:p w14:paraId="3BA72962" w14:textId="551AC9A4" w:rsidR="00C10D2B" w:rsidRDefault="007B60A3" w:rsidP="00C10D2B">
      <w:pPr>
        <w:pStyle w:val="TableofFigures"/>
        <w:tabs>
          <w:tab w:val="right" w:leader="dot" w:pos="9016"/>
        </w:tabs>
        <w:spacing w:line="360" w:lineRule="auto"/>
        <w:rPr>
          <w:noProof/>
          <w:lang w:eastAsia="en-GB"/>
        </w:rPr>
      </w:pPr>
      <w:hyperlink w:anchor="_Toc110342108" w:history="1">
        <w:r w:rsidR="00C10D2B" w:rsidRPr="00C10D2B">
          <w:rPr>
            <w:rStyle w:val="Hyperlink"/>
            <w:rFonts w:ascii="Arial" w:hAnsi="Arial" w:cs="Arial"/>
            <w:b/>
            <w:noProof/>
          </w:rPr>
          <w:t>Figure 5:</w:t>
        </w:r>
        <w:r w:rsidR="00C10D2B" w:rsidRPr="00916160">
          <w:rPr>
            <w:rStyle w:val="Hyperlink"/>
            <w:rFonts w:ascii="Arial" w:hAnsi="Arial" w:cs="Arial"/>
            <w:noProof/>
          </w:rPr>
          <w:t xml:space="preserve"> Feeding by stubby root nematode, </w:t>
        </w:r>
        <w:r w:rsidR="00C10D2B" w:rsidRPr="00916160">
          <w:rPr>
            <w:rStyle w:val="Hyperlink"/>
            <w:rFonts w:ascii="Arial" w:hAnsi="Arial" w:cs="Arial"/>
            <w:noProof/>
            <w:shd w:val="clear" w:color="auto" w:fill="FFFFFF"/>
          </w:rPr>
          <w:t>on a root hair through a feeding tube. photograph (Wyss, 1981) , institute of phytopathology, Germany.</w:t>
        </w:r>
        <w:r w:rsidR="00C10D2B">
          <w:rPr>
            <w:noProof/>
            <w:webHidden/>
          </w:rPr>
          <w:tab/>
        </w:r>
        <w:r w:rsidR="00C10D2B">
          <w:rPr>
            <w:noProof/>
            <w:webHidden/>
          </w:rPr>
          <w:fldChar w:fldCharType="begin"/>
        </w:r>
        <w:r w:rsidR="00C10D2B">
          <w:rPr>
            <w:noProof/>
            <w:webHidden/>
          </w:rPr>
          <w:instrText xml:space="preserve"> PAGEREF _Toc110342108 \h </w:instrText>
        </w:r>
        <w:r w:rsidR="00C10D2B">
          <w:rPr>
            <w:noProof/>
            <w:webHidden/>
          </w:rPr>
        </w:r>
        <w:r w:rsidR="00C10D2B">
          <w:rPr>
            <w:noProof/>
            <w:webHidden/>
          </w:rPr>
          <w:fldChar w:fldCharType="separate"/>
        </w:r>
        <w:r w:rsidR="00C10D2B">
          <w:rPr>
            <w:noProof/>
            <w:webHidden/>
          </w:rPr>
          <w:t>20</w:t>
        </w:r>
        <w:r w:rsidR="00C10D2B">
          <w:rPr>
            <w:noProof/>
            <w:webHidden/>
          </w:rPr>
          <w:fldChar w:fldCharType="end"/>
        </w:r>
      </w:hyperlink>
    </w:p>
    <w:p w14:paraId="16EB65FA" w14:textId="7DE05016" w:rsidR="00C10D2B" w:rsidRDefault="007B60A3" w:rsidP="00C10D2B">
      <w:pPr>
        <w:pStyle w:val="TableofFigures"/>
        <w:tabs>
          <w:tab w:val="right" w:leader="dot" w:pos="9016"/>
        </w:tabs>
        <w:spacing w:line="360" w:lineRule="auto"/>
        <w:rPr>
          <w:noProof/>
          <w:lang w:eastAsia="en-GB"/>
        </w:rPr>
      </w:pPr>
      <w:hyperlink w:anchor="_Toc110342109" w:history="1">
        <w:r w:rsidR="00C10D2B" w:rsidRPr="00C10D2B">
          <w:rPr>
            <w:rStyle w:val="Hyperlink"/>
            <w:rFonts w:ascii="Arial" w:hAnsi="Arial" w:cs="Arial"/>
            <w:b/>
            <w:noProof/>
          </w:rPr>
          <w:t>Figure 6</w:t>
        </w:r>
        <w:r w:rsidR="00C10D2B" w:rsidRPr="00916160">
          <w:rPr>
            <w:rStyle w:val="Hyperlink"/>
            <w:rFonts w:ascii="Arial" w:hAnsi="Arial" w:cs="Arial"/>
            <w:noProof/>
          </w:rPr>
          <w:t>:Fanged sugar beet root system (Left) verses healthy root system (Right)</w:t>
        </w:r>
        <w:r w:rsidR="00C10D2B">
          <w:rPr>
            <w:noProof/>
            <w:webHidden/>
          </w:rPr>
          <w:tab/>
        </w:r>
        <w:r w:rsidR="00C10D2B">
          <w:rPr>
            <w:noProof/>
            <w:webHidden/>
          </w:rPr>
          <w:fldChar w:fldCharType="begin"/>
        </w:r>
        <w:r w:rsidR="00C10D2B">
          <w:rPr>
            <w:noProof/>
            <w:webHidden/>
          </w:rPr>
          <w:instrText xml:space="preserve"> PAGEREF _Toc110342109 \h </w:instrText>
        </w:r>
        <w:r w:rsidR="00C10D2B">
          <w:rPr>
            <w:noProof/>
            <w:webHidden/>
          </w:rPr>
        </w:r>
        <w:r w:rsidR="00C10D2B">
          <w:rPr>
            <w:noProof/>
            <w:webHidden/>
          </w:rPr>
          <w:fldChar w:fldCharType="separate"/>
        </w:r>
        <w:r w:rsidR="00C10D2B">
          <w:rPr>
            <w:noProof/>
            <w:webHidden/>
          </w:rPr>
          <w:t>22</w:t>
        </w:r>
        <w:r w:rsidR="00C10D2B">
          <w:rPr>
            <w:noProof/>
            <w:webHidden/>
          </w:rPr>
          <w:fldChar w:fldCharType="end"/>
        </w:r>
      </w:hyperlink>
    </w:p>
    <w:p w14:paraId="5FB3E556" w14:textId="129DF97D" w:rsidR="00C10D2B" w:rsidRDefault="007B60A3" w:rsidP="00C10D2B">
      <w:pPr>
        <w:pStyle w:val="TableofFigures"/>
        <w:tabs>
          <w:tab w:val="right" w:leader="dot" w:pos="9016"/>
        </w:tabs>
        <w:spacing w:line="360" w:lineRule="auto"/>
        <w:rPr>
          <w:noProof/>
          <w:lang w:eastAsia="en-GB"/>
        </w:rPr>
      </w:pPr>
      <w:hyperlink w:anchor="_Toc110342110" w:history="1">
        <w:r w:rsidR="00C10D2B" w:rsidRPr="00C10D2B">
          <w:rPr>
            <w:rStyle w:val="Hyperlink"/>
            <w:rFonts w:ascii="Arial" w:hAnsi="Arial" w:cs="Arial"/>
            <w:b/>
            <w:noProof/>
          </w:rPr>
          <w:t>Figure 7</w:t>
        </w:r>
        <w:r w:rsidR="00C10D2B" w:rsidRPr="00916160">
          <w:rPr>
            <w:rStyle w:val="Hyperlink"/>
            <w:rFonts w:ascii="Arial" w:hAnsi="Arial" w:cs="Arial"/>
            <w:noProof/>
          </w:rPr>
          <w:t>: Hydrolysis of glucosinolates into isothiocyanates, thiocyanate and nitriles by enzyme myrosinase.</w:t>
        </w:r>
        <w:r w:rsidR="00C10D2B">
          <w:rPr>
            <w:noProof/>
            <w:webHidden/>
          </w:rPr>
          <w:tab/>
        </w:r>
        <w:r w:rsidR="00C10D2B">
          <w:rPr>
            <w:noProof/>
            <w:webHidden/>
          </w:rPr>
          <w:fldChar w:fldCharType="begin"/>
        </w:r>
        <w:r w:rsidR="00C10D2B">
          <w:rPr>
            <w:noProof/>
            <w:webHidden/>
          </w:rPr>
          <w:instrText xml:space="preserve"> PAGEREF _Toc110342110 \h </w:instrText>
        </w:r>
        <w:r w:rsidR="00C10D2B">
          <w:rPr>
            <w:noProof/>
            <w:webHidden/>
          </w:rPr>
        </w:r>
        <w:r w:rsidR="00C10D2B">
          <w:rPr>
            <w:noProof/>
            <w:webHidden/>
          </w:rPr>
          <w:fldChar w:fldCharType="separate"/>
        </w:r>
        <w:r w:rsidR="00C10D2B">
          <w:rPr>
            <w:noProof/>
            <w:webHidden/>
          </w:rPr>
          <w:t>33</w:t>
        </w:r>
        <w:r w:rsidR="00C10D2B">
          <w:rPr>
            <w:noProof/>
            <w:webHidden/>
          </w:rPr>
          <w:fldChar w:fldCharType="end"/>
        </w:r>
      </w:hyperlink>
    </w:p>
    <w:p w14:paraId="1371F2F4" w14:textId="7895113D" w:rsidR="00C10D2B" w:rsidRDefault="007B60A3" w:rsidP="00C10D2B">
      <w:pPr>
        <w:pStyle w:val="TableofFigures"/>
        <w:tabs>
          <w:tab w:val="right" w:leader="dot" w:pos="9016"/>
        </w:tabs>
        <w:spacing w:line="360" w:lineRule="auto"/>
        <w:rPr>
          <w:noProof/>
          <w:lang w:eastAsia="en-GB"/>
        </w:rPr>
      </w:pPr>
      <w:hyperlink w:anchor="_Toc110342111" w:history="1">
        <w:r w:rsidR="00C10D2B" w:rsidRPr="00C10D2B">
          <w:rPr>
            <w:rStyle w:val="Hyperlink"/>
            <w:rFonts w:ascii="Arial" w:hAnsi="Arial" w:cs="Arial"/>
            <w:b/>
            <w:noProof/>
          </w:rPr>
          <w:t>Figure 8:</w:t>
        </w:r>
        <w:r w:rsidR="00C10D2B" w:rsidRPr="00916160">
          <w:rPr>
            <w:rStyle w:val="Hyperlink"/>
            <w:rFonts w:ascii="Arial" w:hAnsi="Arial" w:cs="Arial"/>
            <w:noProof/>
          </w:rPr>
          <w:t xml:space="preserve"> Glasshouse pot experiment on host status of different cover crop species incubated for 8 weeks after planting</w:t>
        </w:r>
        <w:r w:rsidR="00C10D2B">
          <w:rPr>
            <w:noProof/>
            <w:webHidden/>
          </w:rPr>
          <w:tab/>
        </w:r>
        <w:r w:rsidR="00C10D2B">
          <w:rPr>
            <w:noProof/>
            <w:webHidden/>
          </w:rPr>
          <w:fldChar w:fldCharType="begin"/>
        </w:r>
        <w:r w:rsidR="00C10D2B">
          <w:rPr>
            <w:noProof/>
            <w:webHidden/>
          </w:rPr>
          <w:instrText xml:space="preserve"> PAGEREF _Toc110342111 \h </w:instrText>
        </w:r>
        <w:r w:rsidR="00C10D2B">
          <w:rPr>
            <w:noProof/>
            <w:webHidden/>
          </w:rPr>
        </w:r>
        <w:r w:rsidR="00C10D2B">
          <w:rPr>
            <w:noProof/>
            <w:webHidden/>
          </w:rPr>
          <w:fldChar w:fldCharType="separate"/>
        </w:r>
        <w:r w:rsidR="00C10D2B">
          <w:rPr>
            <w:noProof/>
            <w:webHidden/>
          </w:rPr>
          <w:t>55</w:t>
        </w:r>
        <w:r w:rsidR="00C10D2B">
          <w:rPr>
            <w:noProof/>
            <w:webHidden/>
          </w:rPr>
          <w:fldChar w:fldCharType="end"/>
        </w:r>
      </w:hyperlink>
    </w:p>
    <w:p w14:paraId="158244E6" w14:textId="107D1570" w:rsidR="00C10D2B" w:rsidRDefault="007B60A3" w:rsidP="00C10D2B">
      <w:pPr>
        <w:pStyle w:val="TableofFigures"/>
        <w:tabs>
          <w:tab w:val="right" w:leader="dot" w:pos="9016"/>
        </w:tabs>
        <w:spacing w:line="360" w:lineRule="auto"/>
        <w:rPr>
          <w:noProof/>
          <w:lang w:eastAsia="en-GB"/>
        </w:rPr>
      </w:pPr>
      <w:hyperlink w:anchor="_Toc110342112" w:history="1">
        <w:r w:rsidR="00C10D2B" w:rsidRPr="00C10D2B">
          <w:rPr>
            <w:rStyle w:val="Hyperlink"/>
            <w:rFonts w:ascii="Arial" w:hAnsi="Arial" w:cs="Arial"/>
            <w:b/>
            <w:noProof/>
          </w:rPr>
          <w:t>Figure 9:</w:t>
        </w:r>
        <w:r w:rsidR="00C10D2B" w:rsidRPr="00916160">
          <w:rPr>
            <w:rStyle w:val="Hyperlink"/>
            <w:rFonts w:ascii="Arial" w:hAnsi="Arial" w:cs="Arial"/>
            <w:noProof/>
          </w:rPr>
          <w:t xml:space="preserve"> Soil sampling of experimental plots at Bury St. Edmunds site, Suffolk</w:t>
        </w:r>
        <w:r w:rsidR="00C10D2B">
          <w:rPr>
            <w:noProof/>
            <w:webHidden/>
          </w:rPr>
          <w:tab/>
        </w:r>
        <w:r w:rsidR="00C10D2B">
          <w:rPr>
            <w:noProof/>
            <w:webHidden/>
          </w:rPr>
          <w:fldChar w:fldCharType="begin"/>
        </w:r>
        <w:r w:rsidR="00C10D2B">
          <w:rPr>
            <w:noProof/>
            <w:webHidden/>
          </w:rPr>
          <w:instrText xml:space="preserve"> PAGEREF _Toc110342112 \h </w:instrText>
        </w:r>
        <w:r w:rsidR="00C10D2B">
          <w:rPr>
            <w:noProof/>
            <w:webHidden/>
          </w:rPr>
        </w:r>
        <w:r w:rsidR="00C10D2B">
          <w:rPr>
            <w:noProof/>
            <w:webHidden/>
          </w:rPr>
          <w:fldChar w:fldCharType="separate"/>
        </w:r>
        <w:r w:rsidR="00C10D2B">
          <w:rPr>
            <w:noProof/>
            <w:webHidden/>
          </w:rPr>
          <w:t>58</w:t>
        </w:r>
        <w:r w:rsidR="00C10D2B">
          <w:rPr>
            <w:noProof/>
            <w:webHidden/>
          </w:rPr>
          <w:fldChar w:fldCharType="end"/>
        </w:r>
      </w:hyperlink>
    </w:p>
    <w:p w14:paraId="4199DF41" w14:textId="2A576177" w:rsidR="00C10D2B" w:rsidRDefault="007B60A3" w:rsidP="00C10D2B">
      <w:pPr>
        <w:pStyle w:val="TableofFigures"/>
        <w:tabs>
          <w:tab w:val="right" w:leader="dot" w:pos="9016"/>
        </w:tabs>
        <w:spacing w:line="360" w:lineRule="auto"/>
        <w:rPr>
          <w:noProof/>
          <w:lang w:eastAsia="en-GB"/>
        </w:rPr>
      </w:pPr>
      <w:hyperlink w:anchor="_Toc110342113" w:history="1">
        <w:r w:rsidR="00C10D2B" w:rsidRPr="00C10D2B">
          <w:rPr>
            <w:rStyle w:val="Hyperlink"/>
            <w:rFonts w:ascii="Arial" w:hAnsi="Arial" w:cs="Arial"/>
            <w:b/>
            <w:noProof/>
          </w:rPr>
          <w:t>Figure 10:</w:t>
        </w:r>
        <w:r w:rsidR="00C10D2B" w:rsidRPr="00916160">
          <w:rPr>
            <w:rStyle w:val="Hyperlink"/>
            <w:rFonts w:ascii="Arial" w:hAnsi="Arial" w:cs="Arial"/>
            <w:noProof/>
          </w:rPr>
          <w:t xml:space="preserve"> Polytomous key for morphological identification of nematodes in the family Trichodoridae (Decraemer and Baujard, 1998)</w:t>
        </w:r>
        <w:r w:rsidR="00C10D2B">
          <w:rPr>
            <w:noProof/>
            <w:webHidden/>
          </w:rPr>
          <w:tab/>
        </w:r>
        <w:r w:rsidR="00C10D2B">
          <w:rPr>
            <w:noProof/>
            <w:webHidden/>
          </w:rPr>
          <w:fldChar w:fldCharType="begin"/>
        </w:r>
        <w:r w:rsidR="00C10D2B">
          <w:rPr>
            <w:noProof/>
            <w:webHidden/>
          </w:rPr>
          <w:instrText xml:space="preserve"> PAGEREF _Toc110342113 \h </w:instrText>
        </w:r>
        <w:r w:rsidR="00C10D2B">
          <w:rPr>
            <w:noProof/>
            <w:webHidden/>
          </w:rPr>
        </w:r>
        <w:r w:rsidR="00C10D2B">
          <w:rPr>
            <w:noProof/>
            <w:webHidden/>
          </w:rPr>
          <w:fldChar w:fldCharType="separate"/>
        </w:r>
        <w:r w:rsidR="00C10D2B">
          <w:rPr>
            <w:noProof/>
            <w:webHidden/>
          </w:rPr>
          <w:t>59</w:t>
        </w:r>
        <w:r w:rsidR="00C10D2B">
          <w:rPr>
            <w:noProof/>
            <w:webHidden/>
          </w:rPr>
          <w:fldChar w:fldCharType="end"/>
        </w:r>
      </w:hyperlink>
    </w:p>
    <w:p w14:paraId="4716A731" w14:textId="307D1DFA" w:rsidR="00C10D2B" w:rsidRDefault="007B60A3" w:rsidP="00C10D2B">
      <w:pPr>
        <w:pStyle w:val="TableofFigures"/>
        <w:tabs>
          <w:tab w:val="right" w:leader="dot" w:pos="9016"/>
        </w:tabs>
        <w:spacing w:line="360" w:lineRule="auto"/>
        <w:rPr>
          <w:noProof/>
          <w:lang w:eastAsia="en-GB"/>
        </w:rPr>
      </w:pPr>
      <w:hyperlink w:anchor="_Toc110342114" w:history="1">
        <w:r w:rsidR="00C10D2B" w:rsidRPr="00C10D2B">
          <w:rPr>
            <w:rStyle w:val="Hyperlink"/>
            <w:rFonts w:ascii="Arial" w:hAnsi="Arial" w:cs="Arial"/>
            <w:b/>
            <w:noProof/>
          </w:rPr>
          <w:t>Figure 11</w:t>
        </w:r>
        <w:r w:rsidR="00C10D2B" w:rsidRPr="00916160">
          <w:rPr>
            <w:rStyle w:val="Hyperlink"/>
            <w:rFonts w:ascii="Arial" w:hAnsi="Arial" w:cs="Arial"/>
            <w:noProof/>
          </w:rPr>
          <w:t>: Average densities (±SE) of Stubby toot nematodes (SRN) in100g of soil from different samples, using MgSO</w:t>
        </w:r>
        <w:r w:rsidR="00C10D2B" w:rsidRPr="00916160">
          <w:rPr>
            <w:rStyle w:val="Hyperlink"/>
            <w:rFonts w:ascii="Arial" w:hAnsi="Arial" w:cs="Arial"/>
            <w:noProof/>
            <w:vertAlign w:val="subscript"/>
          </w:rPr>
          <w:t>4</w:t>
        </w:r>
        <w:r w:rsidR="00C10D2B" w:rsidRPr="00916160">
          <w:rPr>
            <w:rStyle w:val="Hyperlink"/>
            <w:rFonts w:ascii="Arial" w:hAnsi="Arial" w:cs="Arial"/>
            <w:noProof/>
          </w:rPr>
          <w:t>.7H</w:t>
        </w:r>
        <w:r w:rsidR="00C10D2B" w:rsidRPr="00916160">
          <w:rPr>
            <w:rStyle w:val="Hyperlink"/>
            <w:rFonts w:ascii="Arial" w:hAnsi="Arial" w:cs="Arial"/>
            <w:noProof/>
            <w:vertAlign w:val="subscript"/>
          </w:rPr>
          <w:t>2</w:t>
        </w:r>
        <w:r w:rsidR="00C10D2B" w:rsidRPr="00916160">
          <w:rPr>
            <w:rStyle w:val="Hyperlink"/>
            <w:rFonts w:ascii="Arial" w:hAnsi="Arial" w:cs="Arial"/>
            <w:noProof/>
          </w:rPr>
          <w:t>O and Ludox. Vertical bars show the standard error of the mean (</w:t>
        </w:r>
        <w:r w:rsidR="00C10D2B" w:rsidRPr="00916160">
          <w:rPr>
            <w:rStyle w:val="Hyperlink"/>
            <w:rFonts w:ascii="Arial" w:hAnsi="Arial" w:cs="Arial"/>
            <w:iCs/>
            <w:noProof/>
          </w:rPr>
          <w:t>n</w:t>
        </w:r>
        <w:r w:rsidR="00C10D2B" w:rsidRPr="00916160">
          <w:rPr>
            <w:rStyle w:val="Hyperlink"/>
            <w:rFonts w:ascii="Arial" w:hAnsi="Arial" w:cs="Arial"/>
            <w:noProof/>
          </w:rPr>
          <w:t> = 3). *ns = not significantly different (P&gt; 0.05).</w:t>
        </w:r>
        <w:r w:rsidR="00C10D2B">
          <w:rPr>
            <w:noProof/>
            <w:webHidden/>
          </w:rPr>
          <w:tab/>
        </w:r>
        <w:r w:rsidR="00C10D2B">
          <w:rPr>
            <w:noProof/>
            <w:webHidden/>
          </w:rPr>
          <w:fldChar w:fldCharType="begin"/>
        </w:r>
        <w:r w:rsidR="00C10D2B">
          <w:rPr>
            <w:noProof/>
            <w:webHidden/>
          </w:rPr>
          <w:instrText xml:space="preserve"> PAGEREF _Toc110342114 \h </w:instrText>
        </w:r>
        <w:r w:rsidR="00C10D2B">
          <w:rPr>
            <w:noProof/>
            <w:webHidden/>
          </w:rPr>
        </w:r>
        <w:r w:rsidR="00C10D2B">
          <w:rPr>
            <w:noProof/>
            <w:webHidden/>
          </w:rPr>
          <w:fldChar w:fldCharType="separate"/>
        </w:r>
        <w:r w:rsidR="00C10D2B">
          <w:rPr>
            <w:noProof/>
            <w:webHidden/>
          </w:rPr>
          <w:t>60</w:t>
        </w:r>
        <w:r w:rsidR="00C10D2B">
          <w:rPr>
            <w:noProof/>
            <w:webHidden/>
          </w:rPr>
          <w:fldChar w:fldCharType="end"/>
        </w:r>
      </w:hyperlink>
    </w:p>
    <w:p w14:paraId="4B18CFD4" w14:textId="22D555AD" w:rsidR="00C10D2B" w:rsidRDefault="007B60A3" w:rsidP="00C10D2B">
      <w:pPr>
        <w:pStyle w:val="TableofFigures"/>
        <w:tabs>
          <w:tab w:val="right" w:leader="dot" w:pos="9016"/>
        </w:tabs>
        <w:spacing w:line="360" w:lineRule="auto"/>
        <w:rPr>
          <w:noProof/>
          <w:lang w:eastAsia="en-GB"/>
        </w:rPr>
      </w:pPr>
      <w:hyperlink w:anchor="_Toc110342115" w:history="1">
        <w:r w:rsidR="00C10D2B" w:rsidRPr="00C10D2B">
          <w:rPr>
            <w:rStyle w:val="Hyperlink"/>
            <w:rFonts w:ascii="Arial" w:hAnsi="Arial" w:cs="Arial"/>
            <w:b/>
            <w:noProof/>
          </w:rPr>
          <w:t xml:space="preserve">Figure 12: </w:t>
        </w:r>
        <w:r w:rsidR="00C10D2B" w:rsidRPr="00916160">
          <w:rPr>
            <w:rStyle w:val="Hyperlink"/>
            <w:rFonts w:ascii="Arial" w:hAnsi="Arial" w:cs="Arial"/>
            <w:noProof/>
          </w:rPr>
          <w:t>Average densities (±SE) of SRN in100g of soil from different samples, using Centrifugal and two flask extraction methods. Vertical bars show the standard error of the mean (</w:t>
        </w:r>
        <w:r w:rsidR="00C10D2B" w:rsidRPr="00916160">
          <w:rPr>
            <w:rStyle w:val="Hyperlink"/>
            <w:rFonts w:ascii="Arial" w:hAnsi="Arial" w:cs="Arial"/>
            <w:iCs/>
            <w:noProof/>
          </w:rPr>
          <w:t>n</w:t>
        </w:r>
        <w:r w:rsidR="00C10D2B" w:rsidRPr="00916160">
          <w:rPr>
            <w:rStyle w:val="Hyperlink"/>
            <w:rFonts w:ascii="Arial" w:hAnsi="Arial" w:cs="Arial"/>
            <w:noProof/>
          </w:rPr>
          <w:t> = 3). *ns = not significantly different (p &gt; 0.05).</w:t>
        </w:r>
        <w:r w:rsidR="00C10D2B">
          <w:rPr>
            <w:noProof/>
            <w:webHidden/>
          </w:rPr>
          <w:tab/>
        </w:r>
        <w:r w:rsidR="00C10D2B">
          <w:rPr>
            <w:noProof/>
            <w:webHidden/>
          </w:rPr>
          <w:fldChar w:fldCharType="begin"/>
        </w:r>
        <w:r w:rsidR="00C10D2B">
          <w:rPr>
            <w:noProof/>
            <w:webHidden/>
          </w:rPr>
          <w:instrText xml:space="preserve"> PAGEREF _Toc110342115 \h </w:instrText>
        </w:r>
        <w:r w:rsidR="00C10D2B">
          <w:rPr>
            <w:noProof/>
            <w:webHidden/>
          </w:rPr>
        </w:r>
        <w:r w:rsidR="00C10D2B">
          <w:rPr>
            <w:noProof/>
            <w:webHidden/>
          </w:rPr>
          <w:fldChar w:fldCharType="separate"/>
        </w:r>
        <w:r w:rsidR="00C10D2B">
          <w:rPr>
            <w:noProof/>
            <w:webHidden/>
          </w:rPr>
          <w:t>61</w:t>
        </w:r>
        <w:r w:rsidR="00C10D2B">
          <w:rPr>
            <w:noProof/>
            <w:webHidden/>
          </w:rPr>
          <w:fldChar w:fldCharType="end"/>
        </w:r>
      </w:hyperlink>
    </w:p>
    <w:p w14:paraId="11E9C75E" w14:textId="74992605" w:rsidR="00C10D2B" w:rsidRDefault="007B60A3" w:rsidP="00C10D2B">
      <w:pPr>
        <w:pStyle w:val="TableofFigures"/>
        <w:tabs>
          <w:tab w:val="right" w:leader="dot" w:pos="9016"/>
        </w:tabs>
        <w:spacing w:line="360" w:lineRule="auto"/>
        <w:rPr>
          <w:noProof/>
          <w:lang w:eastAsia="en-GB"/>
        </w:rPr>
      </w:pPr>
      <w:hyperlink w:anchor="_Toc110342116" w:history="1">
        <w:r w:rsidR="00C10D2B" w:rsidRPr="00C10D2B">
          <w:rPr>
            <w:rStyle w:val="Hyperlink"/>
            <w:rFonts w:ascii="Arial" w:hAnsi="Arial" w:cs="Arial"/>
            <w:b/>
            <w:noProof/>
          </w:rPr>
          <w:t>Figure 13:</w:t>
        </w:r>
        <w:r w:rsidR="00C10D2B" w:rsidRPr="00916160">
          <w:rPr>
            <w:rStyle w:val="Hyperlink"/>
            <w:rFonts w:ascii="Arial" w:hAnsi="Arial" w:cs="Arial"/>
            <w:noProof/>
          </w:rPr>
          <w:t xml:space="preserve"> Average Stubby root nematodes (SRN densities) in 100g of soil from five sites/ Vertical bars show the standard error of the mean (</w:t>
        </w:r>
        <w:r w:rsidR="00C10D2B" w:rsidRPr="00916160">
          <w:rPr>
            <w:rStyle w:val="Hyperlink"/>
            <w:rFonts w:ascii="Arial" w:hAnsi="Arial" w:cs="Arial"/>
            <w:iCs/>
            <w:noProof/>
          </w:rPr>
          <w:t>n</w:t>
        </w:r>
        <w:r w:rsidR="00C10D2B" w:rsidRPr="00916160">
          <w:rPr>
            <w:rStyle w:val="Hyperlink"/>
            <w:rFonts w:ascii="Arial" w:hAnsi="Arial" w:cs="Arial"/>
            <w:noProof/>
          </w:rPr>
          <w:t> = 3). Means with the same small letter are not significantly different (p &gt; 0.05).</w:t>
        </w:r>
        <w:r w:rsidR="00C10D2B">
          <w:rPr>
            <w:noProof/>
            <w:webHidden/>
          </w:rPr>
          <w:tab/>
        </w:r>
        <w:r w:rsidR="00C10D2B">
          <w:rPr>
            <w:noProof/>
            <w:webHidden/>
          </w:rPr>
          <w:fldChar w:fldCharType="begin"/>
        </w:r>
        <w:r w:rsidR="00C10D2B">
          <w:rPr>
            <w:noProof/>
            <w:webHidden/>
          </w:rPr>
          <w:instrText xml:space="preserve"> PAGEREF _Toc110342116 \h </w:instrText>
        </w:r>
        <w:r w:rsidR="00C10D2B">
          <w:rPr>
            <w:noProof/>
            <w:webHidden/>
          </w:rPr>
        </w:r>
        <w:r w:rsidR="00C10D2B">
          <w:rPr>
            <w:noProof/>
            <w:webHidden/>
          </w:rPr>
          <w:fldChar w:fldCharType="separate"/>
        </w:r>
        <w:r w:rsidR="00C10D2B">
          <w:rPr>
            <w:noProof/>
            <w:webHidden/>
          </w:rPr>
          <w:t>62</w:t>
        </w:r>
        <w:r w:rsidR="00C10D2B">
          <w:rPr>
            <w:noProof/>
            <w:webHidden/>
          </w:rPr>
          <w:fldChar w:fldCharType="end"/>
        </w:r>
      </w:hyperlink>
    </w:p>
    <w:p w14:paraId="50922256" w14:textId="3BE85B36" w:rsidR="00C10D2B" w:rsidRDefault="007B60A3" w:rsidP="00C10D2B">
      <w:pPr>
        <w:pStyle w:val="TableofFigures"/>
        <w:tabs>
          <w:tab w:val="right" w:leader="dot" w:pos="9016"/>
        </w:tabs>
        <w:spacing w:line="360" w:lineRule="auto"/>
        <w:rPr>
          <w:noProof/>
          <w:lang w:eastAsia="en-GB"/>
        </w:rPr>
      </w:pPr>
      <w:hyperlink w:anchor="_Toc110342117" w:history="1">
        <w:r w:rsidR="00C10D2B" w:rsidRPr="00C10D2B">
          <w:rPr>
            <w:rStyle w:val="Hyperlink"/>
            <w:rFonts w:ascii="Arial" w:hAnsi="Arial" w:cs="Arial"/>
            <w:b/>
            <w:noProof/>
          </w:rPr>
          <w:t>Figure 14:</w:t>
        </w:r>
        <w:r w:rsidR="00C10D2B" w:rsidRPr="00916160">
          <w:rPr>
            <w:rStyle w:val="Hyperlink"/>
            <w:rFonts w:ascii="Arial" w:hAnsi="Arial" w:cs="Arial"/>
            <w:noProof/>
          </w:rPr>
          <w:t xml:space="preserve"> Average initial (Pi) and final (Pf) densities of stubby root nematodes (SRN) per pot (n=7) from a glasshouse experiment with 16 different cover crop species and a fallow control.</w:t>
        </w:r>
        <w:r w:rsidR="00C10D2B">
          <w:rPr>
            <w:noProof/>
            <w:webHidden/>
          </w:rPr>
          <w:tab/>
        </w:r>
        <w:r w:rsidR="00C10D2B">
          <w:rPr>
            <w:noProof/>
            <w:webHidden/>
          </w:rPr>
          <w:fldChar w:fldCharType="begin"/>
        </w:r>
        <w:r w:rsidR="00C10D2B">
          <w:rPr>
            <w:noProof/>
            <w:webHidden/>
          </w:rPr>
          <w:instrText xml:space="preserve"> PAGEREF _Toc110342117 \h </w:instrText>
        </w:r>
        <w:r w:rsidR="00C10D2B">
          <w:rPr>
            <w:noProof/>
            <w:webHidden/>
          </w:rPr>
        </w:r>
        <w:r w:rsidR="00C10D2B">
          <w:rPr>
            <w:noProof/>
            <w:webHidden/>
          </w:rPr>
          <w:fldChar w:fldCharType="separate"/>
        </w:r>
        <w:r w:rsidR="00C10D2B">
          <w:rPr>
            <w:noProof/>
            <w:webHidden/>
          </w:rPr>
          <w:t>63</w:t>
        </w:r>
        <w:r w:rsidR="00C10D2B">
          <w:rPr>
            <w:noProof/>
            <w:webHidden/>
          </w:rPr>
          <w:fldChar w:fldCharType="end"/>
        </w:r>
      </w:hyperlink>
    </w:p>
    <w:p w14:paraId="113C1822" w14:textId="53AABBFE" w:rsidR="00C10D2B" w:rsidRDefault="007B60A3" w:rsidP="00C10D2B">
      <w:pPr>
        <w:pStyle w:val="TableofFigures"/>
        <w:tabs>
          <w:tab w:val="right" w:leader="dot" w:pos="9016"/>
        </w:tabs>
        <w:spacing w:line="360" w:lineRule="auto"/>
        <w:rPr>
          <w:noProof/>
          <w:lang w:eastAsia="en-GB"/>
        </w:rPr>
      </w:pPr>
      <w:hyperlink w:anchor="_Toc110342118" w:history="1">
        <w:r w:rsidR="00C10D2B" w:rsidRPr="00C10D2B">
          <w:rPr>
            <w:rStyle w:val="Hyperlink"/>
            <w:rFonts w:ascii="Arial" w:hAnsi="Arial" w:cs="Arial"/>
            <w:b/>
            <w:noProof/>
          </w:rPr>
          <w:t>Figure 15:</w:t>
        </w:r>
        <w:r w:rsidR="00C10D2B" w:rsidRPr="00916160">
          <w:rPr>
            <w:rStyle w:val="Hyperlink"/>
            <w:rFonts w:ascii="Arial" w:hAnsi="Arial" w:cs="Arial"/>
            <w:noProof/>
          </w:rPr>
          <w:t xml:space="preserve"> </w:t>
        </w:r>
        <w:r w:rsidR="00C10D2B" w:rsidRPr="00916160">
          <w:rPr>
            <w:rStyle w:val="Hyperlink"/>
            <w:rFonts w:ascii="Arial" w:hAnsi="Arial" w:cs="Arial"/>
            <w:noProof/>
            <w:kern w:val="24"/>
          </w:rPr>
          <w:t>Average densities (±SE) of SRN per litre of soil, before planting (Pi) and 4 weeks after cover crop drilling. Vertical bars show the standard error of the mean (n = 5). Means with the same small letter are not significantly different according to Turkey HSD (p &gt; 0.05).</w:t>
        </w:r>
        <w:r w:rsidR="00C10D2B">
          <w:rPr>
            <w:noProof/>
            <w:webHidden/>
          </w:rPr>
          <w:tab/>
        </w:r>
        <w:r w:rsidR="00C10D2B">
          <w:rPr>
            <w:noProof/>
            <w:webHidden/>
          </w:rPr>
          <w:fldChar w:fldCharType="begin"/>
        </w:r>
        <w:r w:rsidR="00C10D2B">
          <w:rPr>
            <w:noProof/>
            <w:webHidden/>
          </w:rPr>
          <w:instrText xml:space="preserve"> PAGEREF _Toc110342118 \h </w:instrText>
        </w:r>
        <w:r w:rsidR="00C10D2B">
          <w:rPr>
            <w:noProof/>
            <w:webHidden/>
          </w:rPr>
        </w:r>
        <w:r w:rsidR="00C10D2B">
          <w:rPr>
            <w:noProof/>
            <w:webHidden/>
          </w:rPr>
          <w:fldChar w:fldCharType="separate"/>
        </w:r>
        <w:r w:rsidR="00C10D2B">
          <w:rPr>
            <w:noProof/>
            <w:webHidden/>
          </w:rPr>
          <w:t>64</w:t>
        </w:r>
        <w:r w:rsidR="00C10D2B">
          <w:rPr>
            <w:noProof/>
            <w:webHidden/>
          </w:rPr>
          <w:fldChar w:fldCharType="end"/>
        </w:r>
      </w:hyperlink>
    </w:p>
    <w:p w14:paraId="4976907D" w14:textId="0E069916" w:rsidR="00C10D2B" w:rsidRDefault="007B60A3" w:rsidP="00C10D2B">
      <w:pPr>
        <w:pStyle w:val="TableofFigures"/>
        <w:tabs>
          <w:tab w:val="right" w:leader="dot" w:pos="9016"/>
        </w:tabs>
        <w:spacing w:line="360" w:lineRule="auto"/>
        <w:rPr>
          <w:noProof/>
          <w:lang w:eastAsia="en-GB"/>
        </w:rPr>
      </w:pPr>
      <w:hyperlink w:anchor="_Toc110342119" w:history="1">
        <w:r w:rsidR="00C10D2B" w:rsidRPr="00C10D2B">
          <w:rPr>
            <w:rStyle w:val="Hyperlink"/>
            <w:rFonts w:ascii="Arial" w:hAnsi="Arial" w:cs="Arial"/>
            <w:b/>
            <w:noProof/>
          </w:rPr>
          <w:t>Figure 16:</w:t>
        </w:r>
        <w:r w:rsidR="00C10D2B" w:rsidRPr="00916160">
          <w:rPr>
            <w:rStyle w:val="Hyperlink"/>
            <w:rFonts w:ascii="Arial" w:hAnsi="Arial" w:cs="Arial"/>
            <w:noProof/>
          </w:rPr>
          <w:t xml:space="preserve"> Average reproduction factor (RF= density at 4weeks /Initial density (Pi) of Stubby root nematodes (SRN), Vertical bars show the standard error of the mean (n = 5). Means with the same small letter are not significantly different (p &gt; 0.05) according to Turkey HSD.</w:t>
        </w:r>
        <w:r w:rsidR="00C10D2B">
          <w:rPr>
            <w:noProof/>
            <w:webHidden/>
          </w:rPr>
          <w:tab/>
        </w:r>
        <w:r w:rsidR="00C10D2B">
          <w:rPr>
            <w:noProof/>
            <w:webHidden/>
          </w:rPr>
          <w:fldChar w:fldCharType="begin"/>
        </w:r>
        <w:r w:rsidR="00C10D2B">
          <w:rPr>
            <w:noProof/>
            <w:webHidden/>
          </w:rPr>
          <w:instrText xml:space="preserve"> PAGEREF _Toc110342119 \h </w:instrText>
        </w:r>
        <w:r w:rsidR="00C10D2B">
          <w:rPr>
            <w:noProof/>
            <w:webHidden/>
          </w:rPr>
        </w:r>
        <w:r w:rsidR="00C10D2B">
          <w:rPr>
            <w:noProof/>
            <w:webHidden/>
          </w:rPr>
          <w:fldChar w:fldCharType="separate"/>
        </w:r>
        <w:r w:rsidR="00C10D2B">
          <w:rPr>
            <w:noProof/>
            <w:webHidden/>
          </w:rPr>
          <w:t>65</w:t>
        </w:r>
        <w:r w:rsidR="00C10D2B">
          <w:rPr>
            <w:noProof/>
            <w:webHidden/>
          </w:rPr>
          <w:fldChar w:fldCharType="end"/>
        </w:r>
      </w:hyperlink>
    </w:p>
    <w:p w14:paraId="61C5C413" w14:textId="1DC0E35D" w:rsidR="00C10D2B" w:rsidRPr="00C10D2B" w:rsidRDefault="002D4EBB" w:rsidP="00C10D2B">
      <w:pPr>
        <w:rPr>
          <w:rFonts w:ascii="Arial" w:hAnsi="Arial" w:cs="Arial"/>
          <w:b/>
          <w:sz w:val="24"/>
          <w:szCs w:val="24"/>
        </w:rPr>
      </w:pPr>
      <w:r w:rsidRPr="00B115F3">
        <w:fldChar w:fldCharType="end"/>
      </w:r>
      <w:bookmarkStart w:id="0" w:name="_Toc110341268"/>
      <w:r w:rsidR="00C10D2B" w:rsidRPr="00C10D2B">
        <w:rPr>
          <w:rFonts w:ascii="Arial" w:hAnsi="Arial" w:cs="Arial"/>
          <w:b/>
          <w:sz w:val="24"/>
          <w:szCs w:val="24"/>
        </w:rPr>
        <w:t xml:space="preserve">List of tables </w:t>
      </w:r>
    </w:p>
    <w:p w14:paraId="0F0AA152" w14:textId="30543B7E" w:rsidR="00DD3BE0" w:rsidRDefault="00DA65B8" w:rsidP="00DD3BE0">
      <w:pPr>
        <w:pStyle w:val="TableofFigures"/>
        <w:tabs>
          <w:tab w:val="right" w:leader="dot" w:pos="9016"/>
        </w:tabs>
        <w:spacing w:line="360" w:lineRule="auto"/>
        <w:rPr>
          <w:noProof/>
          <w:lang w:eastAsia="en-GB"/>
        </w:rPr>
      </w:pPr>
      <w:r>
        <w:rPr>
          <w:rFonts w:ascii="Arial" w:hAnsi="Arial" w:cs="Arial"/>
          <w:b/>
          <w:color w:val="000000" w:themeColor="text1"/>
          <w:sz w:val="24"/>
          <w:szCs w:val="24"/>
        </w:rPr>
        <w:fldChar w:fldCharType="begin"/>
      </w:r>
      <w:r>
        <w:rPr>
          <w:rFonts w:ascii="Arial" w:hAnsi="Arial" w:cs="Arial"/>
          <w:b/>
          <w:color w:val="000000" w:themeColor="text1"/>
          <w:sz w:val="24"/>
          <w:szCs w:val="24"/>
        </w:rPr>
        <w:instrText xml:space="preserve"> TOC \h \z \c "Table" </w:instrText>
      </w:r>
      <w:r>
        <w:rPr>
          <w:rFonts w:ascii="Arial" w:hAnsi="Arial" w:cs="Arial"/>
          <w:b/>
          <w:color w:val="000000" w:themeColor="text1"/>
          <w:sz w:val="24"/>
          <w:szCs w:val="24"/>
        </w:rPr>
        <w:fldChar w:fldCharType="separate"/>
      </w:r>
      <w:hyperlink w:anchor="_Toc110343300" w:history="1">
        <w:r w:rsidR="00DD3BE0" w:rsidRPr="00F467FC">
          <w:rPr>
            <w:rStyle w:val="Hyperlink"/>
            <w:rFonts w:ascii="Arial" w:hAnsi="Arial" w:cs="Arial"/>
            <w:b/>
            <w:noProof/>
          </w:rPr>
          <w:t>Table 1</w:t>
        </w:r>
        <w:r w:rsidR="00DD3BE0" w:rsidRPr="00F467FC">
          <w:rPr>
            <w:rStyle w:val="Hyperlink"/>
            <w:rFonts w:ascii="Arial" w:hAnsi="Arial" w:cs="Arial"/>
            <w:noProof/>
          </w:rPr>
          <w:t>: The proportion of the sugar-beet crop reported to be affected by Docking disorder for each factory area between 1967-1972; the areas from 1968 onwards are those reported affected in June (the month in which most Docking disorder is usually apparent). Source: Cooke, 1973.</w:t>
        </w:r>
        <w:r w:rsidR="00DD3BE0">
          <w:rPr>
            <w:noProof/>
            <w:webHidden/>
          </w:rPr>
          <w:tab/>
        </w:r>
        <w:r w:rsidR="00DD3BE0">
          <w:rPr>
            <w:noProof/>
            <w:webHidden/>
          </w:rPr>
          <w:fldChar w:fldCharType="begin"/>
        </w:r>
        <w:r w:rsidR="00DD3BE0">
          <w:rPr>
            <w:noProof/>
            <w:webHidden/>
          </w:rPr>
          <w:instrText xml:space="preserve"> PAGEREF _Toc110343300 \h </w:instrText>
        </w:r>
        <w:r w:rsidR="00DD3BE0">
          <w:rPr>
            <w:noProof/>
            <w:webHidden/>
          </w:rPr>
        </w:r>
        <w:r w:rsidR="00DD3BE0">
          <w:rPr>
            <w:noProof/>
            <w:webHidden/>
          </w:rPr>
          <w:fldChar w:fldCharType="separate"/>
        </w:r>
        <w:r w:rsidR="00DD3BE0">
          <w:rPr>
            <w:noProof/>
            <w:webHidden/>
          </w:rPr>
          <w:t>23</w:t>
        </w:r>
        <w:r w:rsidR="00DD3BE0">
          <w:rPr>
            <w:noProof/>
            <w:webHidden/>
          </w:rPr>
          <w:fldChar w:fldCharType="end"/>
        </w:r>
      </w:hyperlink>
    </w:p>
    <w:p w14:paraId="25DB758C" w14:textId="03AC5711" w:rsidR="00DD3BE0" w:rsidRDefault="007B60A3" w:rsidP="00DD3BE0">
      <w:pPr>
        <w:pStyle w:val="TableofFigures"/>
        <w:tabs>
          <w:tab w:val="right" w:leader="dot" w:pos="9016"/>
        </w:tabs>
        <w:spacing w:line="360" w:lineRule="auto"/>
        <w:rPr>
          <w:noProof/>
          <w:lang w:eastAsia="en-GB"/>
        </w:rPr>
      </w:pPr>
      <w:hyperlink w:anchor="_Toc110343301" w:history="1">
        <w:r w:rsidR="00DD3BE0" w:rsidRPr="00DD3BE0">
          <w:rPr>
            <w:rStyle w:val="Hyperlink"/>
            <w:rFonts w:ascii="Arial" w:hAnsi="Arial" w:cs="Arial"/>
            <w:b/>
            <w:noProof/>
          </w:rPr>
          <w:t>Table 2</w:t>
        </w:r>
        <w:r w:rsidR="00DD3BE0" w:rsidRPr="00F467FC">
          <w:rPr>
            <w:rStyle w:val="Hyperlink"/>
            <w:rFonts w:ascii="Arial" w:hAnsi="Arial" w:cs="Arial"/>
            <w:noProof/>
          </w:rPr>
          <w:t>: Glucosinolates nomenclature, source, structure and acronyms (Wathelet et.al., 2004)</w:t>
        </w:r>
        <w:r w:rsidR="00DD3BE0">
          <w:rPr>
            <w:noProof/>
            <w:webHidden/>
          </w:rPr>
          <w:tab/>
        </w:r>
        <w:r w:rsidR="00DD3BE0">
          <w:rPr>
            <w:noProof/>
            <w:webHidden/>
          </w:rPr>
          <w:fldChar w:fldCharType="begin"/>
        </w:r>
        <w:r w:rsidR="00DD3BE0">
          <w:rPr>
            <w:noProof/>
            <w:webHidden/>
          </w:rPr>
          <w:instrText xml:space="preserve"> PAGEREF _Toc110343301 \h </w:instrText>
        </w:r>
        <w:r w:rsidR="00DD3BE0">
          <w:rPr>
            <w:noProof/>
            <w:webHidden/>
          </w:rPr>
        </w:r>
        <w:r w:rsidR="00DD3BE0">
          <w:rPr>
            <w:noProof/>
            <w:webHidden/>
          </w:rPr>
          <w:fldChar w:fldCharType="separate"/>
        </w:r>
        <w:r w:rsidR="00DD3BE0">
          <w:rPr>
            <w:noProof/>
            <w:webHidden/>
          </w:rPr>
          <w:t>30</w:t>
        </w:r>
        <w:r w:rsidR="00DD3BE0">
          <w:rPr>
            <w:noProof/>
            <w:webHidden/>
          </w:rPr>
          <w:fldChar w:fldCharType="end"/>
        </w:r>
      </w:hyperlink>
    </w:p>
    <w:p w14:paraId="6F393C85" w14:textId="43622F66" w:rsidR="00DD3BE0" w:rsidRDefault="007B60A3" w:rsidP="00DD3BE0">
      <w:pPr>
        <w:pStyle w:val="TableofFigures"/>
        <w:tabs>
          <w:tab w:val="right" w:leader="dot" w:pos="9016"/>
        </w:tabs>
        <w:spacing w:line="360" w:lineRule="auto"/>
        <w:rPr>
          <w:noProof/>
          <w:lang w:eastAsia="en-GB"/>
        </w:rPr>
      </w:pPr>
      <w:hyperlink w:anchor="_Toc110343302" w:history="1">
        <w:r w:rsidR="00DD3BE0" w:rsidRPr="00DD3BE0">
          <w:rPr>
            <w:rStyle w:val="Hyperlink"/>
            <w:rFonts w:ascii="Arial" w:hAnsi="Arial" w:cs="Arial"/>
            <w:b/>
            <w:noProof/>
          </w:rPr>
          <w:t>Table 3</w:t>
        </w:r>
        <w:r w:rsidR="00DD3BE0" w:rsidRPr="00F467FC">
          <w:rPr>
            <w:rStyle w:val="Hyperlink"/>
            <w:rFonts w:ascii="Arial" w:hAnsi="Arial" w:cs="Arial"/>
            <w:noProof/>
          </w:rPr>
          <w:t xml:space="preserve">:Effects of Biofumigation on plant parasitic nematode populations using different Brassicaceae species (Fourie </w:t>
        </w:r>
        <w:r w:rsidR="00DD3BE0" w:rsidRPr="00F467FC">
          <w:rPr>
            <w:rStyle w:val="Hyperlink"/>
            <w:rFonts w:ascii="Arial" w:hAnsi="Arial" w:cs="Arial"/>
            <w:i/>
            <w:noProof/>
          </w:rPr>
          <w:t>et al.</w:t>
        </w:r>
        <w:r w:rsidR="00DD3BE0" w:rsidRPr="00F467FC">
          <w:rPr>
            <w:rStyle w:val="Hyperlink"/>
            <w:rFonts w:ascii="Arial" w:hAnsi="Arial" w:cs="Arial"/>
            <w:noProof/>
          </w:rPr>
          <w:t>, 2016)</w:t>
        </w:r>
        <w:r w:rsidR="00DD3BE0">
          <w:rPr>
            <w:noProof/>
            <w:webHidden/>
          </w:rPr>
          <w:tab/>
        </w:r>
        <w:r w:rsidR="00DD3BE0">
          <w:rPr>
            <w:noProof/>
            <w:webHidden/>
          </w:rPr>
          <w:fldChar w:fldCharType="begin"/>
        </w:r>
        <w:r w:rsidR="00DD3BE0">
          <w:rPr>
            <w:noProof/>
            <w:webHidden/>
          </w:rPr>
          <w:instrText xml:space="preserve"> PAGEREF _Toc110343302 \h </w:instrText>
        </w:r>
        <w:r w:rsidR="00DD3BE0">
          <w:rPr>
            <w:noProof/>
            <w:webHidden/>
          </w:rPr>
        </w:r>
        <w:r w:rsidR="00DD3BE0">
          <w:rPr>
            <w:noProof/>
            <w:webHidden/>
          </w:rPr>
          <w:fldChar w:fldCharType="separate"/>
        </w:r>
        <w:r w:rsidR="00DD3BE0">
          <w:rPr>
            <w:noProof/>
            <w:webHidden/>
          </w:rPr>
          <w:t>41</w:t>
        </w:r>
        <w:r w:rsidR="00DD3BE0">
          <w:rPr>
            <w:noProof/>
            <w:webHidden/>
          </w:rPr>
          <w:fldChar w:fldCharType="end"/>
        </w:r>
      </w:hyperlink>
    </w:p>
    <w:p w14:paraId="01D3B128" w14:textId="07273C91" w:rsidR="00DD3BE0" w:rsidRDefault="007B60A3" w:rsidP="00DD3BE0">
      <w:pPr>
        <w:pStyle w:val="TableofFigures"/>
        <w:tabs>
          <w:tab w:val="right" w:leader="dot" w:pos="9016"/>
        </w:tabs>
        <w:spacing w:line="360" w:lineRule="auto"/>
        <w:rPr>
          <w:noProof/>
          <w:lang w:eastAsia="en-GB"/>
        </w:rPr>
      </w:pPr>
      <w:hyperlink w:anchor="_Toc110343303" w:history="1">
        <w:r w:rsidR="00DD3BE0" w:rsidRPr="00DD3BE0">
          <w:rPr>
            <w:rStyle w:val="Hyperlink"/>
            <w:rFonts w:ascii="Arial" w:hAnsi="Arial" w:cs="Arial"/>
            <w:b/>
            <w:noProof/>
          </w:rPr>
          <w:t>Table 4:</w:t>
        </w:r>
        <w:r w:rsidR="00DD3BE0" w:rsidRPr="00F467FC">
          <w:rPr>
            <w:rStyle w:val="Hyperlink"/>
            <w:rFonts w:ascii="Arial" w:hAnsi="Arial" w:cs="Arial"/>
            <w:noProof/>
          </w:rPr>
          <w:t xml:space="preserve"> List of cover crop treatments used in a glasshouse experiment to determine host status</w:t>
        </w:r>
        <w:r w:rsidR="00DD3BE0">
          <w:rPr>
            <w:noProof/>
            <w:webHidden/>
          </w:rPr>
          <w:tab/>
        </w:r>
        <w:r w:rsidR="00DD3BE0">
          <w:rPr>
            <w:noProof/>
            <w:webHidden/>
          </w:rPr>
          <w:fldChar w:fldCharType="begin"/>
        </w:r>
        <w:r w:rsidR="00DD3BE0">
          <w:rPr>
            <w:noProof/>
            <w:webHidden/>
          </w:rPr>
          <w:instrText xml:space="preserve"> PAGEREF _Toc110343303 \h </w:instrText>
        </w:r>
        <w:r w:rsidR="00DD3BE0">
          <w:rPr>
            <w:noProof/>
            <w:webHidden/>
          </w:rPr>
        </w:r>
        <w:r w:rsidR="00DD3BE0">
          <w:rPr>
            <w:noProof/>
            <w:webHidden/>
          </w:rPr>
          <w:fldChar w:fldCharType="separate"/>
        </w:r>
        <w:r w:rsidR="00DD3BE0">
          <w:rPr>
            <w:noProof/>
            <w:webHidden/>
          </w:rPr>
          <w:t>57</w:t>
        </w:r>
        <w:r w:rsidR="00DD3BE0">
          <w:rPr>
            <w:noProof/>
            <w:webHidden/>
          </w:rPr>
          <w:fldChar w:fldCharType="end"/>
        </w:r>
      </w:hyperlink>
    </w:p>
    <w:p w14:paraId="3140024E" w14:textId="7FAA4D29" w:rsidR="00DD3BE0" w:rsidRDefault="007B60A3" w:rsidP="00DD3BE0">
      <w:pPr>
        <w:pStyle w:val="TableofFigures"/>
        <w:tabs>
          <w:tab w:val="right" w:leader="dot" w:pos="9016"/>
        </w:tabs>
        <w:spacing w:line="360" w:lineRule="auto"/>
        <w:rPr>
          <w:noProof/>
          <w:lang w:eastAsia="en-GB"/>
        </w:rPr>
      </w:pPr>
      <w:hyperlink w:anchor="_Toc110343304" w:history="1">
        <w:r w:rsidR="00DD3BE0" w:rsidRPr="00DD3BE0">
          <w:rPr>
            <w:rStyle w:val="Hyperlink"/>
            <w:rFonts w:ascii="Arial" w:hAnsi="Arial" w:cs="Arial"/>
            <w:b/>
            <w:noProof/>
          </w:rPr>
          <w:t>Table 5</w:t>
        </w:r>
        <w:r w:rsidR="00DD3BE0" w:rsidRPr="00F467FC">
          <w:rPr>
            <w:rStyle w:val="Hyperlink"/>
            <w:rFonts w:ascii="Arial" w:hAnsi="Arial" w:cs="Arial"/>
            <w:noProof/>
          </w:rPr>
          <w:t>: Cover crop treatments for field experiment</w:t>
        </w:r>
        <w:r w:rsidR="00DD3BE0">
          <w:rPr>
            <w:noProof/>
            <w:webHidden/>
          </w:rPr>
          <w:tab/>
        </w:r>
        <w:r w:rsidR="00DD3BE0">
          <w:rPr>
            <w:noProof/>
            <w:webHidden/>
          </w:rPr>
          <w:fldChar w:fldCharType="begin"/>
        </w:r>
        <w:r w:rsidR="00DD3BE0">
          <w:rPr>
            <w:noProof/>
            <w:webHidden/>
          </w:rPr>
          <w:instrText xml:space="preserve"> PAGEREF _Toc110343304 \h </w:instrText>
        </w:r>
        <w:r w:rsidR="00DD3BE0">
          <w:rPr>
            <w:noProof/>
            <w:webHidden/>
          </w:rPr>
        </w:r>
        <w:r w:rsidR="00DD3BE0">
          <w:rPr>
            <w:noProof/>
            <w:webHidden/>
          </w:rPr>
          <w:fldChar w:fldCharType="separate"/>
        </w:r>
        <w:r w:rsidR="00DD3BE0">
          <w:rPr>
            <w:noProof/>
            <w:webHidden/>
          </w:rPr>
          <w:t>59</w:t>
        </w:r>
        <w:r w:rsidR="00DD3BE0">
          <w:rPr>
            <w:noProof/>
            <w:webHidden/>
          </w:rPr>
          <w:fldChar w:fldCharType="end"/>
        </w:r>
      </w:hyperlink>
    </w:p>
    <w:p w14:paraId="4909D8C0" w14:textId="48D784B3" w:rsidR="00C10D2B" w:rsidRDefault="00DA65B8" w:rsidP="00DD3BE0">
      <w:pPr>
        <w:pStyle w:val="Heading1"/>
        <w:spacing w:line="360" w:lineRule="auto"/>
        <w:rPr>
          <w:rFonts w:ascii="Arial" w:hAnsi="Arial" w:cs="Arial"/>
          <w:b/>
          <w:color w:val="000000" w:themeColor="text1"/>
          <w:sz w:val="24"/>
          <w:szCs w:val="24"/>
        </w:rPr>
      </w:pPr>
      <w:r>
        <w:rPr>
          <w:rFonts w:ascii="Arial" w:hAnsi="Arial" w:cs="Arial"/>
          <w:b/>
          <w:color w:val="000000" w:themeColor="text1"/>
          <w:sz w:val="24"/>
          <w:szCs w:val="24"/>
        </w:rPr>
        <w:fldChar w:fldCharType="end"/>
      </w:r>
    </w:p>
    <w:p w14:paraId="7B8EEC34" w14:textId="77777777" w:rsidR="00DA65B8" w:rsidRDefault="00DA65B8">
      <w:pPr>
        <w:pStyle w:val="Heading1"/>
        <w:rPr>
          <w:rFonts w:ascii="Arial" w:hAnsi="Arial" w:cs="Arial"/>
          <w:b/>
          <w:color w:val="000000" w:themeColor="text1"/>
          <w:sz w:val="24"/>
          <w:szCs w:val="24"/>
        </w:rPr>
      </w:pPr>
    </w:p>
    <w:p w14:paraId="3A16CE90" w14:textId="698EDD7B" w:rsidR="00DA65B8" w:rsidRDefault="00DA65B8">
      <w:pPr>
        <w:pStyle w:val="Heading1"/>
        <w:rPr>
          <w:rFonts w:ascii="Arial" w:hAnsi="Arial" w:cs="Arial"/>
          <w:b/>
          <w:color w:val="000000" w:themeColor="text1"/>
          <w:sz w:val="24"/>
          <w:szCs w:val="24"/>
        </w:rPr>
      </w:pPr>
    </w:p>
    <w:p w14:paraId="28D3A575" w14:textId="77777777" w:rsidR="00BB6C63" w:rsidRPr="00BB6C63" w:rsidRDefault="00BB6C63" w:rsidP="00BB6C63"/>
    <w:p w14:paraId="499AF0BC" w14:textId="78F71613" w:rsidR="004D34D2" w:rsidRPr="00616CDC" w:rsidRDefault="004D34D2">
      <w:pPr>
        <w:pStyle w:val="Heading1"/>
        <w:rPr>
          <w:rFonts w:ascii="Arial" w:hAnsi="Arial" w:cs="Arial"/>
          <w:b/>
          <w:color w:val="000000" w:themeColor="text1"/>
          <w:sz w:val="24"/>
          <w:szCs w:val="24"/>
        </w:rPr>
      </w:pPr>
      <w:r w:rsidRPr="00616CDC">
        <w:rPr>
          <w:rFonts w:ascii="Arial" w:hAnsi="Arial" w:cs="Arial"/>
          <w:b/>
          <w:color w:val="000000" w:themeColor="text1"/>
          <w:sz w:val="24"/>
          <w:szCs w:val="24"/>
        </w:rPr>
        <w:lastRenderedPageBreak/>
        <w:t>Abstract</w:t>
      </w:r>
      <w:bookmarkEnd w:id="0"/>
      <w:r w:rsidRPr="00616CDC">
        <w:rPr>
          <w:rFonts w:ascii="Arial" w:hAnsi="Arial" w:cs="Arial"/>
          <w:b/>
          <w:color w:val="000000" w:themeColor="text1"/>
          <w:sz w:val="24"/>
          <w:szCs w:val="24"/>
        </w:rPr>
        <w:t xml:space="preserve"> </w:t>
      </w:r>
    </w:p>
    <w:p w14:paraId="09E244F0" w14:textId="6ACDDDBD" w:rsidR="00A37A3C" w:rsidRDefault="004D34D2" w:rsidP="00616CDC">
      <w:pPr>
        <w:spacing w:line="360" w:lineRule="auto"/>
        <w:ind w:left="-426"/>
        <w:jc w:val="both"/>
      </w:pPr>
      <w:r w:rsidRPr="002B3D8A">
        <w:rPr>
          <w:rFonts w:ascii="Arial" w:hAnsi="Arial" w:cs="Arial"/>
          <w:color w:val="000000" w:themeColor="text1"/>
          <w:sz w:val="24"/>
          <w:szCs w:val="24"/>
        </w:rPr>
        <w:t>Nematodes belonging to the family Trichodoridae (</w:t>
      </w:r>
      <w:r w:rsidRPr="002B3D8A">
        <w:rPr>
          <w:rFonts w:ascii="Arial" w:hAnsi="Arial" w:cs="Arial"/>
          <w:i/>
          <w:iCs/>
          <w:color w:val="000000" w:themeColor="text1"/>
          <w:sz w:val="24"/>
          <w:szCs w:val="24"/>
        </w:rPr>
        <w:t>Trichodorus</w:t>
      </w:r>
      <w:r w:rsidRPr="002B3D8A">
        <w:rPr>
          <w:rFonts w:ascii="Arial" w:hAnsi="Arial" w:cs="Arial"/>
          <w:color w:val="000000" w:themeColor="text1"/>
          <w:sz w:val="24"/>
          <w:szCs w:val="24"/>
        </w:rPr>
        <w:t xml:space="preserve"> and </w:t>
      </w:r>
      <w:r w:rsidRPr="002B3D8A">
        <w:rPr>
          <w:rFonts w:ascii="Arial" w:hAnsi="Arial" w:cs="Arial"/>
          <w:i/>
          <w:iCs/>
          <w:color w:val="000000" w:themeColor="text1"/>
          <w:sz w:val="24"/>
          <w:szCs w:val="24"/>
        </w:rPr>
        <w:t>Paratrichodorus</w:t>
      </w:r>
      <w:r w:rsidRPr="002B3D8A">
        <w:rPr>
          <w:rFonts w:ascii="Arial" w:hAnsi="Arial" w:cs="Arial"/>
          <w:color w:val="000000" w:themeColor="text1"/>
          <w:sz w:val="24"/>
          <w:szCs w:val="24"/>
        </w:rPr>
        <w:t xml:space="preserve"> spp</w:t>
      </w:r>
      <w:r w:rsidR="00C772D2">
        <w:rPr>
          <w:rFonts w:ascii="Arial" w:hAnsi="Arial" w:cs="Arial"/>
          <w:color w:val="000000" w:themeColor="text1"/>
          <w:sz w:val="24"/>
          <w:szCs w:val="24"/>
        </w:rPr>
        <w:t>.</w:t>
      </w:r>
      <w:r w:rsidRPr="002B3D8A">
        <w:rPr>
          <w:rFonts w:ascii="Arial" w:hAnsi="Arial" w:cs="Arial"/>
          <w:color w:val="000000" w:themeColor="text1"/>
          <w:sz w:val="24"/>
          <w:szCs w:val="24"/>
        </w:rPr>
        <w:t xml:space="preserve">) are the most economically important free-living nematodes in the UK. They are polyphagous ectoparasites, commonly known as the stubby root nematodes (SRN), that feed on the root tips of plants causing death of the tap root and hardening and thickening of the lateral roots, eventually leading to a stubby /fangy root system. The roots become inefficient in the absorption of water and mineral salts, leading to stunting and yellowing of the crop. In East Anglia, </w:t>
      </w:r>
      <w:r w:rsidRPr="002B3D8A">
        <w:rPr>
          <w:rFonts w:ascii="Arial" w:hAnsi="Arial" w:cs="Arial"/>
          <w:i/>
          <w:iCs/>
          <w:color w:val="000000" w:themeColor="text1"/>
          <w:sz w:val="24"/>
          <w:szCs w:val="24"/>
        </w:rPr>
        <w:t>Trichodorus</w:t>
      </w:r>
      <w:r w:rsidRPr="002B3D8A">
        <w:rPr>
          <w:rFonts w:ascii="Arial" w:hAnsi="Arial" w:cs="Arial"/>
          <w:color w:val="000000" w:themeColor="text1"/>
          <w:sz w:val="24"/>
          <w:szCs w:val="24"/>
        </w:rPr>
        <w:t xml:space="preserve"> and </w:t>
      </w:r>
      <w:r w:rsidRPr="002B3D8A">
        <w:rPr>
          <w:rFonts w:ascii="Arial" w:hAnsi="Arial" w:cs="Arial"/>
          <w:i/>
          <w:iCs/>
          <w:color w:val="000000" w:themeColor="text1"/>
          <w:sz w:val="24"/>
          <w:szCs w:val="24"/>
        </w:rPr>
        <w:t>Paratrichodorus</w:t>
      </w:r>
      <w:r w:rsidRPr="002B3D8A">
        <w:rPr>
          <w:rFonts w:ascii="Arial" w:hAnsi="Arial" w:cs="Arial"/>
          <w:color w:val="000000" w:themeColor="text1"/>
          <w:sz w:val="24"/>
          <w:szCs w:val="24"/>
        </w:rPr>
        <w:t xml:space="preserve"> spp</w:t>
      </w:r>
      <w:r w:rsidR="00C772D2">
        <w:rPr>
          <w:rFonts w:ascii="Arial" w:hAnsi="Arial" w:cs="Arial"/>
          <w:color w:val="000000" w:themeColor="text1"/>
          <w:sz w:val="24"/>
          <w:szCs w:val="24"/>
        </w:rPr>
        <w:t>.</w:t>
      </w:r>
      <w:r w:rsidRPr="002B3D8A">
        <w:rPr>
          <w:rFonts w:ascii="Arial" w:hAnsi="Arial" w:cs="Arial"/>
          <w:color w:val="000000" w:themeColor="text1"/>
          <w:sz w:val="24"/>
          <w:szCs w:val="24"/>
        </w:rPr>
        <w:t xml:space="preserve"> have been reported in fields where sugar beet grew poorly; young sugar beet seedlings are most susceptible, and present stunted growth and fanged tap roots, which is known as Docking </w:t>
      </w:r>
      <w:r w:rsidR="003A449C" w:rsidRPr="002B3D8A">
        <w:rPr>
          <w:rFonts w:ascii="Arial" w:hAnsi="Arial" w:cs="Arial"/>
          <w:color w:val="000000" w:themeColor="text1"/>
          <w:sz w:val="24"/>
          <w:szCs w:val="24"/>
        </w:rPr>
        <w:t>disorder. Certain</w:t>
      </w:r>
      <w:r w:rsidRPr="002B3D8A">
        <w:rPr>
          <w:rFonts w:ascii="Arial" w:hAnsi="Arial" w:cs="Arial"/>
          <w:color w:val="000000" w:themeColor="text1"/>
          <w:sz w:val="24"/>
          <w:szCs w:val="24"/>
        </w:rPr>
        <w:t xml:space="preserve"> cover crops have the potential to suppress plant parasitic nematodes where they act either as a poor/non-host, release allelochemicals that are toxic/ inhibitory or provide a niche for antagonistic microbes. The aim of th</w:t>
      </w:r>
      <w:r w:rsidR="003A449C" w:rsidRPr="002B3D8A">
        <w:rPr>
          <w:rFonts w:ascii="Arial" w:hAnsi="Arial" w:cs="Arial"/>
          <w:color w:val="000000" w:themeColor="text1"/>
          <w:sz w:val="24"/>
          <w:szCs w:val="24"/>
        </w:rPr>
        <w:t xml:space="preserve">e field study reported here, </w:t>
      </w:r>
      <w:r w:rsidRPr="002B3D8A">
        <w:rPr>
          <w:rFonts w:ascii="Arial" w:hAnsi="Arial" w:cs="Arial"/>
          <w:color w:val="000000" w:themeColor="text1"/>
          <w:sz w:val="24"/>
          <w:szCs w:val="24"/>
        </w:rPr>
        <w:t xml:space="preserve">was to assess the potential of biofumigant cover crop species i.e. </w:t>
      </w:r>
      <w:r w:rsidRPr="002B3D8A">
        <w:rPr>
          <w:rFonts w:ascii="Arial" w:hAnsi="Arial" w:cs="Arial"/>
          <w:i/>
          <w:iCs/>
          <w:color w:val="000000" w:themeColor="text1"/>
          <w:sz w:val="24"/>
          <w:szCs w:val="24"/>
        </w:rPr>
        <w:t xml:space="preserve">Raphanus sativus </w:t>
      </w:r>
      <w:r w:rsidRPr="002B3D8A">
        <w:rPr>
          <w:rFonts w:ascii="Arial" w:hAnsi="Arial" w:cs="Arial"/>
          <w:color w:val="000000" w:themeColor="text1"/>
          <w:sz w:val="24"/>
          <w:szCs w:val="24"/>
        </w:rPr>
        <w:t xml:space="preserve">var. </w:t>
      </w:r>
      <w:r w:rsidR="00C772D2">
        <w:rPr>
          <w:rFonts w:ascii="Arial" w:hAnsi="Arial" w:cs="Arial"/>
          <w:i/>
          <w:color w:val="000000" w:themeColor="text1"/>
          <w:sz w:val="24"/>
          <w:szCs w:val="24"/>
        </w:rPr>
        <w:t>l</w:t>
      </w:r>
      <w:r w:rsidRPr="0074201C">
        <w:rPr>
          <w:rFonts w:ascii="Arial" w:hAnsi="Arial" w:cs="Arial"/>
          <w:i/>
          <w:color w:val="000000" w:themeColor="text1"/>
          <w:sz w:val="24"/>
          <w:szCs w:val="24"/>
        </w:rPr>
        <w:t>ongipinnatus</w:t>
      </w:r>
      <w:r w:rsidRPr="002B3D8A">
        <w:rPr>
          <w:rFonts w:ascii="Arial" w:hAnsi="Arial" w:cs="Arial"/>
          <w:color w:val="000000" w:themeColor="text1"/>
          <w:sz w:val="24"/>
          <w:szCs w:val="24"/>
        </w:rPr>
        <w:t xml:space="preserve">, </w:t>
      </w:r>
      <w:r w:rsidRPr="002B3D8A">
        <w:rPr>
          <w:rFonts w:ascii="Arial" w:hAnsi="Arial" w:cs="Arial"/>
          <w:i/>
          <w:iCs/>
          <w:color w:val="000000" w:themeColor="text1"/>
          <w:sz w:val="24"/>
          <w:szCs w:val="24"/>
        </w:rPr>
        <w:t xml:space="preserve">Brassica </w:t>
      </w:r>
      <w:proofErr w:type="spellStart"/>
      <w:r w:rsidRPr="002B3D8A">
        <w:rPr>
          <w:rFonts w:ascii="Arial" w:hAnsi="Arial" w:cs="Arial"/>
          <w:i/>
          <w:iCs/>
          <w:color w:val="000000" w:themeColor="text1"/>
          <w:sz w:val="24"/>
          <w:szCs w:val="24"/>
        </w:rPr>
        <w:t>juncea</w:t>
      </w:r>
      <w:proofErr w:type="spellEnd"/>
      <w:r w:rsidRPr="002B3D8A">
        <w:rPr>
          <w:rFonts w:ascii="Arial" w:hAnsi="Arial" w:cs="Arial"/>
          <w:color w:val="000000" w:themeColor="text1"/>
          <w:sz w:val="24"/>
          <w:szCs w:val="24"/>
        </w:rPr>
        <w:t xml:space="preserve"> var. Brons, </w:t>
      </w:r>
      <w:r w:rsidRPr="002B3D8A">
        <w:rPr>
          <w:rFonts w:ascii="Arial" w:hAnsi="Arial" w:cs="Arial"/>
          <w:i/>
          <w:iCs/>
          <w:color w:val="000000" w:themeColor="text1"/>
          <w:sz w:val="24"/>
          <w:szCs w:val="24"/>
        </w:rPr>
        <w:t>Raphanus sativus</w:t>
      </w:r>
      <w:r w:rsidRPr="002B3D8A">
        <w:rPr>
          <w:rFonts w:ascii="Arial" w:hAnsi="Arial" w:cs="Arial"/>
          <w:color w:val="000000" w:themeColor="text1"/>
          <w:sz w:val="24"/>
          <w:szCs w:val="24"/>
        </w:rPr>
        <w:t xml:space="preserve"> var. Terranova, for use in a crop rotation system for suppression of SRN. Biofumigant cover crops suppress pests and pathogens through the release of isothiocyanates (ITCs) following the hydrolysis of cell bound glucosinolates by the enzyme myrosinase; this reaction occurs following the maceration of biofumigants stems and foliage which are incorporated into the soil. I</w:t>
      </w:r>
      <w:r w:rsidR="00021EF8" w:rsidRPr="002B3D8A">
        <w:rPr>
          <w:rFonts w:ascii="Arial" w:hAnsi="Arial" w:cs="Arial"/>
          <w:color w:val="000000" w:themeColor="text1"/>
          <w:sz w:val="24"/>
          <w:szCs w:val="24"/>
        </w:rPr>
        <w:t>TCs</w:t>
      </w:r>
      <w:r w:rsidRPr="002B3D8A">
        <w:rPr>
          <w:rFonts w:ascii="Arial" w:hAnsi="Arial" w:cs="Arial"/>
          <w:color w:val="000000" w:themeColor="text1"/>
          <w:sz w:val="24"/>
          <w:szCs w:val="24"/>
        </w:rPr>
        <w:t xml:space="preserve"> have been shown to have nematicidal effects against a wide range of plant parasitic </w:t>
      </w:r>
      <w:r w:rsidR="003A449C" w:rsidRPr="002B3D8A">
        <w:rPr>
          <w:rFonts w:ascii="Arial" w:hAnsi="Arial" w:cs="Arial"/>
          <w:color w:val="000000" w:themeColor="text1"/>
          <w:sz w:val="24"/>
          <w:szCs w:val="24"/>
        </w:rPr>
        <w:t>nematodes. A</w:t>
      </w:r>
      <w:r w:rsidRPr="002B3D8A">
        <w:rPr>
          <w:rFonts w:ascii="Arial" w:hAnsi="Arial" w:cs="Arial"/>
          <w:color w:val="000000" w:themeColor="text1"/>
          <w:sz w:val="24"/>
          <w:szCs w:val="24"/>
        </w:rPr>
        <w:t xml:space="preserve"> field experiment was conducted in SRN naturally infested field near Bury St. Edmunds, Suffolk. Cover crops were drilled in plots and a fallow control included. Soil sampling for SRN was conducted prior to drilling of the cover crops to establish initial SRN densities (Pi) and also sampled four weeks after planting to monitor changes in the SRN densities. SRN densities were significantly lower (P&lt;0.001) in plots drilled with cover crops compared to the fallow control. No significant differences in SRN densities were observed between the three cover crops. </w:t>
      </w:r>
      <w:r w:rsidR="00D550D3">
        <w:rPr>
          <w:rFonts w:ascii="Arial" w:hAnsi="Arial" w:cs="Arial"/>
          <w:color w:val="000000" w:themeColor="text1"/>
          <w:sz w:val="24"/>
          <w:szCs w:val="24"/>
        </w:rPr>
        <w:t xml:space="preserve">The experiment is </w:t>
      </w:r>
      <w:r w:rsidR="00617F69">
        <w:rPr>
          <w:rFonts w:ascii="Arial" w:hAnsi="Arial" w:cs="Arial"/>
          <w:color w:val="000000" w:themeColor="text1"/>
          <w:sz w:val="24"/>
          <w:szCs w:val="24"/>
        </w:rPr>
        <w:t>s</w:t>
      </w:r>
      <w:r w:rsidR="00D550D3">
        <w:rPr>
          <w:rFonts w:ascii="Arial" w:hAnsi="Arial" w:cs="Arial"/>
          <w:color w:val="000000" w:themeColor="text1"/>
          <w:sz w:val="24"/>
          <w:szCs w:val="24"/>
        </w:rPr>
        <w:t>till ongoing to evaluate the effect of incorporation of brassica leaves and stems at flowering stage, on the population densities of the SR</w:t>
      </w:r>
      <w:r w:rsidR="00617F69">
        <w:rPr>
          <w:rFonts w:ascii="Arial" w:hAnsi="Arial" w:cs="Arial"/>
          <w:color w:val="000000" w:themeColor="text1"/>
          <w:sz w:val="24"/>
          <w:szCs w:val="24"/>
        </w:rPr>
        <w:t>N</w:t>
      </w:r>
    </w:p>
    <w:p w14:paraId="17656D14" w14:textId="77777777" w:rsidR="00617F69" w:rsidRDefault="00617F69" w:rsidP="00CF0671">
      <w:pPr>
        <w:pStyle w:val="Heading1"/>
        <w:rPr>
          <w:rFonts w:ascii="Arial" w:hAnsi="Arial" w:cs="Arial"/>
          <w:b/>
          <w:color w:val="000000" w:themeColor="text1"/>
          <w:sz w:val="24"/>
          <w:szCs w:val="24"/>
        </w:rPr>
      </w:pPr>
    </w:p>
    <w:p w14:paraId="72D9F10D" w14:textId="77777777" w:rsidR="00617F69" w:rsidRPr="00616CDC" w:rsidRDefault="00617F69" w:rsidP="00616CDC"/>
    <w:p w14:paraId="45DF6700" w14:textId="7103B0DA" w:rsidR="004D34D2" w:rsidRPr="002B3D8A" w:rsidRDefault="00D5765A" w:rsidP="00616CDC">
      <w:pPr>
        <w:pStyle w:val="Heading1"/>
        <w:spacing w:line="360" w:lineRule="auto"/>
        <w:jc w:val="center"/>
        <w:rPr>
          <w:rFonts w:ascii="Arial" w:hAnsi="Arial" w:cs="Arial"/>
          <w:b/>
          <w:color w:val="000000" w:themeColor="text1"/>
          <w:sz w:val="24"/>
          <w:szCs w:val="24"/>
        </w:rPr>
      </w:pPr>
      <w:bookmarkStart w:id="1" w:name="_Toc110341269"/>
      <w:r w:rsidRPr="002B3D8A">
        <w:rPr>
          <w:rFonts w:ascii="Arial" w:hAnsi="Arial" w:cs="Arial"/>
          <w:b/>
          <w:color w:val="000000" w:themeColor="text1"/>
          <w:sz w:val="24"/>
          <w:szCs w:val="24"/>
        </w:rPr>
        <w:lastRenderedPageBreak/>
        <w:t>Declaration</w:t>
      </w:r>
      <w:bookmarkEnd w:id="1"/>
    </w:p>
    <w:p w14:paraId="0058966E" w14:textId="59FB2C0F" w:rsidR="004D34D2" w:rsidRPr="002B3D8A" w:rsidRDefault="00D5765A" w:rsidP="00617F69">
      <w:pPr>
        <w:spacing w:line="360" w:lineRule="auto"/>
        <w:jc w:val="both"/>
        <w:rPr>
          <w:rFonts w:ascii="Arial" w:hAnsi="Arial" w:cs="Arial"/>
          <w:b/>
          <w:color w:val="000000" w:themeColor="text1"/>
          <w:sz w:val="24"/>
          <w:szCs w:val="24"/>
        </w:rPr>
      </w:pPr>
      <w:r w:rsidRPr="002B3D8A">
        <w:rPr>
          <w:rFonts w:ascii="Arial" w:hAnsi="Arial" w:cs="Arial"/>
          <w:color w:val="000000" w:themeColor="text1"/>
          <w:sz w:val="24"/>
          <w:szCs w:val="24"/>
        </w:rPr>
        <w:t>I Nyambura Mwangi hereby declare that all the work contained in this Specific Degree Registration Report is my own. Any external assistance and information obtained towards the completion of this report has been duly acknowledged or cited with all sources listed in the References section</w:t>
      </w:r>
    </w:p>
    <w:p w14:paraId="1FB65736" w14:textId="77777777" w:rsidR="003A449C" w:rsidRPr="002B3D8A" w:rsidRDefault="003A449C" w:rsidP="00311149">
      <w:pPr>
        <w:spacing w:line="360" w:lineRule="auto"/>
        <w:rPr>
          <w:rFonts w:ascii="Arial" w:hAnsi="Arial" w:cs="Arial"/>
          <w:b/>
          <w:color w:val="000000" w:themeColor="text1"/>
          <w:sz w:val="24"/>
          <w:szCs w:val="24"/>
        </w:rPr>
      </w:pPr>
    </w:p>
    <w:p w14:paraId="24A6334A" w14:textId="77777777" w:rsidR="00A37A3C" w:rsidRDefault="00A37A3C" w:rsidP="00CF0671">
      <w:pPr>
        <w:pStyle w:val="Heading1"/>
        <w:rPr>
          <w:rFonts w:ascii="Arial" w:hAnsi="Arial" w:cs="Arial"/>
          <w:b/>
          <w:color w:val="000000" w:themeColor="text1"/>
          <w:sz w:val="24"/>
          <w:szCs w:val="24"/>
        </w:rPr>
      </w:pPr>
    </w:p>
    <w:p w14:paraId="724D4C7A" w14:textId="715C12EB" w:rsidR="00A37A3C" w:rsidRDefault="00A37A3C" w:rsidP="00CF0671">
      <w:pPr>
        <w:pStyle w:val="Heading1"/>
        <w:rPr>
          <w:rFonts w:ascii="Arial" w:hAnsi="Arial" w:cs="Arial"/>
          <w:b/>
          <w:color w:val="000000" w:themeColor="text1"/>
          <w:sz w:val="24"/>
          <w:szCs w:val="24"/>
        </w:rPr>
      </w:pPr>
    </w:p>
    <w:p w14:paraId="744EC23F" w14:textId="0C7ED4EA" w:rsidR="00A37A3C" w:rsidRDefault="00A37A3C" w:rsidP="00A37A3C"/>
    <w:p w14:paraId="78BAC961" w14:textId="30CC8D2B" w:rsidR="00A37A3C" w:rsidRDefault="00A37A3C" w:rsidP="00A37A3C"/>
    <w:p w14:paraId="32507912" w14:textId="54418832" w:rsidR="00A37A3C" w:rsidRDefault="00A37A3C" w:rsidP="00A37A3C"/>
    <w:p w14:paraId="7112CC24" w14:textId="792E6315" w:rsidR="00A37A3C" w:rsidRDefault="00A37A3C" w:rsidP="00A37A3C"/>
    <w:p w14:paraId="039C0CF3" w14:textId="14A9848C" w:rsidR="00A37A3C" w:rsidRDefault="00A37A3C" w:rsidP="00A37A3C"/>
    <w:p w14:paraId="464EA02A" w14:textId="516332AA" w:rsidR="00A37A3C" w:rsidRDefault="00A37A3C" w:rsidP="00A37A3C"/>
    <w:p w14:paraId="659B8191" w14:textId="19C68167" w:rsidR="00A37A3C" w:rsidRDefault="00A37A3C" w:rsidP="00A37A3C"/>
    <w:p w14:paraId="6F5F0B35" w14:textId="2C3DD256" w:rsidR="00A37A3C" w:rsidRDefault="00A37A3C" w:rsidP="00A37A3C"/>
    <w:p w14:paraId="5ABAFE3D" w14:textId="52B8518F" w:rsidR="00A37A3C" w:rsidRDefault="00A37A3C" w:rsidP="00A37A3C"/>
    <w:p w14:paraId="041DCE45" w14:textId="067ECF16" w:rsidR="00A37A3C" w:rsidRDefault="00A37A3C" w:rsidP="00A37A3C"/>
    <w:p w14:paraId="49DB444D" w14:textId="77777777" w:rsidR="00A37A3C" w:rsidRPr="00A37A3C" w:rsidRDefault="00A37A3C" w:rsidP="00A37A3C"/>
    <w:p w14:paraId="1B48D978" w14:textId="77777777" w:rsidR="00A37A3C" w:rsidRDefault="00A37A3C" w:rsidP="00CF0671">
      <w:pPr>
        <w:pStyle w:val="Heading1"/>
        <w:rPr>
          <w:rFonts w:ascii="Arial" w:hAnsi="Arial" w:cs="Arial"/>
          <w:b/>
          <w:color w:val="000000" w:themeColor="text1"/>
          <w:sz w:val="24"/>
          <w:szCs w:val="24"/>
        </w:rPr>
      </w:pPr>
    </w:p>
    <w:p w14:paraId="1E4E9B72" w14:textId="77777777" w:rsidR="00A37A3C" w:rsidRDefault="00A37A3C" w:rsidP="00CF0671">
      <w:pPr>
        <w:pStyle w:val="Heading1"/>
        <w:rPr>
          <w:rFonts w:ascii="Arial" w:hAnsi="Arial" w:cs="Arial"/>
          <w:b/>
          <w:color w:val="000000" w:themeColor="text1"/>
          <w:sz w:val="24"/>
          <w:szCs w:val="24"/>
        </w:rPr>
      </w:pPr>
    </w:p>
    <w:p w14:paraId="60232237" w14:textId="50BD8847" w:rsidR="00A37A3C" w:rsidRDefault="00A37A3C" w:rsidP="00CF0671">
      <w:pPr>
        <w:pStyle w:val="Heading1"/>
        <w:rPr>
          <w:rFonts w:ascii="Arial" w:hAnsi="Arial" w:cs="Arial"/>
          <w:b/>
          <w:color w:val="000000" w:themeColor="text1"/>
          <w:sz w:val="24"/>
          <w:szCs w:val="24"/>
        </w:rPr>
      </w:pPr>
    </w:p>
    <w:p w14:paraId="1221E45D" w14:textId="39426BB9" w:rsidR="00A37A3C" w:rsidRDefault="00A37A3C" w:rsidP="00A37A3C"/>
    <w:p w14:paraId="442B6AEE" w14:textId="6534F3F8" w:rsidR="00A37A3C" w:rsidRDefault="00A37A3C" w:rsidP="00A37A3C"/>
    <w:p w14:paraId="3B806E26" w14:textId="2194F2DE" w:rsidR="00617F69" w:rsidRDefault="00617F69" w:rsidP="00A37A3C"/>
    <w:p w14:paraId="6A35FB73" w14:textId="77777777" w:rsidR="00617F69" w:rsidRPr="00A37A3C" w:rsidRDefault="00617F69" w:rsidP="00A37A3C"/>
    <w:p w14:paraId="5444D59E" w14:textId="3EE4896C" w:rsidR="00D5765A" w:rsidRPr="002B3D8A" w:rsidRDefault="00D5765A" w:rsidP="00616CDC">
      <w:pPr>
        <w:pStyle w:val="Heading1"/>
        <w:spacing w:line="360" w:lineRule="auto"/>
        <w:rPr>
          <w:rFonts w:ascii="Arial" w:hAnsi="Arial" w:cs="Arial"/>
          <w:b/>
          <w:color w:val="000000" w:themeColor="text1"/>
          <w:sz w:val="24"/>
          <w:szCs w:val="24"/>
        </w:rPr>
      </w:pPr>
      <w:bookmarkStart w:id="2" w:name="_Toc110341270"/>
      <w:r w:rsidRPr="002B3D8A">
        <w:rPr>
          <w:rFonts w:ascii="Arial" w:hAnsi="Arial" w:cs="Arial"/>
          <w:b/>
          <w:color w:val="000000" w:themeColor="text1"/>
          <w:sz w:val="24"/>
          <w:szCs w:val="24"/>
        </w:rPr>
        <w:lastRenderedPageBreak/>
        <w:t>Acknowledgements</w:t>
      </w:r>
      <w:bookmarkEnd w:id="2"/>
      <w:r w:rsidRPr="002B3D8A">
        <w:rPr>
          <w:rFonts w:ascii="Arial" w:hAnsi="Arial" w:cs="Arial"/>
          <w:b/>
          <w:color w:val="000000" w:themeColor="text1"/>
          <w:sz w:val="24"/>
          <w:szCs w:val="24"/>
        </w:rPr>
        <w:t xml:space="preserve"> </w:t>
      </w:r>
    </w:p>
    <w:p w14:paraId="1EF17395" w14:textId="7C2C5169" w:rsidR="002A69E6" w:rsidRPr="002B3D8A" w:rsidRDefault="00D5765A" w:rsidP="00616CDC">
      <w:pPr>
        <w:spacing w:line="360" w:lineRule="auto"/>
        <w:ind w:left="-284"/>
        <w:jc w:val="both"/>
        <w:rPr>
          <w:rFonts w:ascii="Arial" w:hAnsi="Arial" w:cs="Arial"/>
          <w:color w:val="000000" w:themeColor="text1"/>
          <w:sz w:val="24"/>
          <w:szCs w:val="24"/>
        </w:rPr>
      </w:pPr>
      <w:r w:rsidRPr="002B3D8A">
        <w:rPr>
          <w:rFonts w:ascii="Arial" w:hAnsi="Arial" w:cs="Arial"/>
          <w:color w:val="000000" w:themeColor="text1"/>
          <w:sz w:val="24"/>
          <w:szCs w:val="24"/>
        </w:rPr>
        <w:t xml:space="preserve">I would like to acknowledge the collaborators and sponsors of this project. BBRO for </w:t>
      </w:r>
      <w:r w:rsidR="002A69E6" w:rsidRPr="002B3D8A">
        <w:rPr>
          <w:rFonts w:ascii="Arial" w:hAnsi="Arial" w:cs="Arial"/>
          <w:color w:val="000000" w:themeColor="text1"/>
          <w:sz w:val="24"/>
          <w:szCs w:val="24"/>
        </w:rPr>
        <w:t xml:space="preserve">moral and </w:t>
      </w:r>
      <w:r w:rsidRPr="002B3D8A">
        <w:rPr>
          <w:rFonts w:ascii="Arial" w:hAnsi="Arial" w:cs="Arial"/>
          <w:color w:val="000000" w:themeColor="text1"/>
          <w:sz w:val="24"/>
          <w:szCs w:val="24"/>
        </w:rPr>
        <w:t>technical support</w:t>
      </w:r>
      <w:r w:rsidR="002A69E6" w:rsidRPr="002B3D8A">
        <w:rPr>
          <w:rFonts w:ascii="Arial" w:hAnsi="Arial" w:cs="Arial"/>
          <w:color w:val="000000" w:themeColor="text1"/>
          <w:sz w:val="24"/>
          <w:szCs w:val="24"/>
        </w:rPr>
        <w:t xml:space="preserve"> during soil sampling at Docking </w:t>
      </w:r>
      <w:r w:rsidR="006B1E75" w:rsidRPr="002B3D8A">
        <w:rPr>
          <w:rFonts w:ascii="Arial" w:hAnsi="Arial" w:cs="Arial"/>
          <w:color w:val="000000" w:themeColor="text1"/>
          <w:sz w:val="24"/>
          <w:szCs w:val="24"/>
        </w:rPr>
        <w:t>site,</w:t>
      </w:r>
      <w:r w:rsidRPr="002B3D8A">
        <w:rPr>
          <w:rFonts w:ascii="Arial" w:hAnsi="Arial" w:cs="Arial"/>
          <w:color w:val="000000" w:themeColor="text1"/>
          <w:sz w:val="24"/>
          <w:szCs w:val="24"/>
        </w:rPr>
        <w:t xml:space="preserve"> </w:t>
      </w:r>
      <w:proofErr w:type="spellStart"/>
      <w:r w:rsidRPr="002B3D8A">
        <w:rPr>
          <w:rFonts w:ascii="Arial" w:hAnsi="Arial" w:cs="Arial"/>
          <w:color w:val="000000" w:themeColor="text1"/>
          <w:sz w:val="24"/>
          <w:szCs w:val="24"/>
        </w:rPr>
        <w:t>Joordens</w:t>
      </w:r>
      <w:proofErr w:type="spellEnd"/>
      <w:r w:rsidRPr="002B3D8A">
        <w:rPr>
          <w:rFonts w:ascii="Arial" w:hAnsi="Arial" w:cs="Arial"/>
          <w:color w:val="000000" w:themeColor="text1"/>
          <w:sz w:val="24"/>
          <w:szCs w:val="24"/>
        </w:rPr>
        <w:t xml:space="preserve"> </w:t>
      </w:r>
      <w:proofErr w:type="spellStart"/>
      <w:r w:rsidRPr="002B3D8A">
        <w:rPr>
          <w:rFonts w:ascii="Arial" w:hAnsi="Arial" w:cs="Arial"/>
          <w:color w:val="000000" w:themeColor="text1"/>
          <w:sz w:val="24"/>
          <w:szCs w:val="24"/>
        </w:rPr>
        <w:t>Zade</w:t>
      </w:r>
      <w:r w:rsidR="002A69E6" w:rsidRPr="002B3D8A">
        <w:rPr>
          <w:rFonts w:ascii="Arial" w:hAnsi="Arial" w:cs="Arial"/>
          <w:color w:val="000000" w:themeColor="text1"/>
          <w:sz w:val="24"/>
          <w:szCs w:val="24"/>
        </w:rPr>
        <w:t>e</w:t>
      </w:r>
      <w:r w:rsidRPr="002B3D8A">
        <w:rPr>
          <w:rFonts w:ascii="Arial" w:hAnsi="Arial" w:cs="Arial"/>
          <w:color w:val="000000" w:themeColor="text1"/>
          <w:sz w:val="24"/>
          <w:szCs w:val="24"/>
        </w:rPr>
        <w:t>n</w:t>
      </w:r>
      <w:proofErr w:type="spellEnd"/>
      <w:r w:rsidR="006B1E75" w:rsidRPr="002B3D8A">
        <w:rPr>
          <w:rFonts w:ascii="Arial" w:hAnsi="Arial" w:cs="Arial"/>
          <w:color w:val="000000" w:themeColor="text1"/>
          <w:sz w:val="24"/>
          <w:szCs w:val="24"/>
        </w:rPr>
        <w:t xml:space="preserve">, </w:t>
      </w:r>
      <w:r w:rsidRPr="002B3D8A">
        <w:rPr>
          <w:rFonts w:ascii="Arial" w:hAnsi="Arial" w:cs="Arial"/>
          <w:color w:val="000000" w:themeColor="text1"/>
          <w:sz w:val="24"/>
          <w:szCs w:val="24"/>
        </w:rPr>
        <w:t>RAGT seeds</w:t>
      </w:r>
      <w:r w:rsidR="006B1E75" w:rsidRPr="002B3D8A">
        <w:rPr>
          <w:rFonts w:ascii="Arial" w:hAnsi="Arial" w:cs="Arial"/>
          <w:color w:val="000000" w:themeColor="text1"/>
          <w:sz w:val="24"/>
          <w:szCs w:val="24"/>
        </w:rPr>
        <w:t xml:space="preserve"> and Cropmark seeds</w:t>
      </w:r>
      <w:r w:rsidRPr="002B3D8A">
        <w:rPr>
          <w:rFonts w:ascii="Arial" w:hAnsi="Arial" w:cs="Arial"/>
          <w:color w:val="000000" w:themeColor="text1"/>
          <w:sz w:val="24"/>
          <w:szCs w:val="24"/>
        </w:rPr>
        <w:t xml:space="preserve"> for </w:t>
      </w:r>
      <w:r w:rsidR="006B1E75" w:rsidRPr="002B3D8A">
        <w:rPr>
          <w:rFonts w:ascii="Arial" w:hAnsi="Arial" w:cs="Arial"/>
          <w:color w:val="000000" w:themeColor="text1"/>
          <w:sz w:val="24"/>
          <w:szCs w:val="24"/>
        </w:rPr>
        <w:t xml:space="preserve">diligently </w:t>
      </w:r>
      <w:r w:rsidRPr="002B3D8A">
        <w:rPr>
          <w:rFonts w:ascii="Arial" w:hAnsi="Arial" w:cs="Arial"/>
          <w:color w:val="000000" w:themeColor="text1"/>
          <w:sz w:val="24"/>
          <w:szCs w:val="24"/>
        </w:rPr>
        <w:t xml:space="preserve">providing all the seeds required </w:t>
      </w:r>
      <w:r w:rsidR="006B1E75" w:rsidRPr="002B3D8A">
        <w:rPr>
          <w:rFonts w:ascii="Arial" w:hAnsi="Arial" w:cs="Arial"/>
          <w:color w:val="000000" w:themeColor="text1"/>
          <w:sz w:val="24"/>
          <w:szCs w:val="24"/>
        </w:rPr>
        <w:t xml:space="preserve">for the </w:t>
      </w:r>
      <w:r w:rsidRPr="002B3D8A">
        <w:rPr>
          <w:rFonts w:ascii="Arial" w:hAnsi="Arial" w:cs="Arial"/>
          <w:color w:val="000000" w:themeColor="text1"/>
          <w:sz w:val="24"/>
          <w:szCs w:val="24"/>
        </w:rPr>
        <w:t>experiments. The Lugden hill charity foundation for organising site availability</w:t>
      </w:r>
      <w:r w:rsidR="006B1E75" w:rsidRPr="002B3D8A">
        <w:rPr>
          <w:rFonts w:ascii="Arial" w:hAnsi="Arial" w:cs="Arial"/>
          <w:color w:val="000000" w:themeColor="text1"/>
          <w:sz w:val="24"/>
          <w:szCs w:val="24"/>
        </w:rPr>
        <w:t xml:space="preserve"> and field operations during planting </w:t>
      </w:r>
      <w:r w:rsidRPr="002B3D8A">
        <w:rPr>
          <w:rFonts w:ascii="Arial" w:hAnsi="Arial" w:cs="Arial"/>
          <w:color w:val="000000" w:themeColor="text1"/>
          <w:sz w:val="24"/>
          <w:szCs w:val="24"/>
        </w:rPr>
        <w:t>at Docking. Produce solutions for availing a field site at Bury St. Edmunds and managing it i.e. planting, weeding and other field maintenance activities</w:t>
      </w:r>
      <w:r w:rsidR="002A69E6" w:rsidRPr="002B3D8A">
        <w:rPr>
          <w:rFonts w:ascii="Arial" w:hAnsi="Arial" w:cs="Arial"/>
          <w:color w:val="000000" w:themeColor="text1"/>
          <w:sz w:val="24"/>
          <w:szCs w:val="24"/>
        </w:rPr>
        <w:t xml:space="preserve">. </w:t>
      </w:r>
    </w:p>
    <w:p w14:paraId="398B0D1E" w14:textId="278ECBEE" w:rsidR="00D5765A" w:rsidRPr="002B3D8A" w:rsidRDefault="002A69E6" w:rsidP="00616CDC">
      <w:pPr>
        <w:spacing w:line="360" w:lineRule="auto"/>
        <w:ind w:left="-284"/>
        <w:jc w:val="both"/>
        <w:rPr>
          <w:rFonts w:ascii="Arial" w:hAnsi="Arial" w:cs="Arial"/>
          <w:color w:val="000000" w:themeColor="text1"/>
          <w:sz w:val="24"/>
          <w:szCs w:val="24"/>
        </w:rPr>
      </w:pPr>
      <w:r w:rsidRPr="002B3D8A">
        <w:rPr>
          <w:rFonts w:ascii="Arial" w:hAnsi="Arial" w:cs="Arial"/>
          <w:color w:val="000000" w:themeColor="text1"/>
          <w:sz w:val="24"/>
          <w:szCs w:val="24"/>
        </w:rPr>
        <w:t xml:space="preserve">Special gratitude to Harper Adams University fraternity for a conducive environment to carry out research activities. I also acknowledge the role CERC has played in ensuring that I have access to field materials and equipment when required. I am also grateful to the staff at Princess Margaret laboratory for the training during soil analysis, use of the centrifuge equipment and also assistance in ordering of research consumables. Special thanks to Sue Mowbray for always assisting with travel logistics to sites in Norfolk and </w:t>
      </w:r>
      <w:r w:rsidR="00D132D1" w:rsidRPr="002B3D8A">
        <w:rPr>
          <w:rFonts w:ascii="Arial" w:hAnsi="Arial" w:cs="Arial"/>
          <w:color w:val="000000" w:themeColor="text1"/>
          <w:sz w:val="24"/>
          <w:szCs w:val="24"/>
        </w:rPr>
        <w:t xml:space="preserve">Suffolk. I also extend my gratitude to the IT service desk for always being responsive in software installations when called upon. </w:t>
      </w:r>
    </w:p>
    <w:p w14:paraId="4B6A6070" w14:textId="193DCF62" w:rsidR="006B1E75" w:rsidRPr="002B3D8A" w:rsidRDefault="006B1E75" w:rsidP="00616CDC">
      <w:pPr>
        <w:spacing w:line="360" w:lineRule="auto"/>
        <w:ind w:left="-284"/>
        <w:jc w:val="both"/>
        <w:rPr>
          <w:rFonts w:ascii="Arial" w:hAnsi="Arial" w:cs="Arial"/>
          <w:color w:val="000000" w:themeColor="text1"/>
          <w:sz w:val="24"/>
          <w:szCs w:val="24"/>
        </w:rPr>
      </w:pPr>
      <w:r w:rsidRPr="002B3D8A">
        <w:rPr>
          <w:rFonts w:ascii="Arial" w:hAnsi="Arial" w:cs="Arial"/>
          <w:color w:val="000000" w:themeColor="text1"/>
          <w:sz w:val="24"/>
          <w:szCs w:val="24"/>
        </w:rPr>
        <w:t>I am grateful and indebted to my director of studies Dr. Matthew Back for being a mentor</w:t>
      </w:r>
      <w:r w:rsidR="00D132D1" w:rsidRPr="002B3D8A">
        <w:rPr>
          <w:rFonts w:ascii="Arial" w:hAnsi="Arial" w:cs="Arial"/>
          <w:color w:val="000000" w:themeColor="text1"/>
          <w:sz w:val="24"/>
          <w:szCs w:val="24"/>
        </w:rPr>
        <w:t>, offering technical advice</w:t>
      </w:r>
      <w:r w:rsidRPr="002B3D8A">
        <w:rPr>
          <w:rFonts w:ascii="Arial" w:hAnsi="Arial" w:cs="Arial"/>
          <w:color w:val="000000" w:themeColor="text1"/>
          <w:sz w:val="24"/>
          <w:szCs w:val="24"/>
        </w:rPr>
        <w:t xml:space="preserve"> and guiding me in the right direction in terms of research objectives, challenging me to critically evaluate my experiments and always encouraging and supporting me. I also acknowledge my supervisors Prof. Simon Edwards and Dr. Martin Hare for their technical guidance in experimental design, statistical analysis and </w:t>
      </w:r>
      <w:r w:rsidR="003B7889" w:rsidRPr="002B3D8A">
        <w:rPr>
          <w:rFonts w:ascii="Arial" w:hAnsi="Arial" w:cs="Arial"/>
          <w:color w:val="000000" w:themeColor="text1"/>
          <w:sz w:val="24"/>
          <w:szCs w:val="24"/>
        </w:rPr>
        <w:t>for their useful inputs and suggestions.</w:t>
      </w:r>
    </w:p>
    <w:p w14:paraId="02953AA7" w14:textId="17CB1330" w:rsidR="00A37A3C" w:rsidRDefault="00D132D1" w:rsidP="00B4138B">
      <w:pPr>
        <w:spacing w:line="360" w:lineRule="auto"/>
        <w:ind w:left="-284"/>
        <w:jc w:val="both"/>
        <w:rPr>
          <w:rFonts w:ascii="Arial" w:hAnsi="Arial" w:cs="Arial"/>
          <w:color w:val="000000" w:themeColor="text1"/>
          <w:sz w:val="24"/>
          <w:szCs w:val="24"/>
        </w:rPr>
      </w:pPr>
      <w:r w:rsidRPr="002B3D8A">
        <w:rPr>
          <w:rFonts w:ascii="Arial" w:hAnsi="Arial" w:cs="Arial"/>
          <w:color w:val="000000" w:themeColor="text1"/>
          <w:sz w:val="24"/>
          <w:szCs w:val="24"/>
        </w:rPr>
        <w:t>Above all I thank God almighty for giving me good health and sound mind to conduct research activities. A special thanks to my family and friends for the moral support and being an anchor of hope.</w:t>
      </w:r>
    </w:p>
    <w:p w14:paraId="64ABD9FF" w14:textId="77777777" w:rsidR="00B4138B" w:rsidRDefault="00B4138B" w:rsidP="00616CDC">
      <w:pPr>
        <w:spacing w:line="360" w:lineRule="auto"/>
        <w:ind w:left="-284"/>
        <w:jc w:val="both"/>
        <w:rPr>
          <w:rFonts w:ascii="Arial" w:hAnsi="Arial" w:cs="Arial"/>
          <w:color w:val="000000" w:themeColor="text1"/>
          <w:sz w:val="24"/>
          <w:szCs w:val="24"/>
        </w:rPr>
      </w:pPr>
    </w:p>
    <w:p w14:paraId="41E3BD0E" w14:textId="310D6070" w:rsidR="00A37A3C" w:rsidRDefault="00A37A3C">
      <w:pPr>
        <w:rPr>
          <w:rFonts w:ascii="Arial" w:hAnsi="Arial" w:cs="Arial"/>
          <w:color w:val="000000" w:themeColor="text1"/>
          <w:sz w:val="24"/>
          <w:szCs w:val="24"/>
        </w:rPr>
        <w:sectPr w:rsidR="00A37A3C" w:rsidSect="00616CDC">
          <w:footerReference w:type="default" r:id="rId13"/>
          <w:footerReference w:type="first" r:id="rId14"/>
          <w:pgSz w:w="11906" w:h="16838"/>
          <w:pgMar w:top="1440" w:right="1440" w:bottom="1440" w:left="1440" w:header="708" w:footer="708" w:gutter="0"/>
          <w:pgNumType w:fmt="lowerRoman" w:start="1"/>
          <w:cols w:space="708"/>
          <w:docGrid w:linePitch="360"/>
        </w:sectPr>
      </w:pPr>
    </w:p>
    <w:p w14:paraId="563F5759" w14:textId="34FA11FB" w:rsidR="004D34D2" w:rsidRPr="00616CDC" w:rsidRDefault="00CF0671" w:rsidP="0063623D">
      <w:pPr>
        <w:pStyle w:val="Heading1"/>
        <w:spacing w:line="360" w:lineRule="auto"/>
        <w:rPr>
          <w:rFonts w:ascii="Arial" w:hAnsi="Arial" w:cs="Arial"/>
          <w:b/>
          <w:color w:val="000000" w:themeColor="text1"/>
          <w:sz w:val="24"/>
          <w:szCs w:val="24"/>
        </w:rPr>
      </w:pPr>
      <w:bookmarkStart w:id="3" w:name="_Toc110341271"/>
      <w:r w:rsidRPr="00616CDC">
        <w:rPr>
          <w:rFonts w:ascii="Arial" w:hAnsi="Arial" w:cs="Arial"/>
          <w:b/>
          <w:color w:val="000000" w:themeColor="text1"/>
          <w:sz w:val="24"/>
          <w:szCs w:val="24"/>
        </w:rPr>
        <w:lastRenderedPageBreak/>
        <w:t xml:space="preserve">1.0 </w:t>
      </w:r>
      <w:r w:rsidR="004D34D2" w:rsidRPr="006C16A8">
        <w:rPr>
          <w:rFonts w:ascii="Arial" w:hAnsi="Arial" w:cs="Arial"/>
          <w:b/>
          <w:color w:val="000000" w:themeColor="text1"/>
          <w:sz w:val="24"/>
          <w:szCs w:val="24"/>
        </w:rPr>
        <w:t>Literature Review</w:t>
      </w:r>
      <w:bookmarkEnd w:id="3"/>
      <w:r w:rsidR="004D34D2" w:rsidRPr="00616CDC">
        <w:rPr>
          <w:rFonts w:ascii="Arial" w:hAnsi="Arial" w:cs="Arial"/>
          <w:b/>
          <w:color w:val="000000" w:themeColor="text1"/>
          <w:sz w:val="24"/>
          <w:szCs w:val="24"/>
        </w:rPr>
        <w:t xml:space="preserve"> </w:t>
      </w:r>
    </w:p>
    <w:p w14:paraId="3BAD9439" w14:textId="75362F0E" w:rsidR="003A449C" w:rsidRPr="002B3D8A" w:rsidRDefault="003A449C" w:rsidP="0063623D">
      <w:pPr>
        <w:pStyle w:val="Heading2"/>
        <w:spacing w:line="360" w:lineRule="auto"/>
        <w:rPr>
          <w:rFonts w:ascii="Arial" w:hAnsi="Arial" w:cs="Arial"/>
          <w:b/>
          <w:color w:val="000000" w:themeColor="text1"/>
          <w:sz w:val="24"/>
          <w:szCs w:val="24"/>
        </w:rPr>
      </w:pPr>
      <w:bookmarkStart w:id="4" w:name="_Toc110341272"/>
      <w:r w:rsidRPr="002B3D8A">
        <w:rPr>
          <w:rFonts w:ascii="Arial" w:hAnsi="Arial" w:cs="Arial"/>
          <w:b/>
          <w:color w:val="000000" w:themeColor="text1"/>
          <w:sz w:val="24"/>
          <w:szCs w:val="24"/>
        </w:rPr>
        <w:t>1.1 Introduction</w:t>
      </w:r>
      <w:bookmarkEnd w:id="4"/>
    </w:p>
    <w:p w14:paraId="46CA267E" w14:textId="706F9FF6" w:rsidR="00ED0805" w:rsidRPr="002B3D8A" w:rsidRDefault="00F831DC" w:rsidP="00616CDC">
      <w:pPr>
        <w:spacing w:line="360" w:lineRule="auto"/>
        <w:ind w:left="-284"/>
        <w:jc w:val="both"/>
        <w:rPr>
          <w:rFonts w:ascii="Arial" w:hAnsi="Arial" w:cs="Arial"/>
          <w:color w:val="000000" w:themeColor="text1"/>
          <w:sz w:val="24"/>
          <w:szCs w:val="24"/>
        </w:rPr>
      </w:pPr>
      <w:r w:rsidRPr="002B3D8A">
        <w:rPr>
          <w:rFonts w:ascii="Arial" w:hAnsi="Arial" w:cs="Arial"/>
          <w:color w:val="000000" w:themeColor="text1"/>
          <w:sz w:val="24"/>
          <w:szCs w:val="24"/>
        </w:rPr>
        <w:t>Sugar beet (</w:t>
      </w:r>
      <w:r w:rsidRPr="00F63475">
        <w:rPr>
          <w:rFonts w:ascii="Arial" w:hAnsi="Arial" w:cs="Arial"/>
          <w:i/>
          <w:color w:val="000000" w:themeColor="text1"/>
          <w:sz w:val="24"/>
          <w:szCs w:val="24"/>
        </w:rPr>
        <w:t>Beta vulgaris</w:t>
      </w:r>
      <w:r w:rsidRPr="002B3D8A">
        <w:rPr>
          <w:rFonts w:ascii="Arial" w:hAnsi="Arial" w:cs="Arial"/>
          <w:color w:val="000000" w:themeColor="text1"/>
          <w:sz w:val="24"/>
          <w:szCs w:val="24"/>
        </w:rPr>
        <w:t>) is the second most important sugar crop in the world after sugarcane (Ahmad et al., 2017). Sugar is the primary product derived from sugar beet</w:t>
      </w:r>
      <w:r w:rsidR="00C772D2">
        <w:rPr>
          <w:rFonts w:ascii="Arial" w:hAnsi="Arial" w:cs="Arial"/>
          <w:color w:val="000000" w:themeColor="text1"/>
          <w:sz w:val="24"/>
          <w:szCs w:val="24"/>
        </w:rPr>
        <w:t>,</w:t>
      </w:r>
      <w:r w:rsidRPr="002B3D8A">
        <w:rPr>
          <w:rFonts w:ascii="Arial" w:hAnsi="Arial" w:cs="Arial"/>
          <w:color w:val="000000" w:themeColor="text1"/>
          <w:sz w:val="24"/>
          <w:szCs w:val="24"/>
        </w:rPr>
        <w:t xml:space="preserve"> </w:t>
      </w:r>
      <w:r w:rsidR="00C772D2">
        <w:rPr>
          <w:rFonts w:ascii="Arial" w:hAnsi="Arial" w:cs="Arial"/>
          <w:color w:val="000000" w:themeColor="text1"/>
          <w:sz w:val="24"/>
          <w:szCs w:val="24"/>
        </w:rPr>
        <w:t>while</w:t>
      </w:r>
      <w:r w:rsidR="00C772D2" w:rsidRPr="002B3D8A">
        <w:rPr>
          <w:rFonts w:ascii="Arial" w:hAnsi="Arial" w:cs="Arial"/>
          <w:color w:val="000000" w:themeColor="text1"/>
          <w:sz w:val="24"/>
          <w:szCs w:val="24"/>
        </w:rPr>
        <w:t xml:space="preserve"> </w:t>
      </w:r>
      <w:r w:rsidRPr="002B3D8A">
        <w:rPr>
          <w:rFonts w:ascii="Arial" w:hAnsi="Arial" w:cs="Arial"/>
          <w:color w:val="000000" w:themeColor="text1"/>
          <w:sz w:val="24"/>
          <w:szCs w:val="24"/>
        </w:rPr>
        <w:t>the biproduct, pulp</w:t>
      </w:r>
      <w:r w:rsidR="00C772D2">
        <w:rPr>
          <w:rFonts w:ascii="Arial" w:hAnsi="Arial" w:cs="Arial"/>
          <w:color w:val="000000" w:themeColor="text1"/>
          <w:sz w:val="24"/>
          <w:szCs w:val="24"/>
        </w:rPr>
        <w:t>,</w:t>
      </w:r>
      <w:r w:rsidRPr="002B3D8A">
        <w:rPr>
          <w:rFonts w:ascii="Arial" w:hAnsi="Arial" w:cs="Arial"/>
          <w:color w:val="000000" w:themeColor="text1"/>
          <w:sz w:val="24"/>
          <w:szCs w:val="24"/>
        </w:rPr>
        <w:t xml:space="preserve"> is used as livestock feed. The crop covers 3.7% of total area under crops and supplies 55% of sugar consumed in the United Kingdom (Tzilivakis et al., 2005). Sugar beet is an economically important crop in East Anglia and the East Midlands areas of England, occupying in the region of 105,000 hectares; 15 M t of sugar were produced from the 2018/19 </w:t>
      </w:r>
      <w:r w:rsidR="00F71CDF" w:rsidRPr="002B3D8A">
        <w:rPr>
          <w:rFonts w:ascii="Arial" w:hAnsi="Arial" w:cs="Arial"/>
          <w:color w:val="000000" w:themeColor="text1"/>
          <w:sz w:val="24"/>
          <w:szCs w:val="24"/>
        </w:rPr>
        <w:t>harvest</w:t>
      </w:r>
      <w:r w:rsidR="00F71CDF">
        <w:rPr>
          <w:rFonts w:ascii="Arial" w:hAnsi="Arial" w:cs="Arial"/>
          <w:color w:val="000000" w:themeColor="text1"/>
          <w:sz w:val="24"/>
          <w:szCs w:val="24"/>
        </w:rPr>
        <w:t>.</w:t>
      </w:r>
      <w:r w:rsidRPr="002B3D8A">
        <w:rPr>
          <w:rFonts w:ascii="Arial" w:hAnsi="Arial" w:cs="Arial"/>
          <w:color w:val="000000" w:themeColor="text1"/>
          <w:sz w:val="24"/>
          <w:szCs w:val="24"/>
        </w:rPr>
        <w:t xml:space="preserve"> Plant parasitic nematodes PPNs) are important pests for many crops globally and result in a c. 14% loss of production annually, which equates to losses of £132 billion. The sugar beet crop is no exception, being subject to infection by a variety of different PPN species, including those categorised as free-living. The most common nematodes affecting sugar beet production are beet cyst nematode </w:t>
      </w:r>
      <w:r w:rsidRPr="002B3D8A">
        <w:rPr>
          <w:rFonts w:ascii="Arial" w:hAnsi="Arial" w:cs="Arial"/>
          <w:i/>
          <w:color w:val="000000" w:themeColor="text1"/>
          <w:sz w:val="24"/>
          <w:szCs w:val="24"/>
        </w:rPr>
        <w:t>(Heterodera schachtii),</w:t>
      </w:r>
      <w:r w:rsidRPr="002B3D8A">
        <w:rPr>
          <w:rFonts w:ascii="Arial" w:hAnsi="Arial" w:cs="Arial"/>
          <w:color w:val="000000" w:themeColor="text1"/>
          <w:sz w:val="24"/>
          <w:szCs w:val="24"/>
        </w:rPr>
        <w:t xml:space="preserve"> root knot nematodes (</w:t>
      </w:r>
      <w:r w:rsidRPr="002B3D8A">
        <w:rPr>
          <w:rFonts w:ascii="Arial" w:hAnsi="Arial" w:cs="Arial"/>
          <w:i/>
          <w:color w:val="000000" w:themeColor="text1"/>
          <w:sz w:val="24"/>
          <w:szCs w:val="24"/>
        </w:rPr>
        <w:t>Meloidogyne hapla</w:t>
      </w:r>
      <w:r w:rsidR="00B440E3" w:rsidRPr="002B3D8A">
        <w:rPr>
          <w:rFonts w:ascii="Arial" w:hAnsi="Arial" w:cs="Arial"/>
          <w:i/>
          <w:color w:val="000000" w:themeColor="text1"/>
          <w:sz w:val="24"/>
          <w:szCs w:val="24"/>
        </w:rPr>
        <w:t>)</w:t>
      </w:r>
      <w:r w:rsidRPr="002B3D8A">
        <w:rPr>
          <w:rFonts w:ascii="Arial" w:hAnsi="Arial" w:cs="Arial"/>
          <w:color w:val="000000" w:themeColor="text1"/>
          <w:sz w:val="24"/>
          <w:szCs w:val="24"/>
        </w:rPr>
        <w:t xml:space="preserve"> and </w:t>
      </w:r>
      <w:r w:rsidRPr="002B3D8A">
        <w:rPr>
          <w:rFonts w:ascii="Arial" w:hAnsi="Arial" w:cs="Arial"/>
          <w:i/>
          <w:color w:val="000000" w:themeColor="text1"/>
          <w:sz w:val="24"/>
          <w:szCs w:val="24"/>
        </w:rPr>
        <w:t>Meloidogyne chitwoodi</w:t>
      </w:r>
      <w:r w:rsidRPr="002B3D8A">
        <w:rPr>
          <w:rFonts w:ascii="Arial" w:hAnsi="Arial" w:cs="Arial"/>
          <w:color w:val="000000" w:themeColor="text1"/>
          <w:sz w:val="24"/>
          <w:szCs w:val="24"/>
        </w:rPr>
        <w:t xml:space="preserve">) and </w:t>
      </w:r>
      <w:r w:rsidR="00ED0805" w:rsidRPr="002B3D8A">
        <w:rPr>
          <w:rFonts w:ascii="Arial" w:hAnsi="Arial" w:cs="Arial"/>
          <w:color w:val="000000" w:themeColor="text1"/>
          <w:sz w:val="24"/>
          <w:szCs w:val="24"/>
        </w:rPr>
        <w:t>nematodes in the family Trichodoridae (</w:t>
      </w:r>
      <w:r w:rsidRPr="002B3D8A">
        <w:rPr>
          <w:rFonts w:ascii="Arial" w:hAnsi="Arial" w:cs="Arial"/>
          <w:i/>
          <w:color w:val="000000" w:themeColor="text1"/>
          <w:sz w:val="24"/>
          <w:szCs w:val="24"/>
        </w:rPr>
        <w:t>Paratrichodorus</w:t>
      </w:r>
      <w:r w:rsidRPr="002B3D8A">
        <w:rPr>
          <w:rFonts w:ascii="Arial" w:hAnsi="Arial" w:cs="Arial"/>
          <w:color w:val="000000" w:themeColor="text1"/>
          <w:sz w:val="24"/>
          <w:szCs w:val="24"/>
        </w:rPr>
        <w:t xml:space="preserve"> and </w:t>
      </w:r>
      <w:r w:rsidRPr="002B3D8A">
        <w:rPr>
          <w:rFonts w:ascii="Arial" w:hAnsi="Arial" w:cs="Arial"/>
          <w:i/>
          <w:color w:val="000000" w:themeColor="text1"/>
          <w:sz w:val="24"/>
          <w:szCs w:val="24"/>
        </w:rPr>
        <w:t>Trichodorus</w:t>
      </w:r>
      <w:r w:rsidRPr="002B3D8A">
        <w:rPr>
          <w:rFonts w:ascii="Arial" w:hAnsi="Arial" w:cs="Arial"/>
          <w:color w:val="000000" w:themeColor="text1"/>
          <w:sz w:val="24"/>
          <w:szCs w:val="24"/>
        </w:rPr>
        <w:t xml:space="preserve"> sp</w:t>
      </w:r>
      <w:r w:rsidR="00ED0805" w:rsidRPr="002B3D8A">
        <w:rPr>
          <w:rFonts w:ascii="Arial" w:hAnsi="Arial" w:cs="Arial"/>
          <w:color w:val="000000" w:themeColor="text1"/>
          <w:sz w:val="24"/>
          <w:szCs w:val="24"/>
        </w:rPr>
        <w:t xml:space="preserve">p) commonly known as stubby root nematodes </w:t>
      </w:r>
      <w:r w:rsidR="00ED0805" w:rsidRPr="002B3D8A">
        <w:rPr>
          <w:rFonts w:ascii="Arial" w:hAnsi="Arial" w:cs="Arial"/>
          <w:color w:val="000000" w:themeColor="text1"/>
          <w:sz w:val="24"/>
          <w:szCs w:val="24"/>
        </w:rPr>
        <w:fldChar w:fldCharType="begin" w:fldLock="1"/>
      </w:r>
      <w:r w:rsidR="00E13293">
        <w:rPr>
          <w:rFonts w:ascii="Arial" w:hAnsi="Arial" w:cs="Arial"/>
          <w:color w:val="000000" w:themeColor="text1"/>
          <w:sz w:val="24"/>
          <w:szCs w:val="24"/>
        </w:rPr>
        <w:instrText>ADDIN CSL_CITATION {"citationItems":[{"id":"ITEM-1","itemData":{"author":[{"dropping-particle":"","family":"Whitehead","given":"A.G.","non-dropping-particle":"","parse-names":false,"suffix":""},{"dropping-particle":"","family":"Hooper","given":"D.J.","non-dropping-particle":"","parse-names":false,"suffix":""}],"container-title":"Ann. appl. Biol","id":"ITEM-1","issued":{"date-parts":[["1970"]]},"page":"339-350","title":"Needle nematodes (Longidorus spp.) and stubby-root nematodes ( Trichodorus spp.) harmful to sugar beet and other field crops in England","type":"article-journal"},"uris":["http://www.mendeley.com/documents/?uuid=e3a9ba67-b49f-4808-a0ea-7bff1763d6dd"]},{"id":"ITEM-2","itemData":{"author":[{"dropping-particle":"","family":"Hafez","given":"Saad L.","non-dropping-particle":"","parse-names":false,"suffix":""}],"id":"ITEM-2","issued":{"date-parts":[["1998"]]},"page":"1-12","title":"Sugar Beet Nematodes In Idaho And Eastern Oregon","type":"article-journal"},"uris":["http://www.mendeley.com/documents/?uuid=d7598400-fb88-48a5-ac8a-916a44a3736d"]}],"mendeley":{"formattedCitation":"(Whitehead and Hooper, 1970; Hafez, 1998)","plainTextFormattedCitation":"(Whitehead and Hooper, 1970; Hafez, 1998)","previouslyFormattedCitation":"(Whitehead and Hooper, 1970; Hafez, 1998)"},"properties":{"noteIndex":0},"schema":"https://github.com/citation-style-language/schema/raw/master/csl-citation.json"}</w:instrText>
      </w:r>
      <w:r w:rsidR="00ED0805" w:rsidRPr="002B3D8A">
        <w:rPr>
          <w:rFonts w:ascii="Arial" w:hAnsi="Arial" w:cs="Arial"/>
          <w:color w:val="000000" w:themeColor="text1"/>
          <w:sz w:val="24"/>
          <w:szCs w:val="24"/>
        </w:rPr>
        <w:fldChar w:fldCharType="separate"/>
      </w:r>
      <w:r w:rsidR="00E13293" w:rsidRPr="00E13293">
        <w:rPr>
          <w:rFonts w:ascii="Arial" w:hAnsi="Arial" w:cs="Arial"/>
          <w:noProof/>
          <w:color w:val="000000" w:themeColor="text1"/>
          <w:sz w:val="24"/>
          <w:szCs w:val="24"/>
        </w:rPr>
        <w:t>(Whitehead and Hooper, 1970; Hafez, 1998)</w:t>
      </w:r>
      <w:r w:rsidR="00ED0805" w:rsidRPr="002B3D8A">
        <w:rPr>
          <w:rFonts w:ascii="Arial" w:hAnsi="Arial" w:cs="Arial"/>
          <w:color w:val="000000" w:themeColor="text1"/>
          <w:sz w:val="24"/>
          <w:szCs w:val="24"/>
        </w:rPr>
        <w:fldChar w:fldCharType="end"/>
      </w:r>
    </w:p>
    <w:p w14:paraId="21B3CA40" w14:textId="5E2682AA" w:rsidR="005B10EA" w:rsidRPr="002B3D8A" w:rsidRDefault="00CF0671" w:rsidP="0063623D">
      <w:pPr>
        <w:pStyle w:val="Heading2"/>
        <w:spacing w:line="360" w:lineRule="auto"/>
        <w:rPr>
          <w:rFonts w:ascii="Arial" w:eastAsia="Calibri" w:hAnsi="Arial" w:cs="Arial"/>
          <w:b/>
          <w:color w:val="000000" w:themeColor="text1"/>
          <w:sz w:val="24"/>
          <w:szCs w:val="24"/>
        </w:rPr>
      </w:pPr>
      <w:bookmarkStart w:id="5" w:name="_Toc110341273"/>
      <w:r w:rsidRPr="002B3D8A">
        <w:rPr>
          <w:rFonts w:ascii="Arial" w:eastAsia="Calibri" w:hAnsi="Arial" w:cs="Arial"/>
          <w:b/>
          <w:color w:val="000000" w:themeColor="text1"/>
          <w:sz w:val="24"/>
          <w:szCs w:val="24"/>
        </w:rPr>
        <w:t xml:space="preserve">1.2 </w:t>
      </w:r>
      <w:r w:rsidR="005B10EA" w:rsidRPr="002B3D8A">
        <w:rPr>
          <w:rFonts w:ascii="Arial" w:eastAsia="Calibri" w:hAnsi="Arial" w:cs="Arial"/>
          <w:b/>
          <w:color w:val="000000" w:themeColor="text1"/>
          <w:sz w:val="24"/>
          <w:szCs w:val="24"/>
        </w:rPr>
        <w:t>The family Trichodoridae</w:t>
      </w:r>
      <w:bookmarkEnd w:id="5"/>
      <w:r w:rsidR="005B10EA" w:rsidRPr="002B3D8A">
        <w:rPr>
          <w:rFonts w:ascii="Arial" w:eastAsia="Calibri" w:hAnsi="Arial" w:cs="Arial"/>
          <w:b/>
          <w:color w:val="000000" w:themeColor="text1"/>
          <w:sz w:val="24"/>
          <w:szCs w:val="24"/>
        </w:rPr>
        <w:t xml:space="preserve"> </w:t>
      </w:r>
    </w:p>
    <w:p w14:paraId="6B67A852" w14:textId="51598C46" w:rsidR="00B4138B" w:rsidRPr="002B3D8A" w:rsidRDefault="00B27D90" w:rsidP="00616CDC">
      <w:pPr>
        <w:spacing w:line="360" w:lineRule="auto"/>
        <w:ind w:left="-284"/>
        <w:contextualSpacing/>
        <w:jc w:val="both"/>
        <w:rPr>
          <w:rFonts w:ascii="Arial" w:eastAsia="Calibri" w:hAnsi="Arial" w:cs="Arial"/>
          <w:color w:val="000000" w:themeColor="text1"/>
          <w:sz w:val="24"/>
          <w:szCs w:val="24"/>
        </w:rPr>
      </w:pPr>
      <w:r w:rsidRPr="002B3D8A">
        <w:rPr>
          <w:rFonts w:ascii="Arial" w:eastAsia="Calibri" w:hAnsi="Arial" w:cs="Arial"/>
          <w:color w:val="000000" w:themeColor="text1"/>
          <w:sz w:val="24"/>
          <w:szCs w:val="24"/>
        </w:rPr>
        <w:t xml:space="preserve">Nematodes </w:t>
      </w:r>
      <w:r w:rsidR="00276C43" w:rsidRPr="002B3D8A">
        <w:rPr>
          <w:rFonts w:ascii="Arial" w:eastAsia="Calibri" w:hAnsi="Arial" w:cs="Arial"/>
          <w:color w:val="000000" w:themeColor="text1"/>
          <w:sz w:val="24"/>
          <w:szCs w:val="24"/>
        </w:rPr>
        <w:t>in</w:t>
      </w:r>
      <w:r w:rsidRPr="002B3D8A">
        <w:rPr>
          <w:rFonts w:ascii="Arial" w:eastAsia="Calibri" w:hAnsi="Arial" w:cs="Arial"/>
          <w:color w:val="000000" w:themeColor="text1"/>
          <w:sz w:val="24"/>
          <w:szCs w:val="24"/>
        </w:rPr>
        <w:t xml:space="preserve"> the family Trichodoridae Thorne 1935, belong to suborder Diphtherophorina Micoletzky, 1922 in the order Triplonchida</w:t>
      </w:r>
      <w:r w:rsidR="001C137D" w:rsidRPr="002B3D8A">
        <w:rPr>
          <w:rFonts w:ascii="Arial" w:eastAsia="Calibri" w:hAnsi="Arial" w:cs="Arial"/>
          <w:color w:val="000000" w:themeColor="text1"/>
          <w:sz w:val="24"/>
          <w:szCs w:val="24"/>
        </w:rPr>
        <w:t xml:space="preserve"> </w:t>
      </w:r>
      <w:r w:rsidR="001C137D" w:rsidRPr="002B3D8A">
        <w:rPr>
          <w:rFonts w:ascii="Arial" w:eastAsia="Calibri" w:hAnsi="Arial" w:cs="Arial"/>
          <w:color w:val="000000" w:themeColor="text1"/>
          <w:sz w:val="24"/>
          <w:szCs w:val="24"/>
        </w:rPr>
        <w:fldChar w:fldCharType="begin" w:fldLock="1"/>
      </w:r>
      <w:r w:rsidR="00200FF9">
        <w:rPr>
          <w:rFonts w:ascii="Arial" w:eastAsia="Calibri" w:hAnsi="Arial" w:cs="Arial"/>
          <w:color w:val="000000" w:themeColor="text1"/>
          <w:sz w:val="24"/>
          <w:szCs w:val="24"/>
        </w:rPr>
        <w:instrText>ADDIN CSL_CITATION {"citationItems":[{"id":"ITEM-1","itemData":{"author":[{"dropping-particle":"","family":"Blaxter","given":"Mark","non-dropping-particle":"","parse-names":false,"suffix":""},{"dropping-particle":"","family":"Floyd","given":"Robin","non-dropping-particle":"","parse-names":false,"suffix":""},{"dropping-particle":"","family":"Dorris","given":"Mark","non-dropping-particle":"","parse-names":false,"suffix":""},{"dropping-particle":"","family":"Eyualem","given":"A","non-dropping-particle":"","parse-names":false,"suffix":""},{"dropping-particle":"","family":"Ley","given":"Paul","non-dropping-particle":"De","parse-names":false,"suffix":""}],"container-title":"Nematology monographs and perspectives (ed. R. Cook &amp; DJ Hunt)","id":"ITEM-1","issued":{"date-parts":[["2004"]]},"page":"615-632","title":"Utilising the new nematode phylogeny for studies of parasitism and diversity","type":"article-journal"},"uris":["http://www.mendeley.com/documents/?uuid=a526e9bf-84bb-416f-935f-dfdb60f71ac8"]}],"mendeley":{"formattedCitation":"(Blaxter &lt;i&gt;et al.&lt;/i&gt;, 2004)","plainTextFormattedCitation":"(Blaxter et al., 2004)","previouslyFormattedCitation":"(Blaxter &lt;i&gt;et al.&lt;/i&gt;, 2004)"},"properties":{"noteIndex":0},"schema":"https://github.com/citation-style-language/schema/raw/master/csl-citation.json"}</w:instrText>
      </w:r>
      <w:r w:rsidR="001C137D" w:rsidRPr="002B3D8A">
        <w:rPr>
          <w:rFonts w:ascii="Arial" w:eastAsia="Calibri" w:hAnsi="Arial" w:cs="Arial"/>
          <w:color w:val="000000" w:themeColor="text1"/>
          <w:sz w:val="24"/>
          <w:szCs w:val="24"/>
        </w:rPr>
        <w:fldChar w:fldCharType="separate"/>
      </w:r>
      <w:r w:rsidR="00A07F2C" w:rsidRPr="00A07F2C">
        <w:rPr>
          <w:rFonts w:ascii="Arial" w:eastAsia="Calibri" w:hAnsi="Arial" w:cs="Arial"/>
          <w:noProof/>
          <w:color w:val="000000" w:themeColor="text1"/>
          <w:sz w:val="24"/>
          <w:szCs w:val="24"/>
        </w:rPr>
        <w:t xml:space="preserve">(Blaxter </w:t>
      </w:r>
      <w:r w:rsidR="00A07F2C" w:rsidRPr="00A07F2C">
        <w:rPr>
          <w:rFonts w:ascii="Arial" w:eastAsia="Calibri" w:hAnsi="Arial" w:cs="Arial"/>
          <w:i/>
          <w:noProof/>
          <w:color w:val="000000" w:themeColor="text1"/>
          <w:sz w:val="24"/>
          <w:szCs w:val="24"/>
        </w:rPr>
        <w:t>et al.</w:t>
      </w:r>
      <w:r w:rsidR="00A07F2C" w:rsidRPr="00A07F2C">
        <w:rPr>
          <w:rFonts w:ascii="Arial" w:eastAsia="Calibri" w:hAnsi="Arial" w:cs="Arial"/>
          <w:noProof/>
          <w:color w:val="000000" w:themeColor="text1"/>
          <w:sz w:val="24"/>
          <w:szCs w:val="24"/>
        </w:rPr>
        <w:t>, 2004)</w:t>
      </w:r>
      <w:r w:rsidR="001C137D" w:rsidRPr="002B3D8A">
        <w:rPr>
          <w:rFonts w:ascii="Arial" w:eastAsia="Calibri" w:hAnsi="Arial" w:cs="Arial"/>
          <w:color w:val="000000" w:themeColor="text1"/>
          <w:sz w:val="24"/>
          <w:szCs w:val="24"/>
        </w:rPr>
        <w:fldChar w:fldCharType="end"/>
      </w:r>
      <w:r w:rsidR="001C137D"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The family is composed of 109 species, plus one subspecies and six genera</w:t>
      </w:r>
      <w:bookmarkStart w:id="6" w:name="_Hlk63455060"/>
      <w:r w:rsidRPr="002B3D8A">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Cobb, 1913 (64 valid species),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Siddiqi 1974 (26 valid species ), </w:t>
      </w:r>
      <w:r w:rsidRPr="002B3D8A">
        <w:rPr>
          <w:rFonts w:ascii="Arial" w:eastAsia="Calibri" w:hAnsi="Arial" w:cs="Arial"/>
          <w:i/>
          <w:color w:val="000000" w:themeColor="text1"/>
          <w:sz w:val="24"/>
          <w:szCs w:val="24"/>
        </w:rPr>
        <w:t>Nanidorus</w:t>
      </w:r>
      <w:r w:rsidRPr="002B3D8A">
        <w:rPr>
          <w:rFonts w:ascii="Arial" w:eastAsia="Calibri" w:hAnsi="Arial" w:cs="Arial"/>
          <w:color w:val="000000" w:themeColor="text1"/>
          <w:sz w:val="24"/>
          <w:szCs w:val="24"/>
        </w:rPr>
        <w:t xml:space="preserve"> Siddiqi, 1974 (seven valid species), </w:t>
      </w:r>
      <w:r w:rsidRPr="002B3D8A">
        <w:rPr>
          <w:rFonts w:ascii="Arial" w:eastAsia="Calibri" w:hAnsi="Arial" w:cs="Arial"/>
          <w:i/>
          <w:color w:val="000000" w:themeColor="text1"/>
          <w:sz w:val="24"/>
          <w:szCs w:val="24"/>
        </w:rPr>
        <w:t xml:space="preserve">Monotrichodorus </w:t>
      </w:r>
      <w:r w:rsidRPr="002B3D8A">
        <w:rPr>
          <w:rFonts w:ascii="Arial" w:eastAsia="Calibri" w:hAnsi="Arial" w:cs="Arial"/>
          <w:color w:val="000000" w:themeColor="text1"/>
          <w:sz w:val="24"/>
          <w:szCs w:val="24"/>
        </w:rPr>
        <w:t xml:space="preserve">Andrássy, 1976 (4 valid species), </w:t>
      </w:r>
      <w:r w:rsidRPr="002B3D8A">
        <w:rPr>
          <w:rFonts w:ascii="Arial" w:eastAsia="Calibri" w:hAnsi="Arial" w:cs="Arial"/>
          <w:i/>
          <w:color w:val="000000" w:themeColor="text1"/>
          <w:sz w:val="24"/>
          <w:szCs w:val="24"/>
        </w:rPr>
        <w:t>Allotrichodorus</w:t>
      </w:r>
      <w:r w:rsidRPr="002B3D8A">
        <w:rPr>
          <w:rFonts w:ascii="Arial" w:eastAsia="Calibri" w:hAnsi="Arial" w:cs="Arial"/>
          <w:color w:val="000000" w:themeColor="text1"/>
          <w:sz w:val="24"/>
          <w:szCs w:val="24"/>
        </w:rPr>
        <w:t xml:space="preserve"> Rodriguez-Montessoro, Sher &amp; Siddiqi, 1978 ( six valid species) and </w:t>
      </w:r>
      <w:r w:rsidRPr="002B3D8A">
        <w:rPr>
          <w:rFonts w:ascii="Arial" w:eastAsia="Calibri" w:hAnsi="Arial" w:cs="Arial"/>
          <w:i/>
          <w:color w:val="000000" w:themeColor="text1"/>
          <w:sz w:val="24"/>
          <w:szCs w:val="24"/>
        </w:rPr>
        <w:t>Ecuadoru</w:t>
      </w:r>
      <w:r w:rsidRPr="002B3D8A">
        <w:rPr>
          <w:rFonts w:ascii="Arial" w:eastAsia="Calibri" w:hAnsi="Arial" w:cs="Arial"/>
          <w:color w:val="000000" w:themeColor="text1"/>
          <w:sz w:val="24"/>
          <w:szCs w:val="24"/>
        </w:rPr>
        <w:t xml:space="preserve">s Siddiqi, 2002 (two valid species), </w:t>
      </w:r>
      <w:r w:rsidRPr="002B3D8A">
        <w:rPr>
          <w:rFonts w:ascii="Arial" w:eastAsia="Calibri" w:hAnsi="Arial" w:cs="Arial"/>
          <w:color w:val="000000" w:themeColor="text1"/>
          <w:sz w:val="24"/>
          <w:szCs w:val="24"/>
        </w:rPr>
        <w:fldChar w:fldCharType="begin" w:fldLock="1"/>
      </w:r>
      <w:r w:rsidR="00200FF9">
        <w:rPr>
          <w:rFonts w:ascii="Arial" w:eastAsia="Calibri" w:hAnsi="Arial" w:cs="Arial"/>
          <w:color w:val="000000" w:themeColor="text1"/>
          <w:sz w:val="24"/>
          <w:szCs w:val="24"/>
        </w:rPr>
        <w:instrText>ADDIN CSL_CITATION {"citationItems":[{"id":"ITEM-1","itemData":{"DOI":"10.1007/s11230-018-9780-6","ISSN":"15735192","PMID":"29450810","abstract":"Trichodorus zanjanensis n. sp., collected from the rhizosphere of wild almond tree (Amygdalus scoparia Spach) in Zanjan Province, Iran, is described and illustrated based on morphological and molecular data. The new species is characterised by its body length (772–819 μm in males; 704–953 μm in females), and in having medium-sized onchiostyle (60–64 μm in males; 59–65 μm in females) and a short dorsal overlap of the intestine. Males of the new species have two ventromedian cervical papillae posterior to onchiostyle region, ventrally curved spicules, smooth, long and wide manubrium, gradually continuing in a narrower anterior part of the blade provided with bristles and marked from the wider and transversely striated main part of the blade, tapered towards distal end, three ventromedian precloacal supplements, the posterior one (SP1) situated at the level of anterior blade and gubernaculum situated at 24–25 μm from the cloaca. Females have one pair of sublateral body pores in the vulva region, medium rounded triangular to oval sclerotised vaginal pieces in lateral view, and pear-shaped vagina. The new species resembles T. persicus De Waele &amp; Sturhan, 1987, T. minzi De Waele &amp; Cohn, 1992 and T. taylori De Waele, Mancini, Roca &amp; Lamberti, 1982. The results of morphological and morphometric comparisons and molecular data based on sequences of the partial 18S and D2-D3 expansion segments of 28S rRNA genes, clearly separated T. zanjanensis n. sp. from these known species and supported the description of T. zanjanensis n. sp. as a new species.","author":[{"dropping-particle":"","family":"Asghari","given":"Ramezan","non-dropping-particle":"","parse-names":false,"suffix":""},{"dropping-particle":"","family":"Eskandari","given":"Ali","non-dropping-particle":"","parse-names":false,"suffix":""},{"dropping-particle":"","family":"Tanha Maafi","given":"Zahra","non-dropping-particle":"","parse-names":false,"suffix":""},{"dropping-particle":"","family":"Decraemer","given":"Wilfrida","non-dropping-particle":"","parse-names":false,"suffix":""}],"container-title":"Systematic Parasitology","id":"ITEM-1","issue":"2-3","issued":{"date-parts":[["2018","3","1"]]},"page":"257-269","publisher":"Springer Netherlands","title":"Characterisation of a new species of Trichodorus Cobb, 1913 (Triplonchida: Trichodoridae) from Iran based on morphological and molecular data","type":"article-journal","volume":"95"},"uris":["http://www.mendeley.com/documents/?uuid=c3f7c992-2926-3fe0-8d96-52479271be10"]}],"mendeley":{"formattedCitation":"(Asghari &lt;i&gt;et al.&lt;/i&gt;, 2018)","plainTextFormattedCitation":"(Asghari et al., 2018)","previouslyFormattedCitation":"(Asghari &lt;i&gt;et al.&lt;/i&gt;, 2018)"},"properties":{"noteIndex":0},"schema":"https://github.com/citation-style-language/schema/raw/master/csl-citation.json"}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A07F2C" w:rsidRPr="00A07F2C">
        <w:rPr>
          <w:rFonts w:ascii="Arial" w:eastAsia="Calibri" w:hAnsi="Arial" w:cs="Arial"/>
          <w:noProof/>
          <w:color w:val="000000" w:themeColor="text1"/>
          <w:sz w:val="24"/>
          <w:szCs w:val="24"/>
        </w:rPr>
        <w:t xml:space="preserve">(Asghari </w:t>
      </w:r>
      <w:r w:rsidR="00A07F2C" w:rsidRPr="00A07F2C">
        <w:rPr>
          <w:rFonts w:ascii="Arial" w:eastAsia="Calibri" w:hAnsi="Arial" w:cs="Arial"/>
          <w:i/>
          <w:noProof/>
          <w:color w:val="000000" w:themeColor="text1"/>
          <w:sz w:val="24"/>
          <w:szCs w:val="24"/>
        </w:rPr>
        <w:t>et al.</w:t>
      </w:r>
      <w:r w:rsidR="00A07F2C" w:rsidRPr="00A07F2C">
        <w:rPr>
          <w:rFonts w:ascii="Arial" w:eastAsia="Calibri" w:hAnsi="Arial" w:cs="Arial"/>
          <w:noProof/>
          <w:color w:val="000000" w:themeColor="text1"/>
          <w:sz w:val="24"/>
          <w:szCs w:val="24"/>
        </w:rPr>
        <w:t>, 2018)</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The family Trichodoridae, previously contained one genus,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u w:val="single"/>
        </w:rPr>
        <w:t>sensu</w:t>
      </w:r>
      <w:r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u w:val="single"/>
        </w:rPr>
        <w:t>lato</w:t>
      </w:r>
      <w:r w:rsidRPr="002B3D8A">
        <w:rPr>
          <w:rFonts w:ascii="Arial" w:eastAsia="Calibri" w:hAnsi="Arial" w:cs="Arial"/>
          <w:color w:val="000000" w:themeColor="text1"/>
          <w:sz w:val="24"/>
          <w:szCs w:val="24"/>
        </w:rPr>
        <w:t xml:space="preserve"> which was split into genera,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Siddiqi (1974</w:t>
      </w:r>
      <w:r w:rsidR="001C137D" w:rsidRPr="002B3D8A">
        <w:rPr>
          <w:rFonts w:ascii="Arial" w:eastAsia="Calibri" w:hAnsi="Arial" w:cs="Arial"/>
          <w:color w:val="000000" w:themeColor="text1"/>
          <w:sz w:val="24"/>
          <w:szCs w:val="24"/>
        </w:rPr>
        <w:t>)</w:t>
      </w:r>
      <w:r w:rsidR="00C772D2">
        <w:rPr>
          <w:rFonts w:ascii="Arial" w:eastAsia="Calibri" w:hAnsi="Arial" w:cs="Arial"/>
          <w:color w:val="000000" w:themeColor="text1"/>
          <w:sz w:val="24"/>
          <w:szCs w:val="24"/>
        </w:rPr>
        <w:t>.</w:t>
      </w:r>
      <w:r w:rsidR="001C137D" w:rsidRPr="002B3D8A">
        <w:rPr>
          <w:rFonts w:ascii="Arial" w:eastAsia="Calibri" w:hAnsi="Arial" w:cs="Arial"/>
          <w:color w:val="000000" w:themeColor="text1"/>
          <w:sz w:val="24"/>
          <w:szCs w:val="24"/>
        </w:rPr>
        <w:t xml:space="preserve"> The</w:t>
      </w:r>
      <w:r w:rsidRPr="002B3D8A">
        <w:rPr>
          <w:rFonts w:ascii="Arial" w:eastAsia="Calibri" w:hAnsi="Arial" w:cs="Arial"/>
          <w:color w:val="000000" w:themeColor="text1"/>
          <w:sz w:val="24"/>
          <w:szCs w:val="24"/>
        </w:rPr>
        <w:t xml:space="preserve"> genus </w:t>
      </w:r>
      <w:r w:rsidRPr="002B3D8A">
        <w:rPr>
          <w:rFonts w:ascii="Arial" w:eastAsia="Calibri" w:hAnsi="Arial" w:cs="Arial"/>
          <w:i/>
          <w:color w:val="000000" w:themeColor="text1"/>
          <w:sz w:val="24"/>
          <w:szCs w:val="24"/>
        </w:rPr>
        <w:t xml:space="preserve">Trichodorus </w:t>
      </w:r>
      <w:r w:rsidRPr="002B3D8A">
        <w:rPr>
          <w:rFonts w:ascii="Arial" w:eastAsia="Calibri" w:hAnsi="Arial" w:cs="Arial"/>
          <w:color w:val="000000" w:themeColor="text1"/>
          <w:sz w:val="24"/>
          <w:szCs w:val="24"/>
        </w:rPr>
        <w:t xml:space="preserve">was established by Cobb in 1913, when he described the species </w:t>
      </w:r>
      <w:r w:rsidRPr="002B3D8A">
        <w:rPr>
          <w:rFonts w:ascii="Arial" w:eastAsia="Calibri" w:hAnsi="Arial" w:cs="Arial"/>
          <w:i/>
          <w:color w:val="000000" w:themeColor="text1"/>
          <w:sz w:val="24"/>
          <w:szCs w:val="24"/>
        </w:rPr>
        <w:t>Trichodorus obstutus</w:t>
      </w:r>
      <w:r w:rsidRPr="002B3D8A">
        <w:rPr>
          <w:rFonts w:ascii="Arial" w:eastAsia="Calibri" w:hAnsi="Arial" w:cs="Arial"/>
          <w:color w:val="000000" w:themeColor="text1"/>
          <w:sz w:val="24"/>
          <w:szCs w:val="24"/>
        </w:rPr>
        <w:t xml:space="preserve">. The genus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was also subdivided into three subgenera </w:t>
      </w:r>
      <w:r w:rsidRPr="002B3D8A">
        <w:rPr>
          <w:rFonts w:ascii="Arial" w:eastAsia="Calibri" w:hAnsi="Arial" w:cs="Arial"/>
          <w:i/>
          <w:color w:val="000000" w:themeColor="text1"/>
          <w:sz w:val="24"/>
          <w:szCs w:val="24"/>
        </w:rPr>
        <w:t xml:space="preserve">Paratrichodorus, Atlantadorus </w:t>
      </w:r>
      <w:r w:rsidRPr="002B3D8A">
        <w:rPr>
          <w:rFonts w:ascii="Arial" w:eastAsia="Calibri" w:hAnsi="Arial" w:cs="Arial"/>
          <w:color w:val="000000" w:themeColor="text1"/>
          <w:sz w:val="24"/>
          <w:szCs w:val="24"/>
        </w:rPr>
        <w:t>and</w:t>
      </w:r>
      <w:r w:rsidRPr="002B3D8A">
        <w:rPr>
          <w:rFonts w:ascii="Arial" w:eastAsia="Calibri" w:hAnsi="Arial" w:cs="Arial"/>
          <w:i/>
          <w:color w:val="000000" w:themeColor="text1"/>
          <w:sz w:val="24"/>
          <w:szCs w:val="24"/>
        </w:rPr>
        <w:t xml:space="preserve"> Nanidorus</w:t>
      </w:r>
      <w:r w:rsidRPr="002B3D8A">
        <w:rPr>
          <w:rFonts w:ascii="Arial" w:eastAsia="Calibri" w:hAnsi="Arial" w:cs="Arial"/>
          <w:color w:val="000000" w:themeColor="text1"/>
          <w:sz w:val="24"/>
          <w:szCs w:val="24"/>
        </w:rPr>
        <w:t xml:space="preserve">. Monodelphic species, were included in two new genera: </w:t>
      </w:r>
      <w:r w:rsidRPr="002B3D8A">
        <w:rPr>
          <w:rFonts w:ascii="Arial" w:eastAsia="Calibri" w:hAnsi="Arial" w:cs="Arial"/>
          <w:i/>
          <w:color w:val="000000" w:themeColor="text1"/>
          <w:sz w:val="24"/>
          <w:szCs w:val="24"/>
        </w:rPr>
        <w:t>Monotrichodorus</w:t>
      </w:r>
      <w:r w:rsidRPr="002B3D8A">
        <w:rPr>
          <w:rFonts w:ascii="Arial" w:eastAsia="Calibri" w:hAnsi="Arial" w:cs="Arial"/>
          <w:color w:val="000000" w:themeColor="text1"/>
          <w:sz w:val="24"/>
          <w:szCs w:val="24"/>
        </w:rPr>
        <w:t xml:space="preserve"> for species closely related to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Allotrichodoru</w:t>
      </w:r>
      <w:r w:rsidRPr="002B3D8A">
        <w:rPr>
          <w:rFonts w:ascii="Arial" w:eastAsia="Calibri" w:hAnsi="Arial" w:cs="Arial"/>
          <w:color w:val="000000" w:themeColor="text1"/>
          <w:sz w:val="24"/>
          <w:szCs w:val="24"/>
        </w:rPr>
        <w:t xml:space="preserve">s Rodriguez-M., Sher &amp; Siddiqi, 1978 for species closely related to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lastRenderedPageBreak/>
        <w:t>(</w:t>
      </w:r>
      <w:r w:rsidRPr="002B3D8A">
        <w:rPr>
          <w:rFonts w:ascii="Arial" w:eastAsia="Calibri" w:hAnsi="Arial" w:cs="Arial"/>
          <w:i/>
          <w:color w:val="000000" w:themeColor="text1"/>
          <w:sz w:val="24"/>
          <w:szCs w:val="24"/>
        </w:rPr>
        <w:t>Atlantadorus</w:t>
      </w:r>
      <w:r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{"citationItems":[{"id":"ITEM-1","itemData":{"abstract":"Keys are given for the identification of species in the Trichodoridae, partly based on the keys of Loof (1975) and Siddiqi (1974). Recent additions are included and for al1 species a drawing is given of the structure referred to in the key. The genus Paratrichodorus and the diagnostic value of the subgenera Paratrichodorus, Atlantadorus and Nanidorus are discussed. RÉSUMB","author":[{"dropping-particle":"","family":"Decraemer","given":"Wilfrida","non-dropping-particle":"","parse-names":false,"suffix":""}],"container-title":"Revue de Nematologie","id":"ITEM-1","issue":"1","issued":{"date-parts":[["1980"]]},"page":"81-99","title":"Systernatics of the Trichodoridae (Nematoda) with keys to their species","type":"article-journal","volume":"3"},"uris":["http://www.mendeley.com/documents/?uuid=6d3071a6-3c12-3e35-8898-747ea772e993"]}],"mendeley":{"formattedCitation":"(Decraemer, 1980)","plainTextFormattedCitation":"(Decraemer, 1980)","previouslyFormattedCitation":"(Decraemer, 1980)"},"properties":{"noteIndex":0},"schema":"https://github.com/citation-style-language/schema/raw/master/csl-citation.json"}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(Decraemer, 1980)</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w:t>
      </w:r>
      <w:r w:rsidRPr="002B3D8A">
        <w:rPr>
          <w:rFonts w:ascii="Arial" w:eastAsia="Calibri" w:hAnsi="Arial" w:cs="Arial"/>
          <w:i/>
          <w:color w:val="000000" w:themeColor="text1"/>
          <w:sz w:val="24"/>
          <w:szCs w:val="24"/>
        </w:rPr>
        <w:t xml:space="preserve"> Dorylaimus primitivus</w:t>
      </w:r>
      <w:r w:rsidRPr="002B3D8A">
        <w:rPr>
          <w:rFonts w:ascii="Arial" w:eastAsia="Calibri" w:hAnsi="Arial" w:cs="Arial"/>
          <w:color w:val="000000" w:themeColor="text1"/>
          <w:sz w:val="24"/>
          <w:szCs w:val="24"/>
        </w:rPr>
        <w:t xml:space="preserve"> de Man 1880, was transferred to the genus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spp and </w:t>
      </w:r>
      <w:r w:rsidRPr="002B3D8A">
        <w:rPr>
          <w:rFonts w:ascii="Arial" w:eastAsia="Calibri" w:hAnsi="Arial" w:cs="Arial"/>
          <w:i/>
          <w:color w:val="000000" w:themeColor="text1"/>
          <w:sz w:val="24"/>
          <w:szCs w:val="24"/>
        </w:rPr>
        <w:t>Trichodorus obstutus</w:t>
      </w:r>
      <w:r w:rsidRPr="002B3D8A">
        <w:rPr>
          <w:rFonts w:ascii="Arial" w:eastAsia="Calibri" w:hAnsi="Arial" w:cs="Arial"/>
          <w:color w:val="000000" w:themeColor="text1"/>
          <w:sz w:val="24"/>
          <w:szCs w:val="24"/>
        </w:rPr>
        <w:t xml:space="preserve"> made a synonym of </w:t>
      </w:r>
      <w:r w:rsidRPr="002B3D8A">
        <w:rPr>
          <w:rFonts w:ascii="Arial" w:eastAsia="Calibri" w:hAnsi="Arial" w:cs="Arial"/>
          <w:i/>
          <w:color w:val="000000" w:themeColor="text1"/>
          <w:sz w:val="24"/>
          <w:szCs w:val="24"/>
        </w:rPr>
        <w:t xml:space="preserve">Trichodorus primitivus </w:t>
      </w:r>
      <w:r w:rsidRPr="002B3D8A">
        <w:rPr>
          <w:rFonts w:ascii="Arial" w:eastAsia="Calibri" w:hAnsi="Arial" w:cs="Arial"/>
          <w:color w:val="000000" w:themeColor="text1"/>
          <w:sz w:val="24"/>
          <w:szCs w:val="24"/>
        </w:rPr>
        <w:t xml:space="preserve">Micoletzky, (1922) </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{"citationItems":[{"id":"ITEM-1","itemData":{"DOI":"10.1007/978-1-4684-0841-6_25","author":[{"dropping-particle":"","family":"Winfield","given":"A. L.","non-dropping-particle":"","parse-names":false,"suffix":""},{"dropping-particle":"","family":"Cooke","given":"D. A.","non-dropping-particle":"","parse-names":false,"suffix":""}],"container-title":"Nematode Vectors of Plant Viruses","id":"ITEM-1","issue":"81","issued":{"date-parts":[["1975"]]},"page":"309-341","title":"The Ecology of Trichodorus","type":"article-journal"},"uris":["http://www.mendeley.com/documents/?uuid=19b7aa37-b8dc-4943-9f00-a313747111cf"]}],"mendeley":{"formattedCitation":"(Winfield and Cooke, 1975)","plainTextFormattedCitation":"(Winfield and Cooke, 1975)","previouslyFormattedCitation":"(Winfield and Cooke, 1975)"},"properties":{"noteIndex":0},"schema":"https://github.com/citation-style-language/schema/raw/master/csl-citation.json"}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(Winfield and Cooke, 1975)</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w:t>
      </w:r>
    </w:p>
    <w:p w14:paraId="3DA19254" w14:textId="73672ED8" w:rsidR="008D3252" w:rsidRDefault="00B27D90">
      <w:pPr>
        <w:spacing w:line="360" w:lineRule="auto"/>
        <w:ind w:left="-284"/>
        <w:contextualSpacing/>
        <w:jc w:val="both"/>
        <w:rPr>
          <w:rFonts w:ascii="Arial" w:eastAsia="Calibri" w:hAnsi="Arial" w:cs="Arial"/>
          <w:i/>
          <w:color w:val="000000" w:themeColor="text1"/>
          <w:sz w:val="24"/>
          <w:szCs w:val="24"/>
        </w:rPr>
      </w:pP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(55 species) and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(33 species) are the largest </w:t>
      </w:r>
      <w:r w:rsidR="00D550D3">
        <w:rPr>
          <w:rFonts w:ascii="Arial" w:eastAsia="Calibri" w:hAnsi="Arial" w:cs="Arial"/>
          <w:color w:val="000000" w:themeColor="text1"/>
          <w:sz w:val="24"/>
          <w:szCs w:val="24"/>
        </w:rPr>
        <w:t xml:space="preserve">group </w:t>
      </w:r>
      <w:r w:rsidR="00D550D3" w:rsidRPr="002B3D8A">
        <w:rPr>
          <w:rFonts w:ascii="Arial" w:eastAsia="Calibri" w:hAnsi="Arial" w:cs="Arial"/>
          <w:color w:val="000000" w:themeColor="text1"/>
          <w:sz w:val="24"/>
          <w:szCs w:val="24"/>
        </w:rPr>
        <w:t>and occur worldwide</w:t>
      </w:r>
      <w:r w:rsidR="00D550D3">
        <w:rPr>
          <w:rFonts w:ascii="Arial" w:eastAsia="Calibri" w:hAnsi="Arial" w:cs="Arial"/>
          <w:color w:val="000000" w:themeColor="text1"/>
          <w:sz w:val="24"/>
          <w:szCs w:val="24"/>
        </w:rPr>
        <w:t xml:space="preserve">. They are </w:t>
      </w:r>
      <w:r w:rsidRPr="002B3D8A">
        <w:rPr>
          <w:rFonts w:ascii="Arial" w:eastAsia="Calibri" w:hAnsi="Arial" w:cs="Arial"/>
          <w:color w:val="000000" w:themeColor="text1"/>
          <w:sz w:val="24"/>
          <w:szCs w:val="24"/>
        </w:rPr>
        <w:t>didelphic</w:t>
      </w:r>
      <w:r w:rsidR="00D550D3">
        <w:rPr>
          <w:rFonts w:ascii="Arial" w:eastAsia="Calibri" w:hAnsi="Arial" w:cs="Arial"/>
          <w:color w:val="000000" w:themeColor="text1"/>
          <w:sz w:val="24"/>
          <w:szCs w:val="24"/>
        </w:rPr>
        <w:t xml:space="preserve">-amphidelphic </w:t>
      </w:r>
      <w:r w:rsidR="00D550D3" w:rsidRPr="002B3D8A">
        <w:rPr>
          <w:rFonts w:ascii="Arial" w:eastAsia="Calibri" w:hAnsi="Arial" w:cs="Arial"/>
          <w:color w:val="000000" w:themeColor="text1"/>
          <w:sz w:val="24"/>
          <w:szCs w:val="24"/>
        </w:rPr>
        <w:t>genera</w:t>
      </w:r>
      <w:r w:rsidR="00D550D3" w:rsidRPr="00D550D3">
        <w:rPr>
          <w:rFonts w:ascii="Arial" w:eastAsia="Calibri" w:hAnsi="Arial" w:cs="Arial"/>
          <w:color w:val="000000" w:themeColor="text1"/>
          <w:sz w:val="24"/>
          <w:szCs w:val="24"/>
        </w:rPr>
        <w:t xml:space="preserve"> </w:t>
      </w:r>
      <w:r w:rsidR="00D550D3">
        <w:rPr>
          <w:rFonts w:ascii="Arial" w:eastAsia="Calibri" w:hAnsi="Arial" w:cs="Arial"/>
          <w:color w:val="000000" w:themeColor="text1"/>
          <w:sz w:val="24"/>
          <w:szCs w:val="24"/>
        </w:rPr>
        <w:t>meaning that they have two genital tubes and their uteri are opposed hence the vulva is located near the mid-body</w:t>
      </w:r>
      <w:r w:rsidRPr="002B3D8A">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Monotrichodorus, Allotrichodorus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Ecuadorus</w:t>
      </w:r>
      <w:r w:rsidRPr="002B3D8A">
        <w:rPr>
          <w:rFonts w:ascii="Arial" w:eastAsia="Calibri" w:hAnsi="Arial" w:cs="Arial"/>
          <w:color w:val="000000" w:themeColor="text1"/>
          <w:sz w:val="24"/>
          <w:szCs w:val="24"/>
        </w:rPr>
        <w:t xml:space="preserve"> are monodelphic–prodelphic</w:t>
      </w:r>
      <w:r w:rsidR="00D550D3">
        <w:rPr>
          <w:rFonts w:ascii="Arial" w:eastAsia="Calibri" w:hAnsi="Arial" w:cs="Arial"/>
          <w:color w:val="000000" w:themeColor="text1"/>
          <w:sz w:val="24"/>
          <w:szCs w:val="24"/>
        </w:rPr>
        <w:t xml:space="preserve"> meaning that they have one anteriorly directed genital tube and the vulva is located at 60% of the total body length</w:t>
      </w:r>
      <w:r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ISSN":"1845930568","author":[{"dropping-particle":"","family":"Decraemer","given":"Wilfrida","non-dropping-particle":"","parse-names":false,"suffix":""},{"dropping-particle":"","family":"Geraert","given":"Etienne","non-dropping-particle":"","parse-names":false,"suffix":""}],"container-title":"Plant nematology","id":"ITEM-1","issued":{"date-parts":[["2006"]]},"page":"153-184","publisher":"CABI","title":"Ectoparasitic nematodes.","type":"article-journal"},"uris":["http://www.mendeley.com/documents/?uuid=657103ef-7162-49aa-934e-2f2230bfe8b7"]}],"mendeley":{"formattedCitation":"(Decraemer and Geraert, 2006)","plainTextFormattedCitation":"(Decraemer and Geraert, 2006)","previouslyFormattedCitation":"(Decraemer and Geraert, 2006)"},"properties":{"noteIndex":0},"schema":"https://github.com/citation-style-language/schema/raw/master/csl-citation.json"}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(Decraemer and Geraert, 2006)</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The genera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Nanidorus</w:t>
      </w:r>
      <w:r w:rsidRPr="002B3D8A">
        <w:rPr>
          <w:rFonts w:ascii="Arial" w:eastAsia="Calibri" w:hAnsi="Arial" w:cs="Arial"/>
          <w:color w:val="000000" w:themeColor="text1"/>
          <w:sz w:val="24"/>
          <w:szCs w:val="24"/>
        </w:rPr>
        <w:t xml:space="preserve"> are the most economically important as they have more number of species, virus vector species and have widely distributed species </w:t>
      </w:r>
      <w:r w:rsidRPr="002B3D8A">
        <w:rPr>
          <w:rFonts w:ascii="Arial" w:eastAsia="Calibri" w:hAnsi="Arial" w:cs="Arial"/>
          <w:color w:val="000000" w:themeColor="text1"/>
          <w:sz w:val="24"/>
          <w:szCs w:val="24"/>
        </w:rPr>
        <w:fldChar w:fldCharType="begin" w:fldLock="1"/>
      </w:r>
      <w:r w:rsidR="00200FF9">
        <w:rPr>
          <w:rFonts w:ascii="Arial" w:eastAsia="Calibri" w:hAnsi="Arial" w:cs="Arial"/>
          <w:color w:val="000000" w:themeColor="text1"/>
          <w:sz w:val="24"/>
          <w:szCs w:val="24"/>
        </w:rPr>
        <w:instrText>ADDIN CSL_CITATION {"citationItems":[{"id":"ITEM-1","itemData":{"DOI":"10.1007/s11230-018-9780-6","ISSN":"15735192","PMID":"29450810","abstract":"Trichodorus zanjanensis n. sp., collected from the rhizosphere of wild almond tree (Amygdalus scoparia Spach) in Zanjan Province, Iran, is described and illustrated based on morphological and molecular data. The new species is characterised by its body length (772–819 μm in males; 704–953 μm in females), and in having medium-sized onchiostyle (60–64 μm in males; 59–65 μm in females) and a short dorsal overlap of the intestine. Males of the new species have two ventromedian cervical papillae posterior to onchiostyle region, ventrally curved spicules, smooth, long and wide manubrium, gradually continuing in a narrower anterior part of the blade provided with bristles and marked from the wider and transversely striated main part of the blade, tapered towards distal end, three ventromedian precloacal supplements, the posterior one (SP1) situated at the level of anterior blade and gubernaculum situated at 24–25 μm from the cloaca. Females have one pair of sublateral body pores in the vulva region, medium rounded triangular to oval sclerotised vaginal pieces in lateral view, and pear-shaped vagina. The new species resembles T. persicus De Waele &amp; Sturhan, 1987, T. minzi De Waele &amp; Cohn, 1992 and T. taylori De Waele, Mancini, Roca &amp; Lamberti, 1982. The results of morphological and morphometric comparisons and molecular data based on sequences of the partial 18S and D2-D3 expansion segments of 28S rRNA genes, clearly separated T. zanjanensis n. sp. from these known species and supported the description of T. zanjanensis n. sp. as a new species.","author":[{"dropping-particle":"","family":"Asghari","given":"Ramezan","non-dropping-particle":"","parse-names":false,"suffix":""},{"dropping-particle":"","family":"Eskandari","given":"Ali","non-dropping-particle":"","parse-names":false,"suffix":""},{"dropping-particle":"","family":"Tanha Maafi","given":"Zahra","non-dropping-particle":"","parse-names":false,"suffix":""},{"dropping-particle":"","family":"Decraemer","given":"Wilfrida","non-dropping-particle":"","parse-names":false,"suffix":""}],"container-title":"Systematic Parasitology","id":"ITEM-1","issue":"2-3","issued":{"date-parts":[["2018","3","1"]]},"page":"257-269","publisher":"Springer Netherlands","title":"Characterisation of a new species of Trichodorus Cobb, 1913 (Triplonchida: Trichodoridae) from Iran based on morphological and molecular data","type":"article-journal","volume":"95"},"uris":["http://www.mendeley.com/documents/?uuid=c3f7c992-2926-3fe0-8d96-52479271be10"]}],"mendeley":{"formattedCitation":"(Asghari &lt;i&gt;et al.&lt;/i&gt;, 2018)","plainTextFormattedCitation":"(Asghari et al., 2018)","previouslyFormattedCitation":"(Asghari &lt;i&gt;et al.&lt;/i&gt;, 2018)"},"properties":{"noteIndex":0},"schema":"https://github.com/citation-style-language/schema/raw/master/csl-citation.json"}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A07F2C" w:rsidRPr="00A07F2C">
        <w:rPr>
          <w:rFonts w:ascii="Arial" w:eastAsia="Calibri" w:hAnsi="Arial" w:cs="Arial"/>
          <w:noProof/>
          <w:color w:val="000000" w:themeColor="text1"/>
          <w:sz w:val="24"/>
          <w:szCs w:val="24"/>
        </w:rPr>
        <w:t xml:space="preserve">(Asghari </w:t>
      </w:r>
      <w:r w:rsidR="00A07F2C" w:rsidRPr="00A07F2C">
        <w:rPr>
          <w:rFonts w:ascii="Arial" w:eastAsia="Calibri" w:hAnsi="Arial" w:cs="Arial"/>
          <w:i/>
          <w:noProof/>
          <w:color w:val="000000" w:themeColor="text1"/>
          <w:sz w:val="24"/>
          <w:szCs w:val="24"/>
        </w:rPr>
        <w:t>et al.</w:t>
      </w:r>
      <w:r w:rsidR="00A07F2C" w:rsidRPr="00A07F2C">
        <w:rPr>
          <w:rFonts w:ascii="Arial" w:eastAsia="Calibri" w:hAnsi="Arial" w:cs="Arial"/>
          <w:noProof/>
          <w:color w:val="000000" w:themeColor="text1"/>
          <w:sz w:val="24"/>
          <w:szCs w:val="24"/>
        </w:rPr>
        <w:t>, 2018)</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In the genus Trichodorus</w:t>
      </w:r>
      <w:r w:rsidR="00C772D2">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7% of the species (four species) can transmit viruses i.e. </w:t>
      </w:r>
      <w:r w:rsidRPr="002B3D8A">
        <w:rPr>
          <w:rFonts w:ascii="Arial" w:eastAsia="Calibri" w:hAnsi="Arial" w:cs="Arial"/>
          <w:i/>
          <w:color w:val="000000" w:themeColor="text1"/>
          <w:sz w:val="24"/>
          <w:szCs w:val="24"/>
        </w:rPr>
        <w:t>T. primitivus</w:t>
      </w:r>
      <w:r w:rsidRPr="002B3D8A">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T. similis</w:t>
      </w:r>
      <w:r w:rsidRPr="002B3D8A">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T. cylindricus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T. viruliferus</w:t>
      </w:r>
      <w:r w:rsidRPr="002B3D8A">
        <w:rPr>
          <w:rFonts w:ascii="Arial" w:eastAsia="Calibri" w:hAnsi="Arial" w:cs="Arial"/>
          <w:color w:val="000000" w:themeColor="text1"/>
          <w:sz w:val="24"/>
          <w:szCs w:val="24"/>
        </w:rPr>
        <w:t xml:space="preserve">. In the genus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26% (nine species): </w:t>
      </w:r>
      <w:r w:rsidR="00783482" w:rsidRPr="002B3D8A">
        <w:rPr>
          <w:rFonts w:ascii="Arial" w:eastAsia="Calibri" w:hAnsi="Arial" w:cs="Arial"/>
          <w:i/>
          <w:color w:val="000000" w:themeColor="text1"/>
          <w:sz w:val="24"/>
          <w:szCs w:val="24"/>
        </w:rPr>
        <w:t>P. pachydermus</w:t>
      </w:r>
      <w:r w:rsidRPr="002B3D8A">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P. anemones</w:t>
      </w:r>
      <w:r w:rsidRPr="002B3D8A">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P. divergens</w:t>
      </w:r>
      <w:r w:rsidRPr="002B3D8A">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P. hispanus</w:t>
      </w:r>
      <w:r w:rsidRPr="002B3D8A">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P. nanus</w:t>
      </w:r>
    </w:p>
    <w:p w14:paraId="058F20EF" w14:textId="1243881D" w:rsidR="00B4138B" w:rsidRPr="002B3D8A" w:rsidRDefault="00B27D90" w:rsidP="00616CDC">
      <w:pPr>
        <w:spacing w:line="360" w:lineRule="auto"/>
        <w:ind w:left="-284"/>
        <w:contextualSpacing/>
        <w:jc w:val="both"/>
        <w:rPr>
          <w:rFonts w:ascii="Arial" w:eastAsia="Calibri" w:hAnsi="Arial" w:cs="Arial"/>
          <w:color w:val="000000" w:themeColor="text1"/>
          <w:sz w:val="24"/>
          <w:szCs w:val="24"/>
        </w:rPr>
      </w:pPr>
      <w:r w:rsidRPr="002B3D8A">
        <w:rPr>
          <w:rFonts w:ascii="Arial" w:eastAsia="Calibri" w:hAnsi="Arial" w:cs="Arial"/>
          <w:color w:val="000000" w:themeColor="text1"/>
          <w:sz w:val="24"/>
          <w:szCs w:val="24"/>
        </w:rPr>
        <w:t xml:space="preserve">, </w:t>
      </w:r>
      <w:r w:rsidR="00C45F52" w:rsidRPr="002B3D8A">
        <w:rPr>
          <w:rFonts w:ascii="Arial" w:eastAsia="Calibri" w:hAnsi="Arial" w:cs="Arial"/>
          <w:i/>
          <w:color w:val="000000" w:themeColor="text1"/>
          <w:sz w:val="24"/>
          <w:szCs w:val="24"/>
        </w:rPr>
        <w:t>P. teres</w:t>
      </w:r>
      <w:r w:rsidRPr="002B3D8A">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P. tuniensis</w:t>
      </w:r>
      <w:r w:rsidRPr="002B3D8A">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P. allius</w:t>
      </w:r>
      <w:r w:rsidRPr="002B3D8A">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P. minor</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P. porosus</w:t>
      </w:r>
      <w:r w:rsidRPr="002B3D8A">
        <w:rPr>
          <w:rFonts w:ascii="Arial" w:eastAsia="Calibri" w:hAnsi="Arial" w:cs="Arial"/>
          <w:color w:val="000000" w:themeColor="text1"/>
          <w:sz w:val="24"/>
          <w:szCs w:val="24"/>
        </w:rPr>
        <w:t xml:space="preserve"> are vectors of tobra </w:t>
      </w:r>
      <w:r w:rsidR="00487AD5" w:rsidRPr="002B3D8A">
        <w:rPr>
          <w:rFonts w:ascii="Arial" w:eastAsia="Calibri" w:hAnsi="Arial" w:cs="Arial"/>
          <w:color w:val="000000" w:themeColor="text1"/>
          <w:sz w:val="24"/>
          <w:szCs w:val="24"/>
        </w:rPr>
        <w:t>viruses</w:t>
      </w:r>
      <w:r w:rsidR="00487AD5">
        <w:rPr>
          <w:rFonts w:ascii="Arial" w:eastAsia="Calibri" w:hAnsi="Arial" w:cs="Arial"/>
          <w:color w:val="000000" w:themeColor="text1"/>
          <w:sz w:val="24"/>
          <w:szCs w:val="24"/>
        </w:rPr>
        <w:t>.</w:t>
      </w:r>
      <w:r w:rsidR="00487AD5" w:rsidRPr="002B3D8A">
        <w:rPr>
          <w:rFonts w:ascii="Arial" w:eastAsia="Calibri" w:hAnsi="Arial" w:cs="Arial"/>
          <w:color w:val="000000" w:themeColor="text1"/>
          <w:sz w:val="24"/>
          <w:szCs w:val="24"/>
        </w:rPr>
        <w:t xml:space="preserve"> In</w:t>
      </w:r>
      <w:r w:rsidRPr="002B3D8A">
        <w:rPr>
          <w:rFonts w:ascii="Arial" w:eastAsia="Calibri" w:hAnsi="Arial" w:cs="Arial"/>
          <w:color w:val="000000" w:themeColor="text1"/>
          <w:sz w:val="24"/>
          <w:szCs w:val="24"/>
        </w:rPr>
        <w:t xml:space="preserve"> the genus </w:t>
      </w:r>
      <w:r w:rsidRPr="002B3D8A">
        <w:rPr>
          <w:rFonts w:ascii="Arial" w:eastAsia="Calibri" w:hAnsi="Arial" w:cs="Arial"/>
          <w:i/>
          <w:color w:val="000000" w:themeColor="text1"/>
          <w:sz w:val="24"/>
          <w:szCs w:val="24"/>
        </w:rPr>
        <w:t xml:space="preserve">Nanidorus </w:t>
      </w:r>
      <w:r w:rsidRPr="002B3D8A">
        <w:rPr>
          <w:rFonts w:ascii="Arial" w:eastAsia="Calibri" w:hAnsi="Arial" w:cs="Arial"/>
          <w:color w:val="000000" w:themeColor="text1"/>
          <w:sz w:val="24"/>
          <w:szCs w:val="24"/>
        </w:rPr>
        <w:t>spp</w:t>
      </w:r>
      <w:r w:rsidR="009E64F4">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28.5% (2 species) are known to transmit viruses. </w:t>
      </w:r>
      <w:r w:rsidRPr="002B3D8A">
        <w:rPr>
          <w:rFonts w:ascii="Arial" w:eastAsia="Calibri" w:hAnsi="Arial" w:cs="Arial"/>
          <w:i/>
          <w:color w:val="000000" w:themeColor="text1"/>
          <w:sz w:val="24"/>
          <w:szCs w:val="24"/>
        </w:rPr>
        <w:t>Nanidorus minor</w:t>
      </w:r>
      <w:r w:rsidRPr="002B3D8A">
        <w:rPr>
          <w:rFonts w:ascii="Arial" w:eastAsia="Calibri" w:hAnsi="Arial" w:cs="Arial"/>
          <w:color w:val="000000" w:themeColor="text1"/>
          <w:sz w:val="24"/>
          <w:szCs w:val="24"/>
        </w:rPr>
        <w:t xml:space="preserve"> has been reported transmitting tobacco rattle virus (TRV) in the USA and pepper ringspot virus (PRV) in South America </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ISSN":"1780641516","author":[{"dropping-particle":"","family":"Decraemer","given":"Wilfrida","non-dropping-particle":"","parse-names":false,"suffix":""},{"dropping-particle":"","family":"Geraert","given":"Etienne","non-dropping-particle":"","parse-names":false,"suffix":""}],"container-title":"Plant nematology","id":"ITEM-1","issue":"Ed. 2","issued":{"date-parts":[["2013"]]},"page":"179-216","publisher":"CABI","title":"Ectoparasitic nematodes.","type":"chapter"},"uris":["http://www.mendeley.com/documents/?uuid=2c6b026d-704d-4651-8da0-eb4a4a4a9e25"]}],"mendeley":{"formattedCitation":"(Decraemer and Geraert, 2013)","plainTextFormattedCitation":"(Decraemer and Geraert, 2013)","previouslyFormattedCitation":"(Decraemer and Geraert, 2013)"},"properties":{"noteIndex":0},"schema":"https://github.com/citation-style-language/schema/raw/master/csl-citation.json"}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(Decraemer and Geraert, 2013)</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Monotrichodorus</w:t>
      </w:r>
      <w:r w:rsidRPr="002B3D8A">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Allotrichodorus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Eutrichodorus</w:t>
      </w:r>
      <w:r w:rsidRPr="002B3D8A">
        <w:rPr>
          <w:rFonts w:ascii="Arial" w:eastAsia="Calibri" w:hAnsi="Arial" w:cs="Arial"/>
          <w:color w:val="000000" w:themeColor="text1"/>
          <w:sz w:val="24"/>
          <w:szCs w:val="24"/>
        </w:rPr>
        <w:t xml:space="preserve"> have not yet been reported as virus vectors and are distributed mainly in Central America and northern part of South America </w:t>
      </w:r>
      <w:r w:rsidRPr="002B3D8A">
        <w:rPr>
          <w:rFonts w:ascii="Arial" w:eastAsia="Calibri" w:hAnsi="Arial" w:cs="Arial"/>
          <w:color w:val="000000" w:themeColor="text1"/>
          <w:sz w:val="24"/>
          <w:szCs w:val="24"/>
        </w:rPr>
        <w:fldChar w:fldCharType="begin" w:fldLock="1"/>
      </w:r>
      <w:r w:rsidR="00200FF9">
        <w:rPr>
          <w:rFonts w:ascii="Arial" w:eastAsia="Calibri" w:hAnsi="Arial" w:cs="Arial"/>
          <w:color w:val="000000" w:themeColor="text1"/>
          <w:sz w:val="24"/>
          <w:szCs w:val="24"/>
        </w:rPr>
        <w:instrText>ADDIN CSL_CITATION {"citationItems":[{"id":"ITEM-1","itemData":{"ISSN":"0022300X","author":[{"dropping-particle":"","family":"Decraemer","given":"Wilfrida","non-dropping-particle":"","parse-names":false,"suffix":""},{"dropping-particle":"","family":"Robbins","given":"R. T.","non-dropping-particle":"","parse-names":false,"suffix":""}],"container-title":"Journal of Nematology","id":"ITEM-1","issue":"4","issued":{"date-parts":[["2007"]]},"page":"295-297","title":"The who, what and where of longidoridae and trichodoridae","type":"article-journal","volume":"39"},"uris":["http://www.mendeley.com/documents/?uuid=41103f79-9bfa-400e-bd82-60e30bd3c2e3"]},{"id":"ITEM-2","itemData":{"DOI":"10.1007/s11230-018-9780-6","ISSN":"15735192","PMID":"29450810","abstract":"Trichodorus zanjanensis n. sp., collected from the rhizosphere of wild almond tree (Amygdalus scoparia Spach) in Zanjan Province, Iran, is described and illustrated based on morphological and molecular data. The new species is characterised by its body length (772–819 μm in males; 704–953 μm in females), and in having medium-sized onchiostyle (60–64 μm in males; 59–65 μm in females) and a short dorsal overlap of the intestine. Males of the new species have two ventromedian cervical papillae posterior to onchiostyle region, ventrally curved spicules, smooth, long and wide manubrium, gradually continuing in a narrower anterior part of the blade provided with bristles and marked from the wider and transversely striated main part of the blade, tapered towards distal end, three ventromedian precloacal supplements, the posterior one (SP1) situated at the level of anterior blade and gubernaculum situated at 24–25 μm from the cloaca. Females have one pair of sublateral body pores in the vulva region, medium rounded triangular to oval sclerotised vaginal pieces in lateral view, and pear-shaped vagina. The new species resembles T. persicus De Waele &amp; Sturhan, 1987, T. minzi De Waele &amp; Cohn, 1992 and T. taylori De Waele, Mancini, Roca &amp; Lamberti, 1982. The results of morphological and morphometric comparisons and molecular data based on sequences of the partial 18S and D2-D3 expansion segments of 28S rRNA genes, clearly separated T. zanjanensis n. sp. from these known species and supported the description of T. zanjanensis n. sp. as a new species.","author":[{"dropping-particle":"","family":"Asghari","given":"Ramezan","non-dropping-particle":"","parse-names":false,"suffix":""},{"dropping-particle":"","family":"Eskandari","given":"Ali","non-dropping-particle":"","parse-names":false,"suffix":""},{"dropping-particle":"","family":"Tanha Maafi","given":"Zahra","non-dropping-particle":"","parse-names":false,"suffix":""},{"dropping-particle":"","family":"Decraemer","given":"Wilfrida","non-dropping-particle":"","parse-names":false,"suffix":""}],"container-title":"Systematic Parasitology","id":"ITEM-2","issue":"2-3","issued":{"date-parts":[["2018","3","1"]]},"page":"257-269","publisher":"Springer Netherlands","title":"Characterisation of a new species of Trichodorus Cobb, 1913 (Triplonchida: Trichodoridae) from Iran based on morphological and molecular data","type":"article-journal","volume":"95"},"uris":["http://www.mendeley.com/documents/?uuid=c3f7c992-2926-3fe0-8d96-52479271be10"]}],"mendeley":{"formattedCitation":"(Decraemer and Robbins, 2007; Asghari &lt;i&gt;et al.&lt;/i&gt;, 2018)","plainTextFormattedCitation":"(Decraemer and Robbins, 2007; Asghari et al., 2018)","previouslyFormattedCitation":"(Decraemer and Robbins, 2007; Asghari &lt;i&gt;et al.&lt;/i&gt;, 2018)"},"properties":{"noteIndex":0},"schema":"https://github.com/citation-style-language/schema/raw/master/csl-citation.json"}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A07F2C" w:rsidRPr="00A07F2C">
        <w:rPr>
          <w:rFonts w:ascii="Arial" w:eastAsia="Calibri" w:hAnsi="Arial" w:cs="Arial"/>
          <w:noProof/>
          <w:color w:val="000000" w:themeColor="text1"/>
          <w:sz w:val="24"/>
          <w:szCs w:val="24"/>
        </w:rPr>
        <w:t xml:space="preserve">(Decraemer and Robbins, 2007; Asghari </w:t>
      </w:r>
      <w:r w:rsidR="00A07F2C" w:rsidRPr="00A07F2C">
        <w:rPr>
          <w:rFonts w:ascii="Arial" w:eastAsia="Calibri" w:hAnsi="Arial" w:cs="Arial"/>
          <w:i/>
          <w:noProof/>
          <w:color w:val="000000" w:themeColor="text1"/>
          <w:sz w:val="24"/>
          <w:szCs w:val="24"/>
        </w:rPr>
        <w:t>et al.</w:t>
      </w:r>
      <w:r w:rsidR="00A07F2C" w:rsidRPr="00A07F2C">
        <w:rPr>
          <w:rFonts w:ascii="Arial" w:eastAsia="Calibri" w:hAnsi="Arial" w:cs="Arial"/>
          <w:noProof/>
          <w:color w:val="000000" w:themeColor="text1"/>
          <w:sz w:val="24"/>
          <w:szCs w:val="24"/>
        </w:rPr>
        <w:t>, 2018)</w:t>
      </w:r>
      <w:r w:rsidRPr="002B3D8A">
        <w:rPr>
          <w:rFonts w:ascii="Arial" w:eastAsia="Calibri" w:hAnsi="Arial" w:cs="Arial"/>
          <w:color w:val="000000" w:themeColor="text1"/>
          <w:sz w:val="24"/>
          <w:szCs w:val="24"/>
        </w:rPr>
        <w:fldChar w:fldCharType="end"/>
      </w:r>
    </w:p>
    <w:bookmarkEnd w:id="6"/>
    <w:p w14:paraId="6619BF93" w14:textId="2F706803" w:rsidR="00891F57" w:rsidRDefault="00B27D90" w:rsidP="00616CDC">
      <w:pPr>
        <w:spacing w:line="360" w:lineRule="auto"/>
        <w:ind w:left="-284"/>
        <w:contextualSpacing/>
        <w:jc w:val="both"/>
        <w:rPr>
          <w:rFonts w:ascii="Arial" w:eastAsia="Calibri" w:hAnsi="Arial" w:cs="Arial"/>
          <w:color w:val="000000" w:themeColor="text1"/>
          <w:sz w:val="24"/>
          <w:szCs w:val="24"/>
        </w:rPr>
      </w:pPr>
      <w:r w:rsidRPr="002B3D8A">
        <w:rPr>
          <w:rFonts w:ascii="Arial" w:eastAsia="Calibri" w:hAnsi="Arial" w:cs="Arial"/>
          <w:color w:val="000000" w:themeColor="text1"/>
          <w:sz w:val="24"/>
          <w:szCs w:val="24"/>
        </w:rPr>
        <w:t xml:space="preserve">Nematodes in the genus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are widespread in North America and Europe and have also been recorded in main continental land masses and island especially in the West Indies and in Australasia</w:t>
      </w:r>
      <w:r w:rsidR="003A449C" w:rsidRPr="002B3D8A">
        <w:rPr>
          <w:rFonts w:ascii="Arial" w:eastAsia="Calibri" w:hAnsi="Arial" w:cs="Arial"/>
          <w:color w:val="000000" w:themeColor="text1"/>
          <w:sz w:val="24"/>
          <w:szCs w:val="24"/>
        </w:rPr>
        <w:t xml:space="preserve"> </w:t>
      </w:r>
      <w:r w:rsidR="003A449C"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{"citationItems":[{"id":"ITEM-1","itemData":{"DOI":"10.1007/978-94-015-8482-1_2","ISBN":"978-94-015-8482-1","abstract":"Trichodoridae are rather short and relatively plump nematodes, varying in length from about 350 to 1800 pm. Their body is largely cylindrical, slightly tapered anteriorly to a more or less rounded head end and posteriorly with a short, usually blunt, tail. They often look cigar-shaped when moribund, especially in typical straight females and males in the genera Paratrichodorus and Allotrichodorus. Males of the genera Trichodorus and Monotrichodorus have the posterior body region clearly curved ventrally.","author":[{"dropping-particle":"","family":"Decraemer","given":"Wilfrida","non-dropping-particle":"","parse-names":false,"suffix":""}],"editor":[{"dropping-particle":"","family":"Decraemer","given":"W","non-dropping-particle":"","parse-names":false,"suffix":""}],"id":"ITEM-1","issued":{"date-parts":[["1995"]]},"page":"4-25","publisher":"Springer Netherlands","publisher-place":"Dordrecht","title":"General Morphology BT - The Family Trichodoridae: Stubby Root and Virus Vector Nematodes","type":"chapter"},"uris":["http://www.mendeley.com/documents/?uuid=a76ab49f-5e02-4b37-9bd3-1deedb7caac2"]}],"mendeley":{"formattedCitation":"(Decraemer, 1995)","plainTextFormattedCitation":"(Decraemer, 1995)","previouslyFormattedCitation":"(Decraemer, 1995)"},"properties":{"noteIndex":0},"schema":"https://github.com/citation-style-language/schema/raw/master/csl-citation.json"}</w:instrText>
      </w:r>
      <w:r w:rsidR="003A449C"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(Decraemer, 1995)</w:t>
      </w:r>
      <w:r w:rsidR="003A449C" w:rsidRPr="002B3D8A">
        <w:rPr>
          <w:rFonts w:ascii="Arial" w:eastAsia="Calibri" w:hAnsi="Arial" w:cs="Arial"/>
          <w:color w:val="000000" w:themeColor="text1"/>
          <w:sz w:val="24"/>
          <w:szCs w:val="24"/>
        </w:rPr>
        <w:fldChar w:fldCharType="end"/>
      </w:r>
      <w:r w:rsidR="00000CD2">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Their economic importance /damage to crops was first demonstrated by </w:t>
      </w:r>
      <w:r w:rsidR="001C137D" w:rsidRPr="002B3D8A">
        <w:rPr>
          <w:rFonts w:ascii="Arial" w:eastAsia="Calibri" w:hAnsi="Arial" w:cs="Arial"/>
          <w:color w:val="000000" w:themeColor="text1"/>
          <w:sz w:val="24"/>
          <w:szCs w:val="24"/>
        </w:rPr>
        <w:t>C</w:t>
      </w:r>
      <w:r w:rsidRPr="002B3D8A">
        <w:rPr>
          <w:rFonts w:ascii="Arial" w:eastAsia="Calibri" w:hAnsi="Arial" w:cs="Arial"/>
          <w:color w:val="000000" w:themeColor="text1"/>
          <w:sz w:val="24"/>
          <w:szCs w:val="24"/>
        </w:rPr>
        <w:t xml:space="preserve">hristie and </w:t>
      </w:r>
      <w:r w:rsidR="001C137D" w:rsidRPr="002B3D8A">
        <w:rPr>
          <w:rFonts w:ascii="Arial" w:eastAsia="Calibri" w:hAnsi="Arial" w:cs="Arial"/>
          <w:color w:val="000000" w:themeColor="text1"/>
          <w:sz w:val="24"/>
          <w:szCs w:val="24"/>
        </w:rPr>
        <w:t>Perry</w:t>
      </w:r>
      <w:r w:rsidRPr="002B3D8A">
        <w:rPr>
          <w:rFonts w:ascii="Arial" w:eastAsia="Calibri" w:hAnsi="Arial" w:cs="Arial"/>
          <w:color w:val="000000" w:themeColor="text1"/>
          <w:sz w:val="24"/>
          <w:szCs w:val="24"/>
        </w:rPr>
        <w:t xml:space="preserve"> who described it as </w:t>
      </w:r>
      <w:r w:rsidRPr="002B3D8A">
        <w:rPr>
          <w:rFonts w:ascii="Arial" w:eastAsia="Calibri" w:hAnsi="Arial" w:cs="Arial"/>
          <w:i/>
          <w:color w:val="000000" w:themeColor="text1"/>
          <w:sz w:val="24"/>
          <w:szCs w:val="24"/>
        </w:rPr>
        <w:t xml:space="preserve">Trichodorus </w:t>
      </w:r>
      <w:r w:rsidR="001C137D" w:rsidRPr="002B3D8A">
        <w:rPr>
          <w:rFonts w:ascii="Arial" w:eastAsia="Calibri" w:hAnsi="Arial" w:cs="Arial"/>
          <w:i/>
          <w:color w:val="000000" w:themeColor="text1"/>
          <w:sz w:val="24"/>
          <w:szCs w:val="24"/>
        </w:rPr>
        <w:t>christie</w:t>
      </w:r>
      <w:r w:rsidR="001C137D" w:rsidRPr="002B3D8A">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and named it stubby nematode due to the symptoms it caused on crop roots. Similar damage symptoms observed in other species now apply to all members of the genus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{"citationItems":[{"id":"ITEM-1","itemData":{"DOI":"10.1007/978-1-4684-0841-6_25","author":[{"dropping-particle":"","family":"Winfield","given":"A. L.","non-dropping-particle":"","parse-names":false,"suffix":""},{"dropping-particle":"","family":"Cooke","given":"D. A.","non-dropping-particle":"","parse-names":false,"suffix":""}],"container-title":"Nematode Vectors of Plant Viruses","id":"ITEM-1","issue":"81","issued":{"date-parts":[["1975"]]},"page":"309-341","title":"The Ecology of Trichodorus","type":"article-journal"},"uris":["http://www.mendeley.com/documents/?uuid=19b7aa37-b8dc-4943-9f00-a313747111cf"]}],"mendeley":{"formattedCitation":"(Winfield and Cooke, 1975)","plainTextFormattedCitation":"(Winfield and Cooke, 1975)","previouslyFormattedCitation":"(Winfield and Cooke, 1975)"},"properties":{"noteIndex":0},"schema":"https://github.com/citation-style-language/schema/raw/master/csl-citation.json"}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(Winfield and Cooke, 1975)</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w:t>
      </w:r>
    </w:p>
    <w:p w14:paraId="078B8507" w14:textId="4799246E" w:rsidR="008C392A" w:rsidRDefault="008C392A" w:rsidP="003A449C">
      <w:pPr>
        <w:spacing w:line="360" w:lineRule="auto"/>
        <w:jc w:val="both"/>
        <w:rPr>
          <w:rFonts w:ascii="Arial" w:eastAsia="Calibri" w:hAnsi="Arial" w:cs="Arial"/>
          <w:color w:val="000000" w:themeColor="text1"/>
          <w:sz w:val="24"/>
          <w:szCs w:val="24"/>
        </w:rPr>
      </w:pPr>
    </w:p>
    <w:p w14:paraId="591776D6" w14:textId="27AC178E" w:rsidR="008C392A" w:rsidRDefault="008C392A" w:rsidP="003A449C">
      <w:pPr>
        <w:spacing w:line="360" w:lineRule="auto"/>
        <w:jc w:val="both"/>
        <w:rPr>
          <w:rFonts w:ascii="Arial" w:eastAsia="Calibri" w:hAnsi="Arial" w:cs="Arial"/>
          <w:color w:val="000000" w:themeColor="text1"/>
          <w:sz w:val="24"/>
          <w:szCs w:val="24"/>
        </w:rPr>
      </w:pPr>
    </w:p>
    <w:p w14:paraId="3E3CC597" w14:textId="77777777" w:rsidR="00B4138B" w:rsidRDefault="00B4138B" w:rsidP="003A449C">
      <w:pPr>
        <w:spacing w:line="360" w:lineRule="auto"/>
        <w:jc w:val="both"/>
        <w:rPr>
          <w:rFonts w:ascii="Arial" w:eastAsia="Calibri" w:hAnsi="Arial" w:cs="Arial"/>
          <w:color w:val="000000" w:themeColor="text1"/>
          <w:sz w:val="24"/>
          <w:szCs w:val="24"/>
        </w:rPr>
        <w:sectPr w:rsidR="00B4138B" w:rsidSect="00616CDC">
          <w:pgSz w:w="11906" w:h="16838"/>
          <w:pgMar w:top="1440" w:right="1440" w:bottom="1440" w:left="1440" w:header="708" w:footer="708" w:gutter="0"/>
          <w:pgNumType w:start="1"/>
          <w:cols w:space="708"/>
          <w:titlePg/>
          <w:docGrid w:linePitch="360"/>
        </w:sectPr>
      </w:pPr>
    </w:p>
    <w:p w14:paraId="64E9C9F3" w14:textId="30A79200" w:rsidR="00783482" w:rsidRPr="00616CDC" w:rsidRDefault="003A449C" w:rsidP="00616CDC">
      <w:r w:rsidRPr="002B3D8A">
        <w:rPr>
          <w:rFonts w:ascii="Arial" w:eastAsia="Calibri" w:hAnsi="Arial" w:cs="Arial"/>
          <w:b/>
          <w:color w:val="000000" w:themeColor="text1"/>
          <w:sz w:val="24"/>
          <w:szCs w:val="24"/>
        </w:rPr>
        <w:lastRenderedPageBreak/>
        <w:t xml:space="preserve">1.2.1 </w:t>
      </w:r>
      <w:r w:rsidR="004319A3" w:rsidRPr="002B3D8A">
        <w:rPr>
          <w:rFonts w:ascii="Arial" w:eastAsia="Calibri" w:hAnsi="Arial" w:cs="Arial"/>
          <w:b/>
          <w:color w:val="000000" w:themeColor="text1"/>
          <w:sz w:val="24"/>
          <w:szCs w:val="24"/>
        </w:rPr>
        <w:t xml:space="preserve">Morphological characteristics </w:t>
      </w:r>
      <w:r w:rsidRPr="002B3D8A">
        <w:rPr>
          <w:rFonts w:ascii="Arial" w:eastAsia="Calibri" w:hAnsi="Arial" w:cs="Arial"/>
          <w:b/>
          <w:color w:val="000000" w:themeColor="text1"/>
          <w:sz w:val="24"/>
          <w:szCs w:val="24"/>
        </w:rPr>
        <w:t xml:space="preserve">of family Trichodoridae </w:t>
      </w:r>
    </w:p>
    <w:p w14:paraId="19EDE874" w14:textId="77777777" w:rsidR="000C38A4" w:rsidRPr="00616CDC" w:rsidRDefault="000C38A4" w:rsidP="00616CDC">
      <w:pPr>
        <w:ind w:left="-284"/>
        <w:rPr>
          <w:rFonts w:ascii="Arial" w:eastAsia="Calibri" w:hAnsi="Arial" w:cs="Arial"/>
          <w:b/>
          <w:sz w:val="24"/>
          <w:szCs w:val="24"/>
        </w:rPr>
      </w:pPr>
      <w:r w:rsidRPr="00616CDC">
        <w:rPr>
          <w:rFonts w:ascii="Arial" w:eastAsia="Calibri" w:hAnsi="Arial" w:cs="Arial"/>
          <w:b/>
          <w:sz w:val="24"/>
          <w:szCs w:val="24"/>
        </w:rPr>
        <w:t xml:space="preserve">Habitus </w:t>
      </w:r>
    </w:p>
    <w:p w14:paraId="56FB707F" w14:textId="31C9F598" w:rsidR="000C38A4" w:rsidRPr="002B3D8A" w:rsidRDefault="000C38A4" w:rsidP="00616CDC">
      <w:pPr>
        <w:spacing w:line="360" w:lineRule="auto"/>
        <w:ind w:left="-284"/>
        <w:contextualSpacing/>
        <w:jc w:val="both"/>
        <w:rPr>
          <w:rFonts w:ascii="Arial" w:eastAsia="Calibri" w:hAnsi="Arial" w:cs="Arial"/>
          <w:color w:val="000000" w:themeColor="text1"/>
          <w:sz w:val="24"/>
          <w:szCs w:val="24"/>
        </w:rPr>
      </w:pPr>
      <w:r w:rsidRPr="002B3D8A">
        <w:rPr>
          <w:rFonts w:ascii="Arial" w:eastAsia="Calibri" w:hAnsi="Arial" w:cs="Arial"/>
          <w:color w:val="000000" w:themeColor="text1"/>
          <w:sz w:val="24"/>
          <w:szCs w:val="24"/>
        </w:rPr>
        <w:t xml:space="preserve">Nematode species in the family </w:t>
      </w:r>
      <w:r w:rsidR="001D1C84" w:rsidRPr="002B3D8A">
        <w:rPr>
          <w:rFonts w:ascii="Arial" w:eastAsia="Calibri" w:hAnsi="Arial" w:cs="Arial"/>
          <w:color w:val="000000" w:themeColor="text1"/>
          <w:sz w:val="24"/>
          <w:szCs w:val="24"/>
        </w:rPr>
        <w:t>Trichodoridae</w:t>
      </w:r>
      <w:r w:rsidRPr="002B3D8A">
        <w:rPr>
          <w:rFonts w:ascii="Arial" w:eastAsia="Calibri" w:hAnsi="Arial" w:cs="Arial"/>
          <w:color w:val="000000" w:themeColor="text1"/>
          <w:sz w:val="24"/>
          <w:szCs w:val="24"/>
        </w:rPr>
        <w:t xml:space="preserve"> are small (0.5 to 1.5 mm. long), they are cylindrical nematodes tapering at the anterior end. The body is thick, and males and females are short and bluntly round </w:t>
      </w:r>
      <w:r w:rsidRPr="002B3D8A">
        <w:rPr>
          <w:rFonts w:ascii="Arial" w:eastAsia="Calibri" w:hAnsi="Arial" w:cs="Arial"/>
          <w:color w:val="000000" w:themeColor="text1"/>
          <w:sz w:val="24"/>
          <w:szCs w:val="24"/>
        </w:rPr>
        <w:fldChar w:fldCharType="begin" w:fldLock="1"/>
      </w:r>
      <w:r w:rsidRPr="002B3D8A">
        <w:rPr>
          <w:rFonts w:ascii="Arial" w:eastAsia="Calibri" w:hAnsi="Arial" w:cs="Arial"/>
          <w:color w:val="000000" w:themeColor="text1"/>
          <w:sz w:val="24"/>
          <w:szCs w:val="24"/>
        </w:rPr>
        <w:instrText>ADDIN CSL_CITATION {"citationItems":[{"id":"ITEM-1","itemData":{"DOI":"10.1163/187529257X00635","ISSN":"00282596","abstract":"Trichodorus primitivus (de Man 1880) is redescribed and ten new species of Trichodorus are described, including the species first reported to cause stubby-root disease in Florida, U.S.A. The species descriptions and illustrations present details of the morphology of both males and females and indicate the presence of two distinct species groups in the genus. The morphology of the onchiostyle is discussed and illustrated and evidence is presented to indicate that the onchiostyle in Trichodorus is not a hollow axial spear but is dorsal to the lumen of the esophagus. A key to the species is presented as an aid to identification. © 1957 BRILL.","author":[{"dropping-particle":"","family":"Allen","given":"M. W.","non-dropping-particle":"","parse-names":false,"suffix":""}],"container-title":"Nematologica","id":"ITEM-1","issue":"1","issued":{"date-parts":[["1957"]]},"page":"32-62","publisher":"Brill Academic Publishers","title":"A review of the nematode genus trichodorus with descriptions of ten new species","type":"article-journal","volume":"2"},"uris":["http://www.mendeley.com/documents/?uuid=76ea1b7c-1e94-33b9-b58f-2cd6acc974ec"]}],"mendeley":{"formattedCitation":"(Allen, 1957)","plainTextFormattedCitation":"(Allen, 1957)","previouslyFormattedCitation":"(Allen, 1957)"},"properties":{"noteIndex":0},"schema":"https://github.com/citation-style-language/schema/raw/master/csl-citation.json"}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Pr="002B3D8A">
        <w:rPr>
          <w:rFonts w:ascii="Arial" w:eastAsia="Calibri" w:hAnsi="Arial" w:cs="Arial"/>
          <w:noProof/>
          <w:color w:val="000000" w:themeColor="text1"/>
          <w:sz w:val="24"/>
          <w:szCs w:val="24"/>
        </w:rPr>
        <w:t>(Allen, 1957)</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They often</w:t>
      </w:r>
      <w:r w:rsidR="009F1C08">
        <w:rPr>
          <w:rFonts w:ascii="Arial" w:eastAsia="Calibri" w:hAnsi="Arial" w:cs="Arial"/>
          <w:color w:val="000000" w:themeColor="text1"/>
          <w:sz w:val="24"/>
          <w:szCs w:val="24"/>
        </w:rPr>
        <w:t xml:space="preserve"> have</w:t>
      </w:r>
      <w:r w:rsidRPr="002B3D8A">
        <w:rPr>
          <w:rFonts w:ascii="Arial" w:eastAsia="Calibri" w:hAnsi="Arial" w:cs="Arial"/>
          <w:color w:val="000000" w:themeColor="text1"/>
          <w:sz w:val="24"/>
          <w:szCs w:val="24"/>
        </w:rPr>
        <w:t xml:space="preserve"> </w:t>
      </w:r>
      <w:r w:rsidR="009F1C08">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cigar shaped</w:t>
      </w:r>
      <w:r w:rsidR="009F1C08">
        <w:rPr>
          <w:rFonts w:ascii="Arial" w:eastAsia="Calibri" w:hAnsi="Arial" w:cs="Arial"/>
          <w:color w:val="000000" w:themeColor="text1"/>
          <w:sz w:val="24"/>
          <w:szCs w:val="24"/>
        </w:rPr>
        <w:t>’ bodies,</w:t>
      </w:r>
      <w:r w:rsidRPr="002B3D8A">
        <w:rPr>
          <w:rFonts w:ascii="Arial" w:eastAsia="Calibri" w:hAnsi="Arial" w:cs="Arial"/>
          <w:color w:val="000000" w:themeColor="text1"/>
          <w:sz w:val="24"/>
          <w:szCs w:val="24"/>
        </w:rPr>
        <w:t xml:space="preserve"> especially males and females of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 xml:space="preserve">Allotrichodorus </w:t>
      </w:r>
      <w:r w:rsidR="003B7889" w:rsidRPr="002B3D8A">
        <w:rPr>
          <w:rFonts w:ascii="Arial" w:eastAsia="Calibri" w:hAnsi="Arial" w:cs="Arial"/>
          <w:color w:val="000000" w:themeColor="text1"/>
          <w:sz w:val="24"/>
          <w:szCs w:val="24"/>
        </w:rPr>
        <w:t>spp</w:t>
      </w:r>
      <w:r w:rsidR="003B7889" w:rsidRPr="002B3D8A">
        <w:rPr>
          <w:rFonts w:ascii="Arial" w:eastAsia="Calibri" w:hAnsi="Arial" w:cs="Arial"/>
          <w:i/>
          <w:color w:val="000000" w:themeColor="text1"/>
          <w:sz w:val="24"/>
          <w:szCs w:val="24"/>
        </w:rPr>
        <w:t>.</w:t>
      </w:r>
      <w:r w:rsidRPr="002B3D8A">
        <w:rPr>
          <w:rFonts w:ascii="Arial" w:eastAsia="Calibri" w:hAnsi="Arial" w:cs="Arial"/>
          <w:color w:val="000000" w:themeColor="text1"/>
          <w:sz w:val="24"/>
          <w:szCs w:val="24"/>
        </w:rPr>
        <w:t xml:space="preserve"> The males of genera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and</w:t>
      </w:r>
      <w:r w:rsidRPr="002B3D8A">
        <w:rPr>
          <w:rFonts w:ascii="Arial" w:eastAsia="Calibri" w:hAnsi="Arial" w:cs="Arial"/>
          <w:i/>
          <w:color w:val="000000" w:themeColor="text1"/>
          <w:sz w:val="24"/>
          <w:szCs w:val="24"/>
        </w:rPr>
        <w:t xml:space="preserve"> monotrichodorus</w:t>
      </w:r>
      <w:r w:rsidRPr="002B3D8A">
        <w:rPr>
          <w:rFonts w:ascii="Arial" w:eastAsia="Calibri" w:hAnsi="Arial" w:cs="Arial"/>
          <w:color w:val="000000" w:themeColor="text1"/>
          <w:sz w:val="24"/>
          <w:szCs w:val="24"/>
        </w:rPr>
        <w:t xml:space="preserve"> are clearly ventrally curved </w:t>
      </w:r>
      <w:r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{"citationItems":[{"id":"ITEM-1","itemData":{"DOI":"10.1007/978-94-015-8482-1_2","ISBN":"978-94-015-8482-1","abstract":"Trichodoridae are rather short and relatively plump nematodes, varying in length from about 350 to 1800 pm. Their body is largely cylindrical, slightly tapered anteriorly to a more or less rounded head end and posteriorly with a short, usually blunt, tail. They often look cigar-shaped when moribund, especially in typical straight females and males in the genera Paratrichodorus and Allotrichodorus. Males of the genera Trichodorus and Monotrichodorus have the posterior body region clearly curved ventrally.","author":[{"dropping-particle":"","family":"Decraemer","given":"Wilfrida","non-dropping-particle":"","parse-names":false,"suffix":""}],"editor":[{"dropping-particle":"","family":"Decraemer","given":"W","non-dropping-particle":"","parse-names":false,"suffix":""}],"id":"ITEM-1","issued":{"date-parts":[["1995"]]},"page":"4-25","publisher":"Springer Netherlands","publisher-place":"Dordrecht","title":"General Morphology BT - The Family Trichodoridae: Stubby Root and Virus Vector Nematodes","type":"chapter"},"uris":["http://www.mendeley.com/documents/?uuid=a76ab49f-5e02-4b37-9bd3-1deedb7caac2"]}],"mendeley":{"formattedCitation":"(Decraemer, 1995)","plainTextFormattedCitation":"(Decraemer, 1995)","previouslyFormattedCitation":"(Decraemer, 1995)"},"properties":{"noteIndex":0},"schema":"https://github.com/citation-style-language/schema/raw/master/csl-citation.json"}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(Decraemer, 1995)</w:t>
      </w:r>
      <w:r w:rsidRPr="002B3D8A">
        <w:rPr>
          <w:rFonts w:ascii="Arial" w:eastAsia="Calibri" w:hAnsi="Arial" w:cs="Arial"/>
          <w:color w:val="000000" w:themeColor="text1"/>
          <w:sz w:val="24"/>
          <w:szCs w:val="24"/>
        </w:rPr>
        <w:fldChar w:fldCharType="end"/>
      </w:r>
    </w:p>
    <w:p w14:paraId="3180F060" w14:textId="66618B56" w:rsidR="000C38A4" w:rsidRPr="002B3D8A" w:rsidRDefault="000C38A4" w:rsidP="00616CDC">
      <w:pPr>
        <w:spacing w:line="360" w:lineRule="auto"/>
        <w:ind w:left="-284"/>
        <w:contextualSpacing/>
        <w:jc w:val="both"/>
        <w:rPr>
          <w:rFonts w:ascii="Arial" w:eastAsia="Calibri" w:hAnsi="Arial" w:cs="Arial"/>
          <w:b/>
          <w:color w:val="000000" w:themeColor="text1"/>
          <w:sz w:val="24"/>
          <w:szCs w:val="24"/>
        </w:rPr>
      </w:pPr>
      <w:r w:rsidRPr="002B3D8A">
        <w:rPr>
          <w:rFonts w:ascii="Arial" w:eastAsia="Calibri" w:hAnsi="Arial" w:cs="Arial"/>
          <w:b/>
          <w:color w:val="000000" w:themeColor="text1"/>
          <w:sz w:val="24"/>
          <w:szCs w:val="24"/>
        </w:rPr>
        <w:t>Body cuticle</w:t>
      </w:r>
      <w:r w:rsidR="001A056A" w:rsidRPr="002B3D8A">
        <w:rPr>
          <w:rFonts w:ascii="Arial" w:eastAsia="Calibri" w:hAnsi="Arial" w:cs="Arial"/>
          <w:b/>
          <w:color w:val="000000" w:themeColor="text1"/>
          <w:sz w:val="24"/>
          <w:szCs w:val="24"/>
        </w:rPr>
        <w:t xml:space="preserve">. </w:t>
      </w:r>
      <w:r w:rsidRPr="002B3D8A">
        <w:rPr>
          <w:rFonts w:ascii="Arial" w:eastAsia="Calibri" w:hAnsi="Arial" w:cs="Arial"/>
          <w:color w:val="000000" w:themeColor="text1"/>
          <w:sz w:val="24"/>
          <w:szCs w:val="24"/>
        </w:rPr>
        <w:t xml:space="preserve">The cuticle is smooth and marked by lines or punctuations. It is described as a three layered cuticle with thin outer layer, thick middle layer and thinner inner layer under a light microscope, transmission electron microscopy has however revealed eight layers in the cuticle of </w:t>
      </w:r>
      <w:r w:rsidRPr="002B3D8A">
        <w:rPr>
          <w:rFonts w:ascii="Arial" w:eastAsia="Calibri" w:hAnsi="Arial" w:cs="Arial"/>
          <w:i/>
          <w:color w:val="000000" w:themeColor="text1"/>
          <w:sz w:val="24"/>
          <w:szCs w:val="24"/>
        </w:rPr>
        <w:t>Paratrichodorus allius</w:t>
      </w:r>
      <w:r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{"citationItems":[{"id":"ITEM-1","itemData":{"DOI":"10.1007/978-94-015-8482-1_2","ISBN":"978-94-015-8482-1","abstract":"Trichodoridae are rather short and relatively plump nematodes, varying in length from about 350 to 1800 pm. Their body is largely cylindrical, slightly tapered anteriorly to a more or less rounded head end and posteriorly with a short, usually blunt, tail. They often look cigar-shaped when moribund, especially in typical straight females and males in the genera Paratrichodorus and Allotrichodorus. Males of the genera Trichodorus and Monotrichodorus have the posterior body region clearly curved ventrally.","author":[{"dropping-particle":"","family":"Decraemer","given":"Wilfrida","non-dropping-particle":"","parse-names":false,"suffix":""}],"editor":[{"dropping-particle":"","family":"Decraemer","given":"W","non-dropping-particle":"","parse-names":false,"suffix":""}],"id":"ITEM-1","issued":{"date-parts":[["1995"]]},"page":"4-25","publisher":"Springer Netherlands","publisher-place":"Dordrecht","title":"General Morphology BT - The Family Trichodoridae: Stubby Root and Virus Vector Nematodes","type":"chapter"},"uris":["http://www.mendeley.com/documents/?uuid=a76ab49f-5e02-4b37-9bd3-1deedb7caac2"]}],"mendeley":{"formattedCitation":"(Decraemer, 1995)","plainTextFormattedCitation":"(Decraemer, 1995)","previouslyFormattedCitation":"(Decraemer, 1995)"},"properties":{"noteIndex":0},"schema":"https://github.com/citation-style-language/schema/raw/master/csl-citation.json"}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(Decraemer, 1995)</w:t>
      </w:r>
      <w:r w:rsidRPr="002B3D8A">
        <w:rPr>
          <w:rFonts w:ascii="Arial" w:eastAsia="Calibri" w:hAnsi="Arial" w:cs="Arial"/>
          <w:color w:val="000000" w:themeColor="text1"/>
          <w:sz w:val="24"/>
          <w:szCs w:val="24"/>
        </w:rPr>
        <w:fldChar w:fldCharType="end"/>
      </w:r>
      <w:r w:rsidR="009F1C08">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The cuticle is rather loose as it tends to wrinkle as the nematode moves. The cuticle </w:t>
      </w:r>
      <w:r w:rsidR="009F1C08">
        <w:rPr>
          <w:rFonts w:ascii="Arial" w:eastAsia="Calibri" w:hAnsi="Arial" w:cs="Arial"/>
          <w:color w:val="000000" w:themeColor="text1"/>
          <w:sz w:val="24"/>
          <w:szCs w:val="24"/>
        </w:rPr>
        <w:t xml:space="preserve">becomes </w:t>
      </w:r>
      <w:r w:rsidRPr="002B3D8A">
        <w:rPr>
          <w:rFonts w:ascii="Arial" w:eastAsia="Calibri" w:hAnsi="Arial" w:cs="Arial"/>
          <w:color w:val="000000" w:themeColor="text1"/>
          <w:sz w:val="24"/>
          <w:szCs w:val="24"/>
        </w:rPr>
        <w:t>swollen</w:t>
      </w:r>
      <w:r w:rsidR="009F1C08">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w:t>
      </w:r>
      <w:r w:rsidR="002E6CAB" w:rsidRPr="002B3D8A">
        <w:rPr>
          <w:rFonts w:ascii="Arial" w:eastAsia="Calibri" w:hAnsi="Arial" w:cs="Arial"/>
          <w:color w:val="000000" w:themeColor="text1"/>
          <w:sz w:val="24"/>
          <w:szCs w:val="24"/>
        </w:rPr>
        <w:t xml:space="preserve">especially for the genus </w:t>
      </w:r>
      <w:r w:rsidR="002E6CAB" w:rsidRPr="002B3D8A">
        <w:rPr>
          <w:rFonts w:ascii="Arial" w:eastAsia="Calibri" w:hAnsi="Arial" w:cs="Arial"/>
          <w:i/>
          <w:color w:val="000000" w:themeColor="text1"/>
          <w:sz w:val="24"/>
          <w:szCs w:val="24"/>
        </w:rPr>
        <w:t>Paratrichodorus</w:t>
      </w:r>
      <w:r w:rsidR="002E6CAB" w:rsidRPr="002B3D8A">
        <w:rPr>
          <w:rFonts w:ascii="Arial" w:eastAsia="Calibri" w:hAnsi="Arial" w:cs="Arial"/>
          <w:color w:val="000000" w:themeColor="text1"/>
          <w:sz w:val="24"/>
          <w:szCs w:val="24"/>
        </w:rPr>
        <w:t xml:space="preserve"> spp</w:t>
      </w:r>
      <w:r w:rsidR="009F1C08">
        <w:rPr>
          <w:rFonts w:ascii="Arial" w:eastAsia="Calibri" w:hAnsi="Arial" w:cs="Arial"/>
          <w:color w:val="000000" w:themeColor="text1"/>
          <w:sz w:val="24"/>
          <w:szCs w:val="24"/>
        </w:rPr>
        <w:t>.,</w:t>
      </w:r>
      <w:r w:rsidR="002E6CAB"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when nematode is fixed</w:t>
      </w:r>
      <w:r w:rsidR="002E6CAB" w:rsidRPr="002B3D8A">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as the fixative tends to make the cuticle separate from the body </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{"citationItems":[{"id":"ITEM-1","itemData":{"DOI":"10.1163/187529257X00635","ISSN":"00282596","abstract":"Trichodorus primitivus (de Man 1880) is redescribed and ten new species of Trichodorus are described, including the species first reported to cause stubby-root disease in Florida, U.S.A. The species descriptions and illustrations present details of the morphology of both males and females and indicate the presence of two distinct species groups in the genus. The morphology of the onchiostyle is discussed and illustrated and evidence is presented to indicate that the onchiostyle in Trichodorus is not a hollow axial spear but is dorsal to the lumen of the esophagus. A key to the species is presented as an aid to identification. © 1957 BRILL.","author":[{"dropping-particle":"","family":"Allen","given":"M. W.","non-dropping-particle":"","parse-names":false,"suffix":""}],"container-title":"Nematologica","id":"ITEM-1","issue":"1","issued":{"date-parts":[["1957"]]},"page":"32-62","publisher":"Brill Academic Publishers","title":"A review of the nematode genus trichodorus with descriptions of ten new species","type":"article-journal","volume":"2"},"uris":["http://www.mendeley.com/documents/?uuid=76ea1b7c-1e94-33b9-b58f-2cd6acc974ec"]},{"id":"ITEM-2","itemData":{"ISSN":"1845930568","author":[{"dropping-particle":"","family":"Decraemer","given":"Wilfrida","non-dropping-particle":"","parse-names":false,"suffix":""},{"dropping-particle":"","family":"Geraert","given":"Etienne","non-dropping-particle":"","parse-names":false,"suffix":""}],"container-title":"Plant nematology","id":"ITEM-2","issued":{"date-parts":[["2006"]]},"page":"153-184","publisher":"CABI","title":"Ectoparasitic nematodes.","type":"article-journal"},"uris":["http://www.mendeley.com/documents/?uuid=657103ef-7162-49aa-934e-2f2230bfe8b7"]},{"id":"ITEM-3","itemData":{"DOI":"10.1007/978-94-015-8482-1_2","ISBN":"978-94-015-8482-1","abstract":"Trichodoridae are rather short and relatively plump nematodes, varying in length from about 350 to 1800 pm. Their body is largely cylindrical, slightly tapered anteriorly to a more or less rounded head end and posteriorly with a short, usually blunt, tail. They often look cigar-shaped when moribund, especially in typical straight females and males in the genera Paratrichodorus and Allotrichodorus. Males of the genera Trichodorus and Monotrichodorus have the posterior body region clearly curved ventrally.","author":[{"dropping-particle":"","family":"Decraemer","given":"Wilfrida","non-dropping-particle":"","parse-names":false,"suffix":""}],"editor":[{"dropping-particle":"","family":"Decraemer","given":"W","non-dropping-particle":"","parse-names":false,"suffix":""}],"id":"ITEM-3","issued":{"date-parts":[["1995"]]},"page":"4-25","publisher":"Springer Netherlands","publisher-place":"Dordrecht","title":"General Morphology BT - The Family Trichodoridae: Stubby Root and Virus Vector Nematodes","type":"chapter"},"uris":["http://www.mendeley.com/documents/?uuid=a76ab49f-5e02-4b37-9bd3-1deedb7caac2"]}],"mendeley":{"formattedCitation":"(Allen, 1957; Decraemer, 1995; Decraemer and Geraert, 2006)","plainTextFormattedCitation":"(Allen, 1957; Decraemer, 1995; Decraemer and Geraert, 2006)","previouslyFormattedCitation":"(Allen, 1957; Decraemer, 1995; Decraemer and Geraert, 2006)"},"properties":{"noteIndex":0},"schema":"https://github.com/citation-style-language/schema/raw/master/csl-citation.json"}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(Allen, 1957; Decraemer, 1995; Decraemer and Geraert, 2006)</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.The swelling is more pronounced in representatives of the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Allotrichodorus</w:t>
      </w:r>
      <w:r w:rsidRPr="002B3D8A">
        <w:rPr>
          <w:rFonts w:ascii="Arial" w:eastAsia="Calibri" w:hAnsi="Arial" w:cs="Arial"/>
          <w:color w:val="000000" w:themeColor="text1"/>
          <w:sz w:val="24"/>
          <w:szCs w:val="24"/>
        </w:rPr>
        <w:t xml:space="preserve"> genera. These nematodes move slowly for short distances,  due to the meromyarian arrangement of the muscle cells that has been observed under electron microscopy, which restricts the nematode to a simple sluggish movement </w:t>
      </w:r>
      <w:r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{"citationItems":[{"id":"ITEM-1","itemData":{"DOI":"10.1007/978-94-015-8482-1_2","ISBN":"978-94-015-8482-1","abstract":"Trichodoridae are rather short and relatively plump nematodes, varying in length from about 350 to 1800 pm. Their body is largely cylindrical, slightly tapered anteriorly to a more or less rounded head end and posteriorly with a short, usually blunt, tail. They often look cigar-shaped when moribund, especially in typical straight females and males in the genera Paratrichodorus and Allotrichodorus. Males of the genera Trichodorus and Monotrichodorus have the posterior body region clearly curved ventrally.","author":[{"dropping-particle":"","family":"Decraemer","given":"Wilfrida","non-dropping-particle":"","parse-names":false,"suffix":""}],"editor":[{"dropping-particle":"","family":"Decraemer","given":"W","non-dropping-particle":"","parse-names":false,"suffix":""}],"id":"ITEM-1","issued":{"date-parts":[["1995"]]},"page":"4-25","publisher":"Springer Netherlands","publisher-place":"Dordrecht","title":"General Morphology BT - The Family Trichodoridae: Stubby Root and Virus Vector Nematodes","type":"chapter"},"uris":["http://www.mendeley.com/documents/?uuid=a76ab49f-5e02-4b37-9bd3-1deedb7caac2"]}],"mendeley":{"formattedCitation":"(Decraemer, 1995)","plainTextFormattedCitation":"(Decraemer, 1995)","previouslyFormattedCitation":"(Decraemer, 1995)"},"properties":{"noteIndex":0},"schema":"https://github.com/citation-style-language/schema/raw/master/csl-citation.json"}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(Decraemer, 1995)</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This morphological trait has fundamental implications on the biology and the ecology of these genus </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{"citationItems":[{"id":"ITEM-1","itemData":{"DOI":"10.1007/978-1-4684-0841-6_25","author":[{"dropping-particle":"","family":"Winfield","given":"A. L.","non-dropping-particle":"","parse-names":false,"suffix":""},{"dropping-particle":"","family":"Cooke","given":"D. A.","non-dropping-particle":"","parse-names":false,"suffix":""}],"container-title":"Nematode Vectors of Plant Viruses","id":"ITEM-1","issue":"81","issued":{"date-parts":[["1975"]]},"page":"309-341","title":"The Ecology of Trichodorus","type":"article-journal"},"uris":["http://www.mendeley.com/documents/?uuid=19b7aa37-b8dc-4943-9f00-a313747111cf"]}],"mendeley":{"formattedCitation":"(Winfield and Cooke, 1975)","plainTextFormattedCitation":"(Winfield and Cooke, 1975)","previouslyFormattedCitation":"(Winfield and Cooke, 1975)"},"properties":{"noteIndex":0},"schema":"https://github.com/citation-style-language/schema/raw/master/csl-citation.json"}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(Winfield and Cooke, 1975)</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w:t>
      </w:r>
    </w:p>
    <w:p w14:paraId="00DF84B5" w14:textId="2798E903" w:rsidR="000C38A4" w:rsidRPr="002B3D8A" w:rsidRDefault="000C38A4" w:rsidP="00616CDC">
      <w:pPr>
        <w:spacing w:line="360" w:lineRule="auto"/>
        <w:ind w:left="-284"/>
        <w:contextualSpacing/>
        <w:jc w:val="both"/>
        <w:rPr>
          <w:rFonts w:ascii="Arial" w:eastAsia="Calibri" w:hAnsi="Arial" w:cs="Arial"/>
          <w:b/>
          <w:color w:val="000000" w:themeColor="text1"/>
          <w:sz w:val="24"/>
          <w:szCs w:val="24"/>
        </w:rPr>
      </w:pPr>
      <w:r w:rsidRPr="002B3D8A">
        <w:rPr>
          <w:rFonts w:ascii="Arial" w:eastAsia="Calibri" w:hAnsi="Arial" w:cs="Arial"/>
          <w:b/>
          <w:color w:val="000000" w:themeColor="text1"/>
          <w:sz w:val="24"/>
          <w:szCs w:val="24"/>
        </w:rPr>
        <w:t>The Pharynx/Esophagus</w:t>
      </w:r>
      <w:r w:rsidR="00081D06" w:rsidRPr="002B3D8A">
        <w:rPr>
          <w:rFonts w:ascii="Arial" w:eastAsia="Calibri" w:hAnsi="Arial" w:cs="Arial"/>
          <w:b/>
          <w:color w:val="000000" w:themeColor="text1"/>
          <w:sz w:val="24"/>
          <w:szCs w:val="24"/>
        </w:rPr>
        <w:t xml:space="preserve">. </w:t>
      </w:r>
      <w:r w:rsidRPr="002B3D8A">
        <w:rPr>
          <w:rFonts w:ascii="Arial" w:eastAsia="Calibri" w:hAnsi="Arial" w:cs="Arial"/>
          <w:color w:val="000000" w:themeColor="text1"/>
          <w:sz w:val="24"/>
          <w:szCs w:val="24"/>
        </w:rPr>
        <w:t xml:space="preserve">The esophagus is tubular and slender expanding gradually to form a conoid swelling at the base. It is divided into three well defined regions </w:t>
      </w:r>
      <w:r w:rsidR="002732B1" w:rsidRPr="002B3D8A">
        <w:rPr>
          <w:rFonts w:ascii="Arial" w:eastAsia="Calibri" w:hAnsi="Arial" w:cs="Arial"/>
          <w:color w:val="000000" w:themeColor="text1"/>
          <w:sz w:val="24"/>
          <w:szCs w:val="24"/>
        </w:rPr>
        <w:t>i.e.</w:t>
      </w:r>
      <w:r w:rsidRPr="002B3D8A">
        <w:rPr>
          <w:rFonts w:ascii="Arial" w:eastAsia="Calibri" w:hAnsi="Arial" w:cs="Arial"/>
          <w:color w:val="000000" w:themeColor="text1"/>
          <w:sz w:val="24"/>
          <w:szCs w:val="24"/>
        </w:rPr>
        <w:t xml:space="preserve"> (i)</w:t>
      </w:r>
      <w:r w:rsidR="009F1C08">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Anterior muscular part/corpus with a lumen with the feeding structure (Onchiostyle) (ii) slender mid part (</w:t>
      </w:r>
      <w:r w:rsidR="00783482" w:rsidRPr="002B3D8A">
        <w:rPr>
          <w:rFonts w:ascii="Arial" w:eastAsia="Calibri" w:hAnsi="Arial" w:cs="Arial"/>
          <w:color w:val="000000" w:themeColor="text1"/>
          <w:sz w:val="24"/>
          <w:szCs w:val="24"/>
        </w:rPr>
        <w:t>isthmus</w:t>
      </w:r>
      <w:r w:rsidRPr="002B3D8A">
        <w:rPr>
          <w:rFonts w:ascii="Arial" w:eastAsia="Calibri" w:hAnsi="Arial" w:cs="Arial"/>
          <w:color w:val="000000" w:themeColor="text1"/>
          <w:sz w:val="24"/>
          <w:szCs w:val="24"/>
        </w:rPr>
        <w:t xml:space="preserve">), which is surrounded by a nerve ring (iii) a basal bulb that consists of the pharyngeal glands </w:t>
      </w:r>
      <w:r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{"citationItems":[{"id":"ITEM-1","itemData":{"DOI":"10.1007/978-94-015-8482-1_2","ISBN":"978-94-015-8482-1","abstract":"Trichodoridae are rather short and relatively plump nematodes, varying in length from about 350 to 1800 pm. Their body is largely cylindrical, slightly tapered anteriorly to a more or less rounded head end and posteriorly with a short, usually blunt, tail. They often look cigar-shaped when moribund, especially in typical straight females and males in the genera Paratrichodorus and Allotrichodorus. Males of the genera Trichodorus and Monotrichodorus have the posterior body region clearly curved ventrally.","author":[{"dropping-particle":"","family":"Decraemer","given":"Wilfrida","non-dropping-particle":"","parse-names":false,"suffix":""}],"editor":[{"dropping-particle":"","family":"Decraemer","given":"W","non-dropping-particle":"","parse-names":false,"suffix":""}],"id":"ITEM-1","issued":{"date-parts":[["1995"]]},"page":"4-25","publisher":"Springer Netherlands","publisher-place":"Dordrecht","title":"General Morphology BT - The Family Trichodoridae: Stubby Root and Virus Vector Nematodes","type":"chapter"},"uris":["http://www.mendeley.com/documents/?uuid=a76ab49f-5e02-4b37-9bd3-1deedb7caac2"]}],"mendeley":{"formattedCitation":"(Decraemer, 1995)","plainTextFormattedCitation":"(Decraemer, 1995)","previouslyFormattedCitation":"(Decraemer, 1995)"},"properties":{"noteIndex":0},"schema":"https://github.com/citation-style-language/schema/raw/master/csl-citation.json"}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(Decraemer, 1995)</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The esophagus is made up of five esophangeal gland nuclei. The overlapping of the ventrosublateral oesophageal glands is a basic diagnostic feature used to differentiate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Antlantadorus.</w:t>
      </w:r>
      <w:r w:rsidRPr="002B3D8A">
        <w:rPr>
          <w:rFonts w:ascii="Arial" w:eastAsia="Calibri" w:hAnsi="Arial" w:cs="Arial"/>
          <w:color w:val="000000" w:themeColor="text1"/>
          <w:sz w:val="24"/>
          <w:szCs w:val="24"/>
        </w:rPr>
        <w:t xml:space="preserve"> In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the anterior oesophageal glands overlap the intestine while in </w:t>
      </w:r>
      <w:r w:rsidRPr="002B3D8A">
        <w:rPr>
          <w:rFonts w:ascii="Arial" w:eastAsia="Calibri" w:hAnsi="Arial" w:cs="Arial"/>
          <w:i/>
          <w:color w:val="000000" w:themeColor="text1"/>
          <w:sz w:val="24"/>
          <w:szCs w:val="24"/>
        </w:rPr>
        <w:t>Antlantadorus</w:t>
      </w:r>
      <w:r w:rsidRPr="002B3D8A">
        <w:rPr>
          <w:rFonts w:ascii="Arial" w:eastAsia="Calibri" w:hAnsi="Arial" w:cs="Arial"/>
          <w:color w:val="000000" w:themeColor="text1"/>
          <w:sz w:val="24"/>
          <w:szCs w:val="24"/>
        </w:rPr>
        <w:t xml:space="preserve"> the posterior gland overlap the intestine dorsally. </w:t>
      </w:r>
      <w:r w:rsidRPr="002B3D8A">
        <w:rPr>
          <w:rFonts w:ascii="Arial" w:eastAsia="Calibri" w:hAnsi="Arial" w:cs="Arial"/>
          <w:i/>
          <w:color w:val="000000" w:themeColor="text1"/>
          <w:sz w:val="24"/>
          <w:szCs w:val="24"/>
        </w:rPr>
        <w:t>Atlantadorus</w:t>
      </w:r>
      <w:r w:rsidRPr="002B3D8A">
        <w:rPr>
          <w:rFonts w:ascii="Arial" w:eastAsia="Calibri" w:hAnsi="Arial" w:cs="Arial"/>
          <w:color w:val="000000" w:themeColor="text1"/>
          <w:sz w:val="24"/>
          <w:szCs w:val="24"/>
        </w:rPr>
        <w:t xml:space="preserve"> (cf. Sid </w:t>
      </w:r>
      <w:proofErr w:type="spellStart"/>
      <w:r w:rsidRPr="002B3D8A">
        <w:rPr>
          <w:rFonts w:ascii="Arial" w:eastAsia="Calibri" w:hAnsi="Arial" w:cs="Arial"/>
          <w:color w:val="000000" w:themeColor="text1"/>
          <w:sz w:val="24"/>
          <w:szCs w:val="24"/>
        </w:rPr>
        <w:t>diqi</w:t>
      </w:r>
      <w:proofErr w:type="spellEnd"/>
      <w:r w:rsidRPr="002B3D8A">
        <w:rPr>
          <w:rFonts w:ascii="Arial" w:eastAsia="Calibri" w:hAnsi="Arial" w:cs="Arial"/>
          <w:color w:val="000000" w:themeColor="text1"/>
          <w:sz w:val="24"/>
          <w:szCs w:val="24"/>
        </w:rPr>
        <w:t>, 1974; key on p. 270).</w:t>
      </w:r>
      <w:r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{"citationItems":[{"id":"ITEM-1","itemData":{"abstract":"Keys are given for the identification of species in the Trichodoridae, partly based on the keys of Loof (1975) and Siddiqi (1974). Recent additions are included and for al1 species a drawing is given of the structure referred to in the key. The genus Paratrichodorus and the diagnostic value of the subgenera Paratrichodorus, Atlantadorus and Nanidorus are discussed. RÉSUMB","author":[{"dropping-particle":"","family":"Decraemer","given":"Wilfrida","non-dropping-particle":"","parse-names":false,"suffix":""}],"container-title":"Revue de Nematologie","id":"ITEM-1","issue":"1","issued":{"date-parts":[["1980"]]},"page":"81-99","title":"Systernatics of the Trichodoridae (Nematoda) with keys to their species","type":"article-journal","volume":"3"},"uris":["http://www.mendeley.com/documents/?uuid=6d3071a6-3c12-3e35-8898-747ea772e993"]}],"mendeley":{"formattedCitation":"(Decraemer, 1980)","plainTextFormattedCitation":"(Decraemer, 1980)","previouslyFormattedCitation":"(Decraemer, 1980)"},"properties":{"noteIndex":0},"schema":"https://github.com/citation-style-language/schema/raw/master/csl-citation.json"}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(Decraemer, 1980)</w:t>
      </w:r>
      <w:r w:rsidRPr="002B3D8A">
        <w:rPr>
          <w:rFonts w:ascii="Arial" w:eastAsia="Calibri" w:hAnsi="Arial" w:cs="Arial"/>
          <w:color w:val="000000" w:themeColor="text1"/>
          <w:sz w:val="24"/>
          <w:szCs w:val="24"/>
        </w:rPr>
        <w:fldChar w:fldCharType="end"/>
      </w:r>
    </w:p>
    <w:p w14:paraId="2C5DA52D" w14:textId="4FF044CA" w:rsidR="00B4138B" w:rsidRPr="002B3D8A" w:rsidRDefault="000C38A4" w:rsidP="00616CDC">
      <w:pPr>
        <w:spacing w:line="360" w:lineRule="auto"/>
        <w:ind w:left="-284"/>
        <w:contextualSpacing/>
        <w:jc w:val="both"/>
        <w:rPr>
          <w:rFonts w:ascii="Arial" w:eastAsia="Calibri" w:hAnsi="Arial" w:cs="Arial"/>
          <w:b/>
          <w:color w:val="000000" w:themeColor="text1"/>
          <w:sz w:val="24"/>
          <w:szCs w:val="24"/>
        </w:rPr>
      </w:pPr>
      <w:r w:rsidRPr="002B3D8A">
        <w:rPr>
          <w:rFonts w:ascii="Arial" w:eastAsia="Calibri" w:hAnsi="Arial" w:cs="Arial"/>
          <w:b/>
          <w:color w:val="000000" w:themeColor="text1"/>
          <w:sz w:val="24"/>
          <w:szCs w:val="24"/>
        </w:rPr>
        <w:t>Onchiostyle</w:t>
      </w:r>
      <w:r w:rsidR="00081D06" w:rsidRPr="002B3D8A">
        <w:rPr>
          <w:rFonts w:ascii="Arial" w:eastAsia="Calibri" w:hAnsi="Arial" w:cs="Arial"/>
          <w:b/>
          <w:color w:val="000000" w:themeColor="text1"/>
          <w:sz w:val="24"/>
          <w:szCs w:val="24"/>
        </w:rPr>
        <w:t>.</w:t>
      </w:r>
      <w:r w:rsidR="009F1C08">
        <w:rPr>
          <w:rFonts w:ascii="Arial" w:eastAsia="Calibri" w:hAnsi="Arial" w:cs="Arial"/>
          <w:b/>
          <w:color w:val="000000" w:themeColor="text1"/>
          <w:sz w:val="24"/>
          <w:szCs w:val="24"/>
        </w:rPr>
        <w:t xml:space="preserve"> </w:t>
      </w:r>
      <w:r w:rsidRPr="002B3D8A">
        <w:rPr>
          <w:rFonts w:ascii="Arial" w:eastAsia="Calibri" w:hAnsi="Arial" w:cs="Arial"/>
          <w:color w:val="000000" w:themeColor="text1"/>
          <w:sz w:val="24"/>
          <w:szCs w:val="24"/>
        </w:rPr>
        <w:t>The onchiostyle is describe</w:t>
      </w:r>
      <w:r w:rsidR="009F1C08">
        <w:rPr>
          <w:rFonts w:ascii="Arial" w:eastAsia="Calibri" w:hAnsi="Arial" w:cs="Arial"/>
          <w:color w:val="000000" w:themeColor="text1"/>
          <w:sz w:val="24"/>
          <w:szCs w:val="24"/>
        </w:rPr>
        <w:t>d</w:t>
      </w:r>
      <w:r w:rsidRPr="002B3D8A">
        <w:rPr>
          <w:rFonts w:ascii="Arial" w:eastAsia="Calibri" w:hAnsi="Arial" w:cs="Arial"/>
          <w:color w:val="000000" w:themeColor="text1"/>
          <w:sz w:val="24"/>
          <w:szCs w:val="24"/>
        </w:rPr>
        <w:t xml:space="preserve"> as hollow, slender and tripartite</w:t>
      </w:r>
      <w:r w:rsidR="009F1C08">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w:t>
      </w:r>
      <w:r w:rsidR="009F1C08">
        <w:rPr>
          <w:rFonts w:ascii="Arial" w:eastAsia="Calibri" w:hAnsi="Arial" w:cs="Arial"/>
          <w:color w:val="000000" w:themeColor="text1"/>
          <w:sz w:val="24"/>
          <w:szCs w:val="24"/>
        </w:rPr>
        <w:t xml:space="preserve">it </w:t>
      </w:r>
      <w:r w:rsidRPr="002B3D8A">
        <w:rPr>
          <w:rFonts w:ascii="Arial" w:eastAsia="Calibri" w:hAnsi="Arial" w:cs="Arial"/>
          <w:color w:val="000000" w:themeColor="text1"/>
          <w:sz w:val="24"/>
          <w:szCs w:val="24"/>
        </w:rPr>
        <w:t>is not fully hollow in its length as there is a muscular sheath that lies in the base</w:t>
      </w:r>
      <w:r w:rsidR="009F1C08">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which surrounds the new onchiostyle produced when the old one molts </w:t>
      </w:r>
      <w:r w:rsidRPr="002B3D8A">
        <w:rPr>
          <w:rFonts w:ascii="Arial" w:eastAsia="Calibri" w:hAnsi="Arial" w:cs="Arial"/>
          <w:color w:val="000000" w:themeColor="text1"/>
          <w:sz w:val="24"/>
          <w:szCs w:val="24"/>
        </w:rPr>
        <w:fldChar w:fldCharType="begin" w:fldLock="1"/>
      </w:r>
      <w:r w:rsidRPr="002B3D8A">
        <w:rPr>
          <w:rFonts w:ascii="Arial" w:eastAsia="Calibri" w:hAnsi="Arial" w:cs="Arial"/>
          <w:color w:val="000000" w:themeColor="text1"/>
          <w:sz w:val="24"/>
          <w:szCs w:val="24"/>
        </w:rPr>
        <w:instrText>ADDIN CSL_CITATION {"citationItems":[{"id":"ITEM-1","itemData":{"DOI":"10.1163/187529257X00635","ISSN":"00282596","abstract":"Trichodorus primitivus (de Man 1880) is redescribed and ten new species of Trichodorus are described, including the species first reported to cause stubby-root disease in Florida, U.S.A. The species descriptions and illustrations present details of the morphology of both males and females and indicate the presence of two distinct species groups in the genus. The morphology of the onchiostyle is discussed and illustrated and evidence is presented to indicate that the onchiostyle in Trichodorus is not a hollow axial spear but is dorsal to the lumen of the esophagus. A key to the species is presented as an aid to identification. © 1957 BRILL.","author":[{"dropping-particle":"","family":"Allen","given":"M. W.","non-dropping-particle":"","parse-names":false,"suffix":""}],"container-title":"Nematologica","id":"ITEM-1","issue":"1","issued":{"date-parts":[["1957"]]},"page":"32-62","publisher":"Brill Academic Publishers","title":"A review of the nematode genus trichodorus with descriptions of ten new species","type":"article-journal","volume":"2"},"uris":["http://www.mendeley.com/documents/?uuid=76ea1b7c-1e94-33b9-b58f-2cd6acc974ec"]}],"mendeley":{"formattedCitation":"(Allen, 1957)","plainTextFormattedCitation":"(Allen, 1957)","previouslyFormattedCitation":"(Allen, 1957)"},"properties":{"noteIndex":0},"schema":"https://github.com/citation-style-language/schema/raw/master/csl-citation.json"}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Pr="002B3D8A">
        <w:rPr>
          <w:rFonts w:ascii="Arial" w:eastAsia="Calibri" w:hAnsi="Arial" w:cs="Arial"/>
          <w:noProof/>
          <w:color w:val="000000" w:themeColor="text1"/>
          <w:sz w:val="24"/>
          <w:szCs w:val="24"/>
        </w:rPr>
        <w:t>(Allen, 1957)</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The onchiostyle </w:t>
      </w:r>
      <w:r w:rsidRPr="002B3D8A">
        <w:rPr>
          <w:rFonts w:ascii="Arial" w:eastAsia="Calibri" w:hAnsi="Arial" w:cs="Arial"/>
          <w:color w:val="000000" w:themeColor="text1"/>
          <w:sz w:val="24"/>
          <w:szCs w:val="24"/>
        </w:rPr>
        <w:lastRenderedPageBreak/>
        <w:t>consists of a stylettiform onchium and an onchiophore</w:t>
      </w:r>
      <w:r w:rsidR="009F1C08">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w:t>
      </w:r>
      <w:r w:rsidR="009F1C08">
        <w:rPr>
          <w:rFonts w:ascii="Arial" w:eastAsia="Calibri" w:hAnsi="Arial" w:cs="Arial"/>
          <w:color w:val="000000" w:themeColor="text1"/>
          <w:sz w:val="24"/>
          <w:szCs w:val="24"/>
        </w:rPr>
        <w:t>L</w:t>
      </w:r>
      <w:r w:rsidRPr="002B3D8A">
        <w:rPr>
          <w:rFonts w:ascii="Arial" w:eastAsia="Calibri" w:hAnsi="Arial" w:cs="Arial"/>
          <w:color w:val="000000" w:themeColor="text1"/>
          <w:sz w:val="24"/>
          <w:szCs w:val="24"/>
        </w:rPr>
        <w:t>ength of the onchiostyle varies between species ranging from 20 -188</w:t>
      </w:r>
      <w:r w:rsidR="009F1C08">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 xml:space="preserve">µm </w:t>
      </w:r>
      <w:r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{"citationItems":[{"id":"ITEM-1","itemData":{"DOI":"10.1007/978-94-015-8482-1_2","ISBN":"978-94-015-8482-1","abstract":"Trichodoridae are rather short and relatively plump nematodes, varying in length from about 350 to 1800 pm. Their body is largely cylindrical, slightly tapered anteriorly to a more or less rounded head end and posteriorly with a short, usually blunt, tail. They often look cigar-shaped when moribund, especially in typical straight females and males in the genera Paratrichodorus and Allotrichodorus. Males of the genera Trichodorus and Monotrichodorus have the posterior body region clearly curved ventrally.","author":[{"dropping-particle":"","family":"Decraemer","given":"Wilfrida","non-dropping-particle":"","parse-names":false,"suffix":""}],"editor":[{"dropping-particle":"","family":"Decraemer","given":"W","non-dropping-particle":"","parse-names":false,"suffix":""}],"id":"ITEM-1","issued":{"date-parts":[["1995"]]},"page":"4-25","publisher":"Springer Netherlands","publisher-place":"Dordrecht","title":"General Morphology BT - The Family Trichodoridae: Stubby Root and Virus Vector Nematodes","type":"chapter"},"uris":["http://www.mendeley.com/documents/?uuid=a76ab49f-5e02-4b37-9bd3-1deedb7caac2"]}],"mendeley":{"formattedCitation":"(Decraemer, 1995)","plainTextFormattedCitation":"(Decraemer, 1995)","previouslyFormattedCitation":"(Decraemer, 1995)"},"properties":{"noteIndex":0},"schema":"https://github.com/citation-style-language/schema/raw/master/csl-citation.json"}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(Decraemer, 1995)</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The onchium has a solid tip with no connection to the </w:t>
      </w:r>
      <w:r w:rsidR="0074201C" w:rsidRPr="002B3D8A">
        <w:rPr>
          <w:rFonts w:ascii="Arial" w:eastAsia="Calibri" w:hAnsi="Arial" w:cs="Arial"/>
          <w:color w:val="000000" w:themeColor="text1"/>
          <w:sz w:val="24"/>
          <w:szCs w:val="24"/>
        </w:rPr>
        <w:t xml:space="preserve">lumen </w:t>
      </w:r>
      <w:r w:rsidR="0074201C">
        <w:rPr>
          <w:rFonts w:ascii="Arial" w:eastAsia="Calibri" w:hAnsi="Arial" w:cs="Arial"/>
          <w:color w:val="000000" w:themeColor="text1"/>
          <w:sz w:val="24"/>
          <w:szCs w:val="24"/>
        </w:rPr>
        <w:t>and</w:t>
      </w:r>
      <w:r w:rsidRPr="002B3D8A">
        <w:rPr>
          <w:rFonts w:ascii="Arial" w:eastAsia="Calibri" w:hAnsi="Arial" w:cs="Arial"/>
          <w:color w:val="000000" w:themeColor="text1"/>
          <w:sz w:val="24"/>
          <w:szCs w:val="24"/>
        </w:rPr>
        <w:t xml:space="preserve"> it is not axial</w:t>
      </w:r>
      <w:r w:rsidR="009F1C08">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w:t>
      </w:r>
      <w:r w:rsidR="009F1C08">
        <w:rPr>
          <w:rFonts w:ascii="Arial" w:eastAsia="Calibri" w:hAnsi="Arial" w:cs="Arial"/>
          <w:color w:val="000000" w:themeColor="text1"/>
          <w:sz w:val="24"/>
          <w:szCs w:val="24"/>
        </w:rPr>
        <w:t>Based on structure,</w:t>
      </w:r>
      <w:r w:rsidRPr="002B3D8A">
        <w:rPr>
          <w:rFonts w:ascii="Arial" w:eastAsia="Calibri" w:hAnsi="Arial" w:cs="Arial"/>
          <w:color w:val="000000" w:themeColor="text1"/>
          <w:sz w:val="24"/>
          <w:szCs w:val="24"/>
        </w:rPr>
        <w:t xml:space="preserve"> </w:t>
      </w:r>
      <w:r w:rsidR="009F1C08">
        <w:rPr>
          <w:rFonts w:ascii="Arial" w:eastAsia="Calibri" w:hAnsi="Arial" w:cs="Arial"/>
          <w:color w:val="000000" w:themeColor="text1"/>
          <w:sz w:val="24"/>
          <w:szCs w:val="24"/>
        </w:rPr>
        <w:t>it is suggested that the onchiostyle is</w:t>
      </w:r>
      <w:r w:rsidRPr="002B3D8A">
        <w:rPr>
          <w:rFonts w:ascii="Arial" w:eastAsia="Calibri" w:hAnsi="Arial" w:cs="Arial"/>
          <w:color w:val="000000" w:themeColor="text1"/>
          <w:sz w:val="24"/>
          <w:szCs w:val="24"/>
        </w:rPr>
        <w:t xml:space="preserve"> </w:t>
      </w:r>
      <w:r w:rsidR="009F1C08">
        <w:rPr>
          <w:rFonts w:ascii="Arial" w:eastAsia="Calibri" w:hAnsi="Arial" w:cs="Arial"/>
          <w:color w:val="000000" w:themeColor="text1"/>
          <w:sz w:val="24"/>
          <w:szCs w:val="24"/>
        </w:rPr>
        <w:t>used for</w:t>
      </w:r>
      <w:r w:rsidRPr="002B3D8A">
        <w:rPr>
          <w:rFonts w:ascii="Arial" w:eastAsia="Calibri" w:hAnsi="Arial" w:cs="Arial"/>
          <w:color w:val="000000" w:themeColor="text1"/>
          <w:sz w:val="24"/>
          <w:szCs w:val="24"/>
        </w:rPr>
        <w:t xml:space="preserve"> puncturing plant cells</w:t>
      </w:r>
      <w:r w:rsidR="009F1C08">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w:t>
      </w:r>
      <w:r w:rsidR="009F1C08">
        <w:rPr>
          <w:rFonts w:ascii="Arial" w:eastAsia="Calibri" w:hAnsi="Arial" w:cs="Arial"/>
          <w:color w:val="000000" w:themeColor="text1"/>
          <w:sz w:val="24"/>
          <w:szCs w:val="24"/>
        </w:rPr>
        <w:t>while</w:t>
      </w:r>
      <w:r w:rsidRPr="002B3D8A">
        <w:rPr>
          <w:rFonts w:ascii="Arial" w:eastAsia="Calibri" w:hAnsi="Arial" w:cs="Arial"/>
          <w:color w:val="000000" w:themeColor="text1"/>
          <w:sz w:val="24"/>
          <w:szCs w:val="24"/>
        </w:rPr>
        <w:t xml:space="preserve"> actual feeding might involve other mechanisms </w:t>
      </w:r>
      <w:r w:rsidRPr="002B3D8A">
        <w:rPr>
          <w:rFonts w:ascii="Arial" w:eastAsia="Calibri" w:hAnsi="Arial" w:cs="Arial"/>
          <w:color w:val="000000" w:themeColor="text1"/>
          <w:sz w:val="24"/>
          <w:szCs w:val="24"/>
        </w:rPr>
        <w:fldChar w:fldCharType="begin" w:fldLock="1"/>
      </w:r>
      <w:r w:rsidRPr="002B3D8A">
        <w:rPr>
          <w:rFonts w:ascii="Arial" w:eastAsia="Calibri" w:hAnsi="Arial" w:cs="Arial"/>
          <w:color w:val="000000" w:themeColor="text1"/>
          <w:sz w:val="24"/>
          <w:szCs w:val="24"/>
        </w:rPr>
        <w:instrText>ADDIN CSL_CITATION {"citationItems":[{"id":"ITEM-1","itemData":{"DOI":"10.1163/187529257X00635","ISSN":"00282596","abstract":"Trichodorus primitivus (de Man 1880) is redescribed and ten new species of Trichodorus are described, including the species first reported to cause stubby-root disease in Florida, U.S.A. The species descriptions and illustrations present details of the morphology of both males and females and indicate the presence of two distinct species groups in the genus. The morphology of the onchiostyle is discussed and illustrated and evidence is presented to indicate that the onchiostyle in Trichodorus is not a hollow axial spear but is dorsal to the lumen of the esophagus. A key to the species is presented as an aid to identification. © 1957 BRILL.","author":[{"dropping-particle":"","family":"Allen","given":"M. W.","non-dropping-particle":"","parse-names":false,"suffix":""}],"container-title":"Nematologica","id":"ITEM-1","issue":"1","issued":{"date-parts":[["1957"]]},"page":"32-62","publisher":"Brill Academic Publishers","title":"A review of the nematode genus trichodorus with descriptions of ten new species","type":"article-journal","volume":"2"},"uris":["http://www.mendeley.com/documents/?uuid=76ea1b7c-1e94-33b9-b58f-2cd6acc974ec"]}],"mendeley":{"formattedCitation":"(Allen, 1957)","plainTextFormattedCitation":"(Allen, 1957)","previouslyFormattedCitation":"(Allen, 1957)"},"properties":{"noteIndex":0},"schema":"https://github.com/citation-style-language/schema/raw/master/csl-citation.json"}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Pr="002B3D8A">
        <w:rPr>
          <w:rFonts w:ascii="Arial" w:eastAsia="Calibri" w:hAnsi="Arial" w:cs="Arial"/>
          <w:noProof/>
          <w:color w:val="000000" w:themeColor="text1"/>
          <w:sz w:val="24"/>
          <w:szCs w:val="24"/>
        </w:rPr>
        <w:t>(Allen, 1957)</w:t>
      </w:r>
      <w:r w:rsidRPr="002B3D8A">
        <w:rPr>
          <w:rFonts w:ascii="Arial" w:eastAsia="Calibri" w:hAnsi="Arial" w:cs="Arial"/>
          <w:color w:val="000000" w:themeColor="text1"/>
          <w:sz w:val="24"/>
          <w:szCs w:val="24"/>
        </w:rPr>
        <w:fldChar w:fldCharType="end"/>
      </w:r>
      <w:r w:rsidR="009F1C08">
        <w:rPr>
          <w:rFonts w:ascii="Arial" w:eastAsia="Calibri" w:hAnsi="Arial" w:cs="Arial"/>
          <w:color w:val="000000" w:themeColor="text1"/>
          <w:sz w:val="24"/>
          <w:szCs w:val="24"/>
        </w:rPr>
        <w:t>.</w:t>
      </w:r>
    </w:p>
    <w:p w14:paraId="5836C167" w14:textId="222AC2E7" w:rsidR="00B4138B" w:rsidRPr="002B3D8A" w:rsidRDefault="000C38A4" w:rsidP="00616CDC">
      <w:pPr>
        <w:spacing w:line="360" w:lineRule="auto"/>
        <w:ind w:left="-284"/>
        <w:contextualSpacing/>
        <w:jc w:val="both"/>
        <w:rPr>
          <w:rFonts w:ascii="Arial" w:eastAsia="Calibri" w:hAnsi="Arial" w:cs="Arial"/>
          <w:b/>
          <w:color w:val="000000" w:themeColor="text1"/>
          <w:sz w:val="24"/>
          <w:szCs w:val="24"/>
        </w:rPr>
      </w:pPr>
      <w:r w:rsidRPr="002B3D8A">
        <w:rPr>
          <w:rFonts w:ascii="Arial" w:eastAsia="Calibri" w:hAnsi="Arial" w:cs="Arial"/>
          <w:b/>
          <w:color w:val="000000" w:themeColor="text1"/>
          <w:sz w:val="24"/>
          <w:szCs w:val="24"/>
        </w:rPr>
        <w:t>Secretory excretory system (SE)</w:t>
      </w:r>
      <w:r w:rsidR="00081D06" w:rsidRPr="002B3D8A">
        <w:rPr>
          <w:rFonts w:ascii="Arial" w:eastAsia="Calibri" w:hAnsi="Arial" w:cs="Arial"/>
          <w:b/>
          <w:color w:val="000000" w:themeColor="text1"/>
          <w:sz w:val="24"/>
          <w:szCs w:val="24"/>
        </w:rPr>
        <w:t xml:space="preserve">. </w:t>
      </w:r>
      <w:r w:rsidRPr="002B3D8A">
        <w:rPr>
          <w:rFonts w:ascii="Arial" w:eastAsia="Calibri" w:hAnsi="Arial" w:cs="Arial"/>
          <w:color w:val="000000" w:themeColor="text1"/>
          <w:sz w:val="24"/>
          <w:szCs w:val="24"/>
        </w:rPr>
        <w:t>The secretory excretory pore is present in all known species</w:t>
      </w:r>
      <w:r w:rsidR="008F2D04">
        <w:rPr>
          <w:rFonts w:ascii="Arial" w:eastAsia="Calibri" w:hAnsi="Arial" w:cs="Arial"/>
          <w:color w:val="000000" w:themeColor="text1"/>
          <w:sz w:val="24"/>
          <w:szCs w:val="24"/>
        </w:rPr>
        <w:t xml:space="preserve"> and</w:t>
      </w:r>
      <w:r w:rsidRPr="002B3D8A">
        <w:rPr>
          <w:rFonts w:ascii="Arial" w:eastAsia="Calibri" w:hAnsi="Arial" w:cs="Arial"/>
          <w:color w:val="000000" w:themeColor="text1"/>
          <w:sz w:val="24"/>
          <w:szCs w:val="24"/>
        </w:rPr>
        <w:t xml:space="preserve"> is located near the ne</w:t>
      </w:r>
      <w:r w:rsidR="008F2D04">
        <w:rPr>
          <w:rFonts w:ascii="Arial" w:eastAsia="Calibri" w:hAnsi="Arial" w:cs="Arial"/>
          <w:color w:val="000000" w:themeColor="text1"/>
          <w:sz w:val="24"/>
          <w:szCs w:val="24"/>
        </w:rPr>
        <w:t>r</w:t>
      </w:r>
      <w:r w:rsidRPr="002B3D8A">
        <w:rPr>
          <w:rFonts w:ascii="Arial" w:eastAsia="Calibri" w:hAnsi="Arial" w:cs="Arial"/>
          <w:color w:val="000000" w:themeColor="text1"/>
          <w:sz w:val="24"/>
          <w:szCs w:val="24"/>
        </w:rPr>
        <w:t xml:space="preserve">ve ring, mid ventrally ranging from halfway the pharynx to the pharyngo-intestinal junction and rarely occurring with the anterior part of the intestinal region. Posterior location of the SE is regarded as an important diagnostic feature differentiating subgenus or genus, where very few </w:t>
      </w:r>
      <w:r w:rsidR="00D550D3" w:rsidRPr="002B3D8A">
        <w:rPr>
          <w:rFonts w:ascii="Arial" w:eastAsia="Calibri" w:hAnsi="Arial" w:cs="Arial"/>
          <w:color w:val="000000" w:themeColor="text1"/>
          <w:sz w:val="24"/>
          <w:szCs w:val="24"/>
        </w:rPr>
        <w:t xml:space="preserve">trichodorids </w:t>
      </w:r>
      <w:r w:rsidRPr="002B3D8A">
        <w:rPr>
          <w:rFonts w:ascii="Arial" w:eastAsia="Calibri" w:hAnsi="Arial" w:cs="Arial"/>
          <w:color w:val="000000" w:themeColor="text1"/>
          <w:sz w:val="24"/>
          <w:szCs w:val="24"/>
        </w:rPr>
        <w:t xml:space="preserve">have this </w:t>
      </w:r>
      <w:r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{"citationItems":[{"id":"ITEM-1","itemData":{"DOI":"10.1007/978-94-015-8482-1_2","ISBN":"978-94-015-8482-1","abstract":"Trichodoridae are rather short and relatively plump nematodes, varying in length from about 350 to 1800 pm. Their body is largely cylindrical, slightly tapered anteriorly to a more or less rounded head end and posteriorly with a short, usually blunt, tail. They often look cigar-shaped when moribund, especially in typical straight females and males in the genera Paratrichodorus and Allotrichodorus. Males of the genera Trichodorus and Monotrichodorus have the posterior body region clearly curved ventrally.","author":[{"dropping-particle":"","family":"Decraemer","given":"Wilfrida","non-dropping-particle":"","parse-names":false,"suffix":""}],"editor":[{"dropping-particle":"","family":"Decraemer","given":"W","non-dropping-particle":"","parse-names":false,"suffix":""}],"id":"ITEM-1","issued":{"date-parts":[["1995"]]},"page":"4-25","publisher":"Springer Netherlands","publisher-place":"Dordrecht","title":"General Morphology BT - The Family Trichodoridae: Stubby Root and Virus Vector Nematodes","type":"chapter"},"uris":["http://www.mendeley.com/documents/?uuid=a76ab49f-5e02-4b37-9bd3-1deedb7caac2"]}],"mendeley":{"formattedCitation":"(Decraemer, 1995)","plainTextFormattedCitation":"(Decraemer, 1995)","previouslyFormattedCitation":"(Decraemer, 1995)"},"properties":{"noteIndex":0},"schema":"https://github.com/citation-style-language/schema/raw/master/csl-citation.json"}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(Decraemer, 1995)</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w:t>
      </w:r>
    </w:p>
    <w:p w14:paraId="660B350A" w14:textId="441CD072" w:rsidR="00B4138B" w:rsidRDefault="000C38A4" w:rsidP="00616CDC">
      <w:pPr>
        <w:spacing w:line="360" w:lineRule="auto"/>
        <w:ind w:left="-284"/>
        <w:contextualSpacing/>
        <w:jc w:val="both"/>
        <w:rPr>
          <w:rFonts w:ascii="Arial" w:eastAsia="Calibri" w:hAnsi="Arial" w:cs="Arial"/>
          <w:color w:val="000000" w:themeColor="text1"/>
          <w:sz w:val="24"/>
          <w:szCs w:val="24"/>
        </w:rPr>
      </w:pPr>
      <w:r w:rsidRPr="002B3D8A">
        <w:rPr>
          <w:rFonts w:ascii="Arial" w:eastAsia="Calibri" w:hAnsi="Arial" w:cs="Arial"/>
          <w:b/>
          <w:color w:val="000000" w:themeColor="text1"/>
          <w:sz w:val="24"/>
          <w:szCs w:val="24"/>
        </w:rPr>
        <w:t>Pores</w:t>
      </w:r>
      <w:r w:rsidR="00081D06" w:rsidRPr="002B3D8A">
        <w:rPr>
          <w:rFonts w:ascii="Arial" w:eastAsia="Calibri" w:hAnsi="Arial" w:cs="Arial"/>
          <w:b/>
          <w:color w:val="000000" w:themeColor="text1"/>
          <w:sz w:val="24"/>
          <w:szCs w:val="24"/>
        </w:rPr>
        <w:t>.</w:t>
      </w:r>
      <w:r w:rsidR="008F2D04">
        <w:rPr>
          <w:rFonts w:ascii="Arial" w:eastAsia="Calibri" w:hAnsi="Arial" w:cs="Arial"/>
          <w:b/>
          <w:color w:val="000000" w:themeColor="text1"/>
          <w:sz w:val="24"/>
          <w:szCs w:val="24"/>
        </w:rPr>
        <w:t xml:space="preserve"> </w:t>
      </w:r>
      <w:r w:rsidRPr="002B3D8A">
        <w:rPr>
          <w:rFonts w:ascii="Arial" w:eastAsia="Calibri" w:hAnsi="Arial" w:cs="Arial"/>
          <w:color w:val="000000" w:themeColor="text1"/>
          <w:sz w:val="24"/>
          <w:szCs w:val="24"/>
        </w:rPr>
        <w:t xml:space="preserve">All known males and females have one pair of  subterminal caudal pores </w:t>
      </w:r>
      <w:r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{"citationItems":[{"id":"ITEM-1","itemData":{"DOI":"10.1163/187529257X00635","ISSN":"00282596","abstract":"Trichodorus primitivus (de Man 1880) is redescribed and ten new species of Trichodorus are described, including the species first reported to cause stubby-root disease in Florida, U.S.A. The species descriptions and illustrations present details of the morphology of both males and females and indicate the presence of two distinct species groups in the genus. The morphology of the onchiostyle is discussed and illustrated and evidence is presented to indicate that the onchiostyle in Trichodorus is not a hollow axial spear but is dorsal to the lumen of the esophagus. A key to the species is presented as an aid to identification. © 1957 BRILL.","author":[{"dropping-particle":"","family":"Allen","given":"M. W.","non-dropping-particle":"","parse-names":false,"suffix":""}],"container-title":"Nematologica","id":"ITEM-1","issue":"1","issued":{"date-parts":[["1957"]]},"page":"32-62","publisher":"Brill Academic Publishers","title":"A review of the nematode genus trichodorus with descriptions of ten new species","type":"article-journal","volume":"2"},"uris":["http://www.mendeley.com/documents/?uuid=76ea1b7c-1e94-33b9-b58f-2cd6acc974ec"]},{"id":"ITEM-2","itemData":{"DOI":"10.1007/978-94-015-8482-1_2","ISBN":"978-94-015-8482-1","abstract":"Trichodoridae are rather short and relatively plump nematodes, varying in length from about 350 to 1800 pm. Their body is largely cylindrical, slightly tapered anteriorly to a more or less rounded head end and posteriorly with a short, usually blunt, tail. They often look cigar-shaped when moribund, especially in typical straight females and males in the genera Paratrichodorus and Allotrichodorus. Males of the genera Trichodorus and Monotrichodorus have the posterior body region clearly curved ventrally.","author":[{"dropping-particle":"","family":"Decraemer","given":"Wilfrida","non-dropping-particle":"","parse-names":false,"suffix":""}],"editor":[{"dropping-particle":"","family":"Decraemer","given":"W","non-dropping-particle":"","parse-names":false,"suffix":""}],"id":"ITEM-2","issued":{"date-parts":[["1995"]]},"page":"4-25","publisher":"Springer Netherlands","publisher-place":"Dordrecht","title":"General Morphology BT - The Family Trichodoridae: Stubby Root and Virus Vector Nematodes","type":"chapter"},"uris":["http://www.mendeley.com/documents/?uuid=a76ab49f-5e02-4b37-9bd3-1deedb7caac2"]}],"mendeley":{"formattedCitation":"(Allen, 1957; Decraemer, 1995)","plainTextFormattedCitation":"(Allen, 1957; Decraemer, 1995)","previouslyFormattedCitation":"(Allen, 1957; Decraemer, 1995)"},"properties":{"noteIndex":0},"schema":"https://github.com/citation-style-language/schema/raw/master/csl-citation.json"}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(Allen, 1957; Decraemer, 1995)</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except for </w:t>
      </w:r>
      <w:r w:rsidRPr="002B3D8A">
        <w:rPr>
          <w:rFonts w:ascii="Arial" w:eastAsia="Calibri" w:hAnsi="Arial" w:cs="Arial"/>
          <w:i/>
          <w:color w:val="000000" w:themeColor="text1"/>
          <w:sz w:val="24"/>
          <w:szCs w:val="24"/>
        </w:rPr>
        <w:t>P. weischeri</w:t>
      </w:r>
      <w:r w:rsidRPr="002B3D8A">
        <w:rPr>
          <w:rFonts w:ascii="Arial" w:eastAsia="Calibri" w:hAnsi="Arial" w:cs="Arial"/>
          <w:color w:val="000000" w:themeColor="text1"/>
          <w:sz w:val="24"/>
          <w:szCs w:val="24"/>
        </w:rPr>
        <w:t xml:space="preserve"> with two pairs located terminally or </w:t>
      </w:r>
      <w:r w:rsidR="00721E88" w:rsidRPr="002B3D8A">
        <w:rPr>
          <w:rFonts w:ascii="Arial" w:eastAsia="Calibri" w:hAnsi="Arial" w:cs="Arial"/>
          <w:color w:val="000000" w:themeColor="text1"/>
          <w:sz w:val="24"/>
          <w:szCs w:val="24"/>
        </w:rPr>
        <w:t>sub terminally</w:t>
      </w:r>
      <w:r w:rsidRPr="002B3D8A">
        <w:rPr>
          <w:rFonts w:ascii="Arial" w:eastAsia="Calibri" w:hAnsi="Arial" w:cs="Arial"/>
          <w:color w:val="000000" w:themeColor="text1"/>
          <w:sz w:val="24"/>
          <w:szCs w:val="24"/>
        </w:rPr>
        <w:t xml:space="preserve">. In the genera </w:t>
      </w:r>
      <w:r w:rsidRPr="0074201C">
        <w:rPr>
          <w:rFonts w:ascii="Arial" w:eastAsia="Calibri" w:hAnsi="Arial" w:cs="Arial"/>
          <w:i/>
          <w:color w:val="000000" w:themeColor="text1"/>
          <w:sz w:val="24"/>
          <w:szCs w:val="24"/>
        </w:rPr>
        <w:t>Monotrichodorus</w:t>
      </w:r>
      <w:r w:rsidRPr="002B3D8A">
        <w:rPr>
          <w:rFonts w:ascii="Arial" w:eastAsia="Calibri" w:hAnsi="Arial" w:cs="Arial"/>
          <w:color w:val="000000" w:themeColor="text1"/>
          <w:sz w:val="24"/>
          <w:szCs w:val="24"/>
        </w:rPr>
        <w:t xml:space="preserve"> and some </w:t>
      </w:r>
      <w:r w:rsidR="008F2D04">
        <w:rPr>
          <w:rFonts w:ascii="Arial" w:eastAsia="Calibri" w:hAnsi="Arial" w:cs="Arial"/>
          <w:color w:val="000000" w:themeColor="text1"/>
          <w:sz w:val="24"/>
          <w:szCs w:val="24"/>
        </w:rPr>
        <w:t>species</w:t>
      </w:r>
      <w:r w:rsidR="008F2D04"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 xml:space="preserve">of </w:t>
      </w:r>
      <w:r w:rsidRPr="0074201C">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the caudal pores lie very close together and is difficult to differentiate as separate units </w:t>
      </w:r>
      <w:r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{"citationItems":[{"id":"ITEM-1","itemData":{"DOI":"10.1007/978-94-015-8482-1_2","ISBN":"978-94-015-8482-1","abstract":"Trichodoridae are rather short and relatively plump nematodes, varying in length from about 350 to 1800 pm. Their body is largely cylindrical, slightly tapered anteriorly to a more or less rounded head end and posteriorly with a short, usually blunt, tail. They often look cigar-shaped when moribund, especially in typical straight females and males in the genera Paratrichodorus and Allotrichodorus. Males of the genera Trichodorus and Monotrichodorus have the posterior body region clearly curved ventrally.","author":[{"dropping-particle":"","family":"Decraemer","given":"Wilfrida","non-dropping-particle":"","parse-names":false,"suffix":""}],"editor":[{"dropping-particle":"","family":"Decraemer","given":"W","non-dropping-particle":"","parse-names":false,"suffix":""}],"id":"ITEM-1","issued":{"date-parts":[["1995"]]},"page":"4-25","publisher":"Springer Netherlands","publisher-place":"Dordrecht","title":"General Morphology BT - The Family Trichodoridae: Stubby Root and Virus Vector Nematodes","type":"chapter"},"uris":["http://www.mendeley.com/documents/?uuid=a76ab49f-5e02-4b37-9bd3-1deedb7caac2"]}],"mendeley":{"formattedCitation":"(Decraemer, 1995)","plainTextFormattedCitation":"(Decraemer, 1995)","previouslyFormattedCitation":"(Decraemer, 1995)"},"properties":{"noteIndex":0},"schema":"https://github.com/citation-style-language/schema/raw/master/csl-citation.json"}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(Decraemer, 1995)</w:t>
      </w:r>
      <w:r w:rsidRPr="002B3D8A">
        <w:rPr>
          <w:rFonts w:ascii="Arial" w:eastAsia="Calibri" w:hAnsi="Arial" w:cs="Arial"/>
          <w:color w:val="000000" w:themeColor="text1"/>
          <w:sz w:val="24"/>
          <w:szCs w:val="24"/>
        </w:rPr>
        <w:fldChar w:fldCharType="end"/>
      </w:r>
      <w:r w:rsidR="002E6CAB"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 xml:space="preserve">The lateral pores in </w:t>
      </w:r>
      <w:r w:rsidR="008F2D04">
        <w:rPr>
          <w:rFonts w:ascii="Arial" w:eastAsia="Calibri" w:hAnsi="Arial" w:cs="Arial"/>
          <w:color w:val="000000" w:themeColor="text1"/>
          <w:sz w:val="24"/>
          <w:szCs w:val="24"/>
        </w:rPr>
        <w:t>f</w:t>
      </w:r>
      <w:r w:rsidRPr="002B3D8A">
        <w:rPr>
          <w:rFonts w:ascii="Arial" w:eastAsia="Calibri" w:hAnsi="Arial" w:cs="Arial"/>
          <w:color w:val="000000" w:themeColor="text1"/>
          <w:sz w:val="24"/>
          <w:szCs w:val="24"/>
        </w:rPr>
        <w:t xml:space="preserve">emales are valuable in identification as they vary in position and number in different species. The ventromedian pores maybe located near the vulva in some species while </w:t>
      </w:r>
      <w:r w:rsidR="008F2D04" w:rsidRPr="002B3D8A">
        <w:rPr>
          <w:rFonts w:ascii="Arial" w:eastAsia="Calibri" w:hAnsi="Arial" w:cs="Arial"/>
          <w:color w:val="000000" w:themeColor="text1"/>
          <w:sz w:val="24"/>
          <w:szCs w:val="24"/>
        </w:rPr>
        <w:t xml:space="preserve">they are paired </w:t>
      </w:r>
      <w:r w:rsidRPr="002B3D8A">
        <w:rPr>
          <w:rFonts w:ascii="Arial" w:eastAsia="Calibri" w:hAnsi="Arial" w:cs="Arial"/>
          <w:color w:val="000000" w:themeColor="text1"/>
          <w:sz w:val="24"/>
          <w:szCs w:val="24"/>
        </w:rPr>
        <w:t xml:space="preserve">in </w:t>
      </w:r>
      <w:r w:rsidR="009E64F4" w:rsidRPr="002B3D8A">
        <w:rPr>
          <w:rFonts w:ascii="Arial" w:eastAsia="Calibri" w:hAnsi="Arial" w:cs="Arial"/>
          <w:color w:val="000000" w:themeColor="text1"/>
          <w:sz w:val="24"/>
          <w:szCs w:val="24"/>
        </w:rPr>
        <w:t>others.</w:t>
      </w:r>
      <w:r w:rsidRPr="002B3D8A">
        <w:rPr>
          <w:rFonts w:ascii="Arial" w:eastAsia="Calibri" w:hAnsi="Arial" w:cs="Arial"/>
          <w:color w:val="000000" w:themeColor="text1"/>
          <w:sz w:val="24"/>
          <w:szCs w:val="24"/>
        </w:rPr>
        <w:t xml:space="preserve"> Males of all known species have a lateral cervical pore located near the level of the excretory pore</w:t>
      </w:r>
      <w:r w:rsidR="008F2D04">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fldChar w:fldCharType="begin" w:fldLock="1"/>
      </w:r>
      <w:r w:rsidRPr="002B3D8A">
        <w:rPr>
          <w:rFonts w:ascii="Arial" w:eastAsia="Calibri" w:hAnsi="Arial" w:cs="Arial"/>
          <w:color w:val="000000" w:themeColor="text1"/>
          <w:sz w:val="24"/>
          <w:szCs w:val="24"/>
        </w:rPr>
        <w:instrText>ADDIN CSL_CITATION {"citationItems":[{"id":"ITEM-1","itemData":{"DOI":"10.1163/187529257X00635","ISSN":"00282596","abstract":"Trichodorus primitivus (de Man 1880) is redescribed and ten new species of Trichodorus are described, including the species first reported to cause stubby-root disease in Florida, U.S.A. The species descriptions and illustrations present details of the morphology of both males and females and indicate the presence of two distinct species groups in the genus. The morphology of the onchiostyle is discussed and illustrated and evidence is presented to indicate that the onchiostyle in Trichodorus is not a hollow axial spear but is dorsal to the lumen of the esophagus. A key to the species is presented as an aid to identification. © 1957 BRILL.","author":[{"dropping-particle":"","family":"Allen","given":"M. W.","non-dropping-particle":"","parse-names":false,"suffix":""}],"container-title":"Nematologica","id":"ITEM-1","issue":"1","issued":{"date-parts":[["1957"]]},"page":"32-62","publisher":"Brill Academic Publishers","title":"A review of the nematode genus trichodorus with descriptions of ten new species","type":"article-journal","volume":"2"},"uris":["http://www.mendeley.com/documents/?uuid=76ea1b7c-1e94-33b9-b58f-2cd6acc974ec"]}],"mendeley":{"formattedCitation":"(Allen, 1957)","plainTextFormattedCitation":"(Allen, 1957)","previouslyFormattedCitation":"(Allen, 1957)"},"properties":{"noteIndex":0},"schema":"https://github.com/citation-style-language/schema/raw/master/csl-citation.json"}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Pr="002B3D8A">
        <w:rPr>
          <w:rFonts w:ascii="Arial" w:eastAsia="Calibri" w:hAnsi="Arial" w:cs="Arial"/>
          <w:noProof/>
          <w:color w:val="000000" w:themeColor="text1"/>
          <w:sz w:val="24"/>
          <w:szCs w:val="24"/>
        </w:rPr>
        <w:t>(Allen, 1957)</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w:t>
      </w:r>
    </w:p>
    <w:p w14:paraId="2BF85551" w14:textId="04EB5808" w:rsidR="000C38A4" w:rsidRPr="002B3D8A" w:rsidRDefault="000C38A4" w:rsidP="00616CDC">
      <w:pPr>
        <w:spacing w:line="360" w:lineRule="auto"/>
        <w:ind w:left="-284"/>
        <w:contextualSpacing/>
        <w:jc w:val="both"/>
        <w:rPr>
          <w:rFonts w:ascii="Arial" w:eastAsia="Calibri" w:hAnsi="Arial" w:cs="Arial"/>
          <w:b/>
          <w:color w:val="000000" w:themeColor="text1"/>
          <w:sz w:val="24"/>
          <w:szCs w:val="24"/>
        </w:rPr>
      </w:pPr>
      <w:r w:rsidRPr="002B3D8A">
        <w:rPr>
          <w:rFonts w:ascii="Arial" w:eastAsia="Calibri" w:hAnsi="Arial" w:cs="Arial"/>
          <w:b/>
          <w:color w:val="000000" w:themeColor="text1"/>
          <w:sz w:val="24"/>
          <w:szCs w:val="24"/>
        </w:rPr>
        <w:t xml:space="preserve">Female reproductive system </w:t>
      </w:r>
      <w:r w:rsidRPr="002B3D8A">
        <w:rPr>
          <w:rFonts w:ascii="Arial" w:eastAsia="Calibri" w:hAnsi="Arial" w:cs="Arial"/>
          <w:color w:val="000000" w:themeColor="text1"/>
          <w:sz w:val="24"/>
          <w:szCs w:val="24"/>
        </w:rPr>
        <w:t xml:space="preserve">All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and</w:t>
      </w:r>
      <w:r w:rsidRPr="002B3D8A">
        <w:rPr>
          <w:rFonts w:ascii="Arial" w:eastAsia="Calibri" w:hAnsi="Arial" w:cs="Arial"/>
          <w:i/>
          <w:color w:val="000000" w:themeColor="text1"/>
          <w:sz w:val="24"/>
          <w:szCs w:val="24"/>
        </w:rPr>
        <w:t xml:space="preserve"> </w:t>
      </w:r>
      <w:r w:rsidR="002E6CAB" w:rsidRPr="002B3D8A">
        <w:rPr>
          <w:rFonts w:ascii="Arial" w:eastAsia="Calibri" w:hAnsi="Arial" w:cs="Arial"/>
          <w:i/>
          <w:color w:val="000000" w:themeColor="text1"/>
          <w:sz w:val="24"/>
          <w:szCs w:val="24"/>
        </w:rPr>
        <w:t>P</w:t>
      </w:r>
      <w:r w:rsidRPr="002B3D8A">
        <w:rPr>
          <w:rFonts w:ascii="Arial" w:eastAsia="Calibri" w:hAnsi="Arial" w:cs="Arial"/>
          <w:i/>
          <w:color w:val="000000" w:themeColor="text1"/>
          <w:sz w:val="24"/>
          <w:szCs w:val="24"/>
        </w:rPr>
        <w:t>aratrichodorus</w:t>
      </w:r>
      <w:r w:rsidRPr="002B3D8A">
        <w:rPr>
          <w:rFonts w:ascii="Arial" w:eastAsia="Calibri" w:hAnsi="Arial" w:cs="Arial"/>
          <w:color w:val="000000" w:themeColor="text1"/>
          <w:sz w:val="24"/>
          <w:szCs w:val="24"/>
        </w:rPr>
        <w:t xml:space="preserve"> </w:t>
      </w:r>
      <w:r w:rsidR="002E6CAB" w:rsidRPr="002B3D8A">
        <w:rPr>
          <w:rFonts w:ascii="Arial" w:eastAsia="Calibri" w:hAnsi="Arial" w:cs="Arial"/>
          <w:color w:val="000000" w:themeColor="text1"/>
          <w:sz w:val="24"/>
          <w:szCs w:val="24"/>
        </w:rPr>
        <w:t>spp</w:t>
      </w:r>
      <w:r w:rsidR="00D76037">
        <w:rPr>
          <w:rFonts w:ascii="Arial" w:eastAsia="Calibri" w:hAnsi="Arial" w:cs="Arial"/>
          <w:color w:val="000000" w:themeColor="text1"/>
          <w:sz w:val="24"/>
          <w:szCs w:val="24"/>
        </w:rPr>
        <w:t>.</w:t>
      </w:r>
      <w:r w:rsidR="002E6CAB"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 xml:space="preserve">are didelphic, amphidelphic, meaning that they have two genital tubes and their uteri are opposed and vulva is located near mid-body. </w:t>
      </w:r>
      <w:r w:rsidRPr="002B3D8A">
        <w:rPr>
          <w:rFonts w:ascii="Arial" w:eastAsia="Calibri" w:hAnsi="Arial" w:cs="Arial"/>
          <w:i/>
          <w:color w:val="000000" w:themeColor="text1"/>
          <w:sz w:val="24"/>
          <w:szCs w:val="24"/>
        </w:rPr>
        <w:t>Monotrichodorus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Allotrichodorus</w:t>
      </w:r>
      <w:r w:rsidRPr="002B3D8A">
        <w:rPr>
          <w:rFonts w:ascii="Arial" w:eastAsia="Calibri" w:hAnsi="Arial" w:cs="Arial"/>
          <w:color w:val="000000" w:themeColor="text1"/>
          <w:sz w:val="24"/>
          <w:szCs w:val="24"/>
        </w:rPr>
        <w:t xml:space="preserve"> sp</w:t>
      </w:r>
      <w:r w:rsidR="002E6CAB" w:rsidRPr="002B3D8A">
        <w:rPr>
          <w:rFonts w:ascii="Arial" w:eastAsia="Calibri" w:hAnsi="Arial" w:cs="Arial"/>
          <w:color w:val="000000" w:themeColor="text1"/>
          <w:sz w:val="24"/>
          <w:szCs w:val="24"/>
        </w:rPr>
        <w:t>p</w:t>
      </w:r>
      <w:r w:rsidRPr="002B3D8A">
        <w:rPr>
          <w:rFonts w:ascii="Arial" w:eastAsia="Calibri" w:hAnsi="Arial" w:cs="Arial"/>
          <w:color w:val="000000" w:themeColor="text1"/>
          <w:sz w:val="24"/>
          <w:szCs w:val="24"/>
        </w:rPr>
        <w:t xml:space="preserve"> are monodelphic and prodelphic, meaning they have only one anteriorly directed genital tube and vulva is located 60-90% of the total body length. All species of </w:t>
      </w:r>
      <w:r w:rsidRPr="002B3D8A">
        <w:rPr>
          <w:rFonts w:ascii="Arial" w:eastAsia="Calibri" w:hAnsi="Arial" w:cs="Arial"/>
          <w:i/>
          <w:color w:val="000000" w:themeColor="text1"/>
          <w:sz w:val="24"/>
          <w:szCs w:val="24"/>
        </w:rPr>
        <w:t>Trichodorus, Paratrichodorus, Monotrichodorus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Allotrichodorus</w:t>
      </w:r>
      <w:r w:rsidRPr="002B3D8A">
        <w:rPr>
          <w:rFonts w:ascii="Arial" w:eastAsia="Calibri" w:hAnsi="Arial" w:cs="Arial"/>
          <w:color w:val="000000" w:themeColor="text1"/>
          <w:sz w:val="24"/>
          <w:szCs w:val="24"/>
        </w:rPr>
        <w:t xml:space="preserve"> are bisexual and have a spermatheca </w:t>
      </w:r>
      <w:r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{"citationItems":[{"id":"ITEM-1","itemData":{"DOI":"10.1007/978-94-015-8482-1_2","ISBN":"978-94-015-8482-1","abstract":"Trichodoridae are rather short and relatively plump nematodes, varying in length from about 350 to 1800 pm. Their body is largely cylindrical, slightly tapered anteriorly to a more or less rounded head end and posteriorly with a short, usually blunt, tail. They often look cigar-shaped when moribund, especially in typical straight females and males in the genera Paratrichodorus and Allotrichodorus. Males of the genera Trichodorus and Monotrichodorus have the posterior body region clearly curved ventrally.","author":[{"dropping-particle":"","family":"Decraemer","given":"Wilfrida","non-dropping-particle":"","parse-names":false,"suffix":""}],"editor":[{"dropping-particle":"","family":"Decraemer","given":"W","non-dropping-particle":"","parse-names":false,"suffix":""}],"id":"ITEM-1","issued":{"date-parts":[["1995"]]},"page":"4-25","publisher":"Springer Netherlands","publisher-place":"Dordrecht","title":"General Morphology BT - The Family Trichodoridae: Stubby Root and Virus Vector Nematodes","type":"chapter"},"uris":["http://www.mendeley.com/documents/?uuid=a76ab49f-5e02-4b37-9bd3-1deedb7caac2"]}],"mendeley":{"formattedCitation":"(Decraemer, 1995)","plainTextFormattedCitation":"(Decraemer, 1995)","previouslyFormattedCitation":"(Decraemer, 1995)"},"properties":{"noteIndex":0},"schema":"https://github.com/citation-style-language/schema/raw/master/csl-citation.json"}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(Decraemer, 1995)</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In lateral view, the vulva varies in shape</w:t>
      </w:r>
      <w:r w:rsidR="00D76037">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where it may either be a </w:t>
      </w:r>
      <w:r w:rsidR="002E6CAB" w:rsidRPr="002B3D8A">
        <w:rPr>
          <w:rFonts w:ascii="Arial" w:eastAsia="Calibri" w:hAnsi="Arial" w:cs="Arial"/>
          <w:color w:val="000000" w:themeColor="text1"/>
          <w:sz w:val="24"/>
          <w:szCs w:val="24"/>
        </w:rPr>
        <w:t>pore, a</w:t>
      </w:r>
      <w:r w:rsidRPr="002B3D8A">
        <w:rPr>
          <w:rFonts w:ascii="Arial" w:eastAsia="Calibri" w:hAnsi="Arial" w:cs="Arial"/>
          <w:color w:val="000000" w:themeColor="text1"/>
          <w:sz w:val="24"/>
          <w:szCs w:val="24"/>
        </w:rPr>
        <w:t xml:space="preserve"> transverse slit or a longitudinal slit. </w:t>
      </w:r>
      <w:r w:rsidR="00D76037">
        <w:rPr>
          <w:rFonts w:ascii="Arial" w:eastAsia="Calibri" w:hAnsi="Arial" w:cs="Arial"/>
          <w:color w:val="000000" w:themeColor="text1"/>
          <w:sz w:val="24"/>
          <w:szCs w:val="24"/>
        </w:rPr>
        <w:t>The vulva</w:t>
      </w:r>
      <w:r w:rsidR="00D76037"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 xml:space="preserve">has been used as a distinguishing feature especially in the subgenera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(small longitudinal slit), </w:t>
      </w:r>
      <w:r w:rsidRPr="002B3D8A">
        <w:rPr>
          <w:rFonts w:ascii="Arial" w:eastAsia="Calibri" w:hAnsi="Arial" w:cs="Arial"/>
          <w:i/>
          <w:color w:val="000000" w:themeColor="text1"/>
          <w:sz w:val="24"/>
          <w:szCs w:val="24"/>
        </w:rPr>
        <w:t>Antlantadorus</w:t>
      </w:r>
      <w:r w:rsidRPr="002B3D8A">
        <w:rPr>
          <w:rFonts w:ascii="Arial" w:eastAsia="Calibri" w:hAnsi="Arial" w:cs="Arial"/>
          <w:color w:val="000000" w:themeColor="text1"/>
          <w:sz w:val="24"/>
          <w:szCs w:val="24"/>
        </w:rPr>
        <w:t xml:space="preserve"> (pore-like) and </w:t>
      </w:r>
      <w:r w:rsidRPr="002B3D8A">
        <w:rPr>
          <w:rFonts w:ascii="Arial" w:eastAsia="Calibri" w:hAnsi="Arial" w:cs="Arial"/>
          <w:i/>
          <w:color w:val="000000" w:themeColor="text1"/>
          <w:sz w:val="24"/>
          <w:szCs w:val="24"/>
        </w:rPr>
        <w:t>Nanidorus</w:t>
      </w:r>
      <w:r w:rsidRPr="002B3D8A">
        <w:rPr>
          <w:rFonts w:ascii="Arial" w:eastAsia="Calibri" w:hAnsi="Arial" w:cs="Arial"/>
          <w:color w:val="000000" w:themeColor="text1"/>
          <w:sz w:val="24"/>
          <w:szCs w:val="24"/>
        </w:rPr>
        <w:t xml:space="preserve"> (small transverse slit). </w:t>
      </w:r>
      <w:r w:rsidR="002E6CAB" w:rsidRPr="002B3D8A">
        <w:rPr>
          <w:rFonts w:ascii="Arial" w:eastAsia="Calibri" w:hAnsi="Arial" w:cs="Arial"/>
          <w:color w:val="000000" w:themeColor="text1"/>
          <w:sz w:val="24"/>
          <w:szCs w:val="24"/>
        </w:rPr>
        <w:fldChar w:fldCharType="begin" w:fldLock="1"/>
      </w:r>
      <w:r w:rsidR="001D1C84" w:rsidRPr="002B3D8A">
        <w:rPr>
          <w:rFonts w:ascii="Arial" w:eastAsia="Calibri" w:hAnsi="Arial" w:cs="Arial"/>
          <w:color w:val="000000" w:themeColor="text1"/>
          <w:sz w:val="24"/>
          <w:szCs w:val="24"/>
        </w:rPr>
        <w:instrText>ADDIN CSL_CITATION {"citationItems":[{"id":"ITEM-1","itemData":{"ISSN":"0165-5752","author":[{"dropping-particle":"","family":"Siddiqi","given":"M R","non-dropping-particle":"","parse-names":false,"suffix":""}],"container-title":"Systematic Parasitology","id":"ITEM-1","issue":"2","issued":{"date-parts":[["1980"]]},"page":"151-152","title":"On the generic status of Atlantadorus Siddiqi, 1974 and Nanidorus Siddiqi, 1974 (Nematoda: Trichodoridae).","type":"article-journal","volume":"1"},"uris":["http://www.mendeley.com/documents/?uuid=8ae4814a-1924-47e4-9805-09530d48e139"]}],"mendeley":{"formattedCitation":"(Siddiqi, 1980)","plainTextFormattedCitation":"(Siddiqi, 1980)","previouslyFormattedCitation":"(Siddiqi, 1980)"},"properties":{"noteIndex":0},"schema":"https://github.com/citation-style-language/schema/raw/master/csl-citation.json"}</w:instrText>
      </w:r>
      <w:r w:rsidR="002E6CAB" w:rsidRPr="002B3D8A">
        <w:rPr>
          <w:rFonts w:ascii="Arial" w:eastAsia="Calibri" w:hAnsi="Arial" w:cs="Arial"/>
          <w:color w:val="000000" w:themeColor="text1"/>
          <w:sz w:val="24"/>
          <w:szCs w:val="24"/>
        </w:rPr>
        <w:fldChar w:fldCharType="separate"/>
      </w:r>
      <w:r w:rsidR="002E6CAB" w:rsidRPr="002B3D8A">
        <w:rPr>
          <w:rFonts w:ascii="Arial" w:eastAsia="Calibri" w:hAnsi="Arial" w:cs="Arial"/>
          <w:noProof/>
          <w:color w:val="000000" w:themeColor="text1"/>
          <w:sz w:val="24"/>
          <w:szCs w:val="24"/>
        </w:rPr>
        <w:t>(Siddiqi, 1980)</w:t>
      </w:r>
      <w:r w:rsidR="002E6CAB" w:rsidRPr="002B3D8A">
        <w:rPr>
          <w:rFonts w:ascii="Arial" w:eastAsia="Calibri" w:hAnsi="Arial" w:cs="Arial"/>
          <w:color w:val="000000" w:themeColor="text1"/>
          <w:sz w:val="24"/>
          <w:szCs w:val="24"/>
        </w:rPr>
        <w:fldChar w:fldCharType="end"/>
      </w:r>
      <w:r w:rsidR="00081D06" w:rsidRPr="002B3D8A">
        <w:rPr>
          <w:rFonts w:ascii="Arial" w:eastAsia="Calibri" w:hAnsi="Arial" w:cs="Arial"/>
          <w:b/>
          <w:color w:val="000000" w:themeColor="text1"/>
          <w:sz w:val="24"/>
          <w:szCs w:val="24"/>
        </w:rPr>
        <w:t xml:space="preserve">. </w:t>
      </w:r>
      <w:r w:rsidR="00D76037">
        <w:rPr>
          <w:rFonts w:ascii="Arial" w:eastAsia="Calibri" w:hAnsi="Arial" w:cs="Arial"/>
          <w:color w:val="000000" w:themeColor="text1"/>
          <w:sz w:val="24"/>
          <w:szCs w:val="24"/>
        </w:rPr>
        <w:t>Eleven</w:t>
      </w:r>
      <w:r w:rsidR="00D76037" w:rsidRPr="002B3D8A">
        <w:rPr>
          <w:rFonts w:ascii="Arial" w:eastAsia="Calibri" w:hAnsi="Arial" w:cs="Arial"/>
          <w:color w:val="000000" w:themeColor="text1"/>
          <w:sz w:val="24"/>
          <w:szCs w:val="24"/>
        </w:rPr>
        <w:t xml:space="preserve"> out of twelve </w:t>
      </w:r>
      <w:r w:rsidR="00D76037" w:rsidRPr="002B3D8A">
        <w:rPr>
          <w:rFonts w:ascii="Arial" w:eastAsia="Calibri" w:hAnsi="Arial" w:cs="Arial"/>
          <w:i/>
          <w:color w:val="000000" w:themeColor="text1"/>
          <w:sz w:val="24"/>
          <w:szCs w:val="24"/>
        </w:rPr>
        <w:t>Trichodorus</w:t>
      </w:r>
      <w:r w:rsidR="00D76037" w:rsidRPr="002B3D8A">
        <w:rPr>
          <w:rFonts w:ascii="Arial" w:eastAsia="Calibri" w:hAnsi="Arial" w:cs="Arial"/>
          <w:color w:val="000000" w:themeColor="text1"/>
          <w:sz w:val="24"/>
          <w:szCs w:val="24"/>
        </w:rPr>
        <w:t xml:space="preserve"> spp</w:t>
      </w:r>
      <w:r w:rsidR="00D76037">
        <w:rPr>
          <w:rFonts w:ascii="Arial" w:eastAsia="Calibri" w:hAnsi="Arial" w:cs="Arial"/>
          <w:color w:val="000000" w:themeColor="text1"/>
          <w:sz w:val="24"/>
          <w:szCs w:val="24"/>
        </w:rPr>
        <w:t>. have</w:t>
      </w:r>
      <w:r w:rsidR="00D76037"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female reproductive system</w:t>
      </w:r>
      <w:r w:rsidR="00D76037">
        <w:rPr>
          <w:rFonts w:ascii="Arial" w:eastAsia="Calibri" w:hAnsi="Arial" w:cs="Arial"/>
          <w:color w:val="000000" w:themeColor="text1"/>
          <w:sz w:val="24"/>
          <w:szCs w:val="24"/>
        </w:rPr>
        <w:t>s</w:t>
      </w:r>
      <w:r w:rsidRPr="002B3D8A">
        <w:rPr>
          <w:rFonts w:ascii="Arial" w:eastAsia="Calibri" w:hAnsi="Arial" w:cs="Arial"/>
          <w:color w:val="000000" w:themeColor="text1"/>
          <w:sz w:val="24"/>
          <w:szCs w:val="24"/>
        </w:rPr>
        <w:t xml:space="preserve"> </w:t>
      </w:r>
      <w:r w:rsidR="00D76037">
        <w:rPr>
          <w:rFonts w:ascii="Arial" w:eastAsia="Calibri" w:hAnsi="Arial" w:cs="Arial"/>
          <w:color w:val="000000" w:themeColor="text1"/>
          <w:sz w:val="24"/>
          <w:szCs w:val="24"/>
        </w:rPr>
        <w:t>that are</w:t>
      </w:r>
      <w:r w:rsidRPr="002B3D8A">
        <w:rPr>
          <w:rFonts w:ascii="Arial" w:eastAsia="Calibri" w:hAnsi="Arial" w:cs="Arial"/>
          <w:color w:val="000000" w:themeColor="text1"/>
          <w:sz w:val="24"/>
          <w:szCs w:val="24"/>
        </w:rPr>
        <w:t xml:space="preserve"> didelphic. The ovaries and reflexed and </w:t>
      </w:r>
      <w:r w:rsidR="00D76037">
        <w:rPr>
          <w:rFonts w:ascii="Arial" w:eastAsia="Calibri" w:hAnsi="Arial" w:cs="Arial"/>
          <w:color w:val="000000" w:themeColor="text1"/>
          <w:sz w:val="24"/>
          <w:szCs w:val="24"/>
        </w:rPr>
        <w:t xml:space="preserve">a </w:t>
      </w:r>
      <w:r w:rsidRPr="002B3D8A">
        <w:rPr>
          <w:rFonts w:ascii="Arial" w:eastAsia="Calibri" w:hAnsi="Arial" w:cs="Arial"/>
          <w:color w:val="000000" w:themeColor="text1"/>
          <w:sz w:val="24"/>
          <w:szCs w:val="24"/>
        </w:rPr>
        <w:t>spermatheca is present. The cutinized pieces surrounding the vulva are frequently valuable diagnostic aids</w:t>
      </w:r>
    </w:p>
    <w:p w14:paraId="3E9CEAA2" w14:textId="29446966" w:rsidR="000C38A4" w:rsidRPr="002B3D8A" w:rsidRDefault="000C38A4" w:rsidP="00616CDC">
      <w:pPr>
        <w:spacing w:line="360" w:lineRule="auto"/>
        <w:ind w:left="-284"/>
        <w:contextualSpacing/>
        <w:jc w:val="both"/>
        <w:rPr>
          <w:rFonts w:ascii="Arial" w:eastAsia="Calibri" w:hAnsi="Arial" w:cs="Arial"/>
          <w:color w:val="000000" w:themeColor="text1"/>
          <w:sz w:val="24"/>
          <w:szCs w:val="24"/>
        </w:rPr>
      </w:pPr>
      <w:r w:rsidRPr="002B3D8A">
        <w:rPr>
          <w:rFonts w:ascii="Arial" w:eastAsia="Calibri" w:hAnsi="Arial" w:cs="Arial"/>
          <w:b/>
          <w:color w:val="000000" w:themeColor="text1"/>
          <w:sz w:val="24"/>
          <w:szCs w:val="24"/>
        </w:rPr>
        <w:t xml:space="preserve">Male reproductive system </w:t>
      </w:r>
      <w:r w:rsidRPr="002B3D8A">
        <w:rPr>
          <w:rFonts w:ascii="Arial" w:eastAsia="Calibri" w:hAnsi="Arial" w:cs="Arial"/>
          <w:color w:val="000000" w:themeColor="text1"/>
          <w:sz w:val="24"/>
          <w:szCs w:val="24"/>
        </w:rPr>
        <w:t xml:space="preserve">Trichodorids are monorchic meaning that they </w:t>
      </w:r>
      <w:r w:rsidR="002E6CAB" w:rsidRPr="002B3D8A">
        <w:rPr>
          <w:rFonts w:ascii="Arial" w:eastAsia="Calibri" w:hAnsi="Arial" w:cs="Arial"/>
          <w:color w:val="000000" w:themeColor="text1"/>
          <w:sz w:val="24"/>
          <w:szCs w:val="24"/>
        </w:rPr>
        <w:t>possess</w:t>
      </w:r>
      <w:r w:rsidRPr="002B3D8A">
        <w:rPr>
          <w:rFonts w:ascii="Arial" w:eastAsia="Calibri" w:hAnsi="Arial" w:cs="Arial"/>
          <w:color w:val="000000" w:themeColor="text1"/>
          <w:sz w:val="24"/>
          <w:szCs w:val="24"/>
        </w:rPr>
        <w:t xml:space="preserve"> a pair of outstretched </w:t>
      </w:r>
      <w:r w:rsidR="002732B1" w:rsidRPr="002B3D8A">
        <w:rPr>
          <w:rFonts w:ascii="Arial" w:eastAsia="Calibri" w:hAnsi="Arial" w:cs="Arial"/>
          <w:color w:val="000000" w:themeColor="text1"/>
          <w:sz w:val="24"/>
          <w:szCs w:val="24"/>
        </w:rPr>
        <w:t>testes</w:t>
      </w:r>
      <w:r w:rsidRPr="002B3D8A">
        <w:rPr>
          <w:rFonts w:ascii="Arial" w:eastAsia="Calibri" w:hAnsi="Arial" w:cs="Arial"/>
          <w:color w:val="000000" w:themeColor="text1"/>
          <w:sz w:val="24"/>
          <w:szCs w:val="24"/>
        </w:rPr>
        <w:t xml:space="preserve">. Spermatids are stored in the </w:t>
      </w:r>
      <w:r w:rsidRPr="002B3D8A">
        <w:rPr>
          <w:rFonts w:ascii="Arial" w:eastAsia="Calibri" w:hAnsi="Arial" w:cs="Arial"/>
          <w:i/>
          <w:color w:val="000000" w:themeColor="text1"/>
          <w:sz w:val="24"/>
          <w:szCs w:val="24"/>
        </w:rPr>
        <w:t xml:space="preserve">Vesicula </w:t>
      </w:r>
      <w:proofErr w:type="spellStart"/>
      <w:r w:rsidRPr="002B3D8A">
        <w:rPr>
          <w:rFonts w:ascii="Arial" w:eastAsia="Calibri" w:hAnsi="Arial" w:cs="Arial"/>
          <w:i/>
          <w:color w:val="000000" w:themeColor="text1"/>
          <w:sz w:val="24"/>
          <w:szCs w:val="24"/>
        </w:rPr>
        <w:t>seminalis</w:t>
      </w:r>
      <w:proofErr w:type="spellEnd"/>
      <w:r w:rsidRPr="002B3D8A">
        <w:rPr>
          <w:rFonts w:ascii="Arial" w:eastAsia="Calibri" w:hAnsi="Arial" w:cs="Arial"/>
          <w:color w:val="000000" w:themeColor="text1"/>
          <w:sz w:val="24"/>
          <w:szCs w:val="24"/>
        </w:rPr>
        <w:t xml:space="preserve"> which is </w:t>
      </w:r>
      <w:r w:rsidRPr="002B3D8A">
        <w:rPr>
          <w:rFonts w:ascii="Arial" w:eastAsia="Calibri" w:hAnsi="Arial" w:cs="Arial"/>
          <w:color w:val="000000" w:themeColor="text1"/>
          <w:sz w:val="24"/>
          <w:szCs w:val="24"/>
        </w:rPr>
        <w:lastRenderedPageBreak/>
        <w:t>located posteriorly in the testis. In trichodorids</w:t>
      </w:r>
      <w:r w:rsidR="00D76037">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the sperm are amoeboid in shape and the variability in the structure of the sperm has been shown to be an important identification feature in the genus </w:t>
      </w:r>
      <w:r w:rsidRPr="002B3D8A">
        <w:rPr>
          <w:rFonts w:ascii="Arial" w:eastAsia="Calibri" w:hAnsi="Arial" w:cs="Arial"/>
          <w:i/>
          <w:color w:val="000000" w:themeColor="text1"/>
          <w:sz w:val="24"/>
          <w:szCs w:val="24"/>
        </w:rPr>
        <w:t>Paratrichodorus</w:t>
      </w:r>
      <w:r w:rsidR="00D76037">
        <w:rPr>
          <w:rFonts w:ascii="Arial" w:eastAsia="Calibri" w:hAnsi="Arial" w:cs="Arial"/>
          <w:i/>
          <w:color w:val="000000" w:themeColor="text1"/>
          <w:sz w:val="24"/>
          <w:szCs w:val="24"/>
        </w:rPr>
        <w:t>.</w:t>
      </w:r>
      <w:r w:rsidRPr="002B3D8A">
        <w:rPr>
          <w:rFonts w:ascii="Arial" w:eastAsia="Calibri" w:hAnsi="Arial" w:cs="Arial"/>
          <w:i/>
          <w:color w:val="000000" w:themeColor="text1"/>
          <w:sz w:val="24"/>
          <w:szCs w:val="24"/>
        </w:rPr>
        <w:t xml:space="preserve"> </w:t>
      </w:r>
      <w:r w:rsidRPr="0074201C">
        <w:rPr>
          <w:rFonts w:ascii="Arial" w:eastAsia="Calibri" w:hAnsi="Arial" w:cs="Arial"/>
          <w:color w:val="000000" w:themeColor="text1"/>
          <w:sz w:val="24"/>
          <w:szCs w:val="24"/>
        </w:rPr>
        <w:t>Most</w:t>
      </w:r>
      <w:r w:rsidRPr="002B3D8A">
        <w:rPr>
          <w:rFonts w:ascii="Arial" w:eastAsia="Calibri" w:hAnsi="Arial" w:cs="Arial"/>
          <w:i/>
          <w:color w:val="000000" w:themeColor="text1"/>
          <w:sz w:val="24"/>
          <w:szCs w:val="24"/>
        </w:rPr>
        <w:t xml:space="preserve"> Trichodorus </w:t>
      </w:r>
      <w:r w:rsidRPr="002B3D8A">
        <w:rPr>
          <w:rFonts w:ascii="Arial" w:eastAsia="Calibri" w:hAnsi="Arial" w:cs="Arial"/>
          <w:color w:val="000000" w:themeColor="text1"/>
          <w:sz w:val="24"/>
          <w:szCs w:val="24"/>
        </w:rPr>
        <w:t xml:space="preserve">and </w:t>
      </w:r>
      <w:r w:rsidR="002E6CAB" w:rsidRPr="002B3D8A">
        <w:rPr>
          <w:rFonts w:ascii="Arial" w:eastAsia="Calibri" w:hAnsi="Arial" w:cs="Arial"/>
          <w:i/>
          <w:color w:val="000000" w:themeColor="text1"/>
          <w:sz w:val="24"/>
          <w:szCs w:val="24"/>
        </w:rPr>
        <w:t>M</w:t>
      </w:r>
      <w:r w:rsidRPr="002B3D8A">
        <w:rPr>
          <w:rFonts w:ascii="Arial" w:eastAsia="Calibri" w:hAnsi="Arial" w:cs="Arial"/>
          <w:i/>
          <w:color w:val="000000" w:themeColor="text1"/>
          <w:sz w:val="24"/>
          <w:szCs w:val="24"/>
        </w:rPr>
        <w:t>onotrichodorus</w:t>
      </w:r>
      <w:r w:rsidRPr="002B3D8A">
        <w:rPr>
          <w:rFonts w:ascii="Arial" w:eastAsia="Calibri" w:hAnsi="Arial" w:cs="Arial"/>
          <w:color w:val="000000" w:themeColor="text1"/>
          <w:sz w:val="24"/>
          <w:szCs w:val="24"/>
        </w:rPr>
        <w:t xml:space="preserve"> </w:t>
      </w:r>
      <w:r w:rsidR="002E6CAB" w:rsidRPr="002B3D8A">
        <w:rPr>
          <w:rFonts w:ascii="Arial" w:eastAsia="Calibri" w:hAnsi="Arial" w:cs="Arial"/>
          <w:color w:val="000000" w:themeColor="text1"/>
          <w:sz w:val="24"/>
          <w:szCs w:val="24"/>
        </w:rPr>
        <w:t xml:space="preserve">spp </w:t>
      </w:r>
      <w:r w:rsidRPr="002B3D8A">
        <w:rPr>
          <w:rFonts w:ascii="Arial" w:eastAsia="Calibri" w:hAnsi="Arial" w:cs="Arial"/>
          <w:color w:val="000000" w:themeColor="text1"/>
          <w:sz w:val="24"/>
          <w:szCs w:val="24"/>
        </w:rPr>
        <w:t xml:space="preserve">have oval sperm cells with a sausage shaped nucleus. </w:t>
      </w:r>
      <w:r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{"citationItems":[{"id":"ITEM-1","itemData":{"DOI":"10.1007/978-94-015-8482-1_2","ISBN":"978-94-015-8482-1","abstract":"Trichodoridae are rather short and relatively plump nematodes, varying in length from about 350 to 1800 pm. Their body is largely cylindrical, slightly tapered anteriorly to a more or less rounded head end and posteriorly with a short, usually blunt, tail. They often look cigar-shaped when moribund, especially in typical straight females and males in the genera Paratrichodorus and Allotrichodorus. Males of the genera Trichodorus and Monotrichodorus have the posterior body region clearly curved ventrally.","author":[{"dropping-particle":"","family":"Decraemer","given":"Wilfrida","non-dropping-particle":"","parse-names":false,"suffix":""}],"editor":[{"dropping-particle":"","family":"Decraemer","given":"W","non-dropping-particle":"","parse-names":false,"suffix":""}],"id":"ITEM-1","issued":{"date-parts":[["1995"]]},"page":"4-25","publisher":"Springer Netherlands","publisher-place":"Dordrecht","title":"General Morphology BT - The Family Trichodoridae: Stubby Root and Virus Vector Nematodes","type":"chapter"},"uris":["http://www.mendeley.com/documents/?uuid=a76ab49f-5e02-4b37-9bd3-1deedb7caac2"]}],"mendeley":{"formattedCitation":"(Decraemer, 1995)","plainTextFormattedCitation":"(Decraemer, 1995)","previouslyFormattedCitation":"(Decraemer, 1995)"},"properties":{"noteIndex":0},"schema":"https://github.com/citation-style-language/schema/raw/master/csl-citation.json"}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(Decraemer, 1995)</w:t>
      </w:r>
      <w:r w:rsidRPr="002B3D8A">
        <w:rPr>
          <w:rFonts w:ascii="Arial" w:eastAsia="Calibri" w:hAnsi="Arial" w:cs="Arial"/>
          <w:color w:val="000000" w:themeColor="text1"/>
          <w:sz w:val="24"/>
          <w:szCs w:val="24"/>
        </w:rPr>
        <w:fldChar w:fldCharType="end"/>
      </w:r>
      <w:r w:rsidR="002E6CAB"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The spicule consists of a head (</w:t>
      </w:r>
      <w:proofErr w:type="spellStart"/>
      <w:r w:rsidRPr="002B3D8A">
        <w:rPr>
          <w:rFonts w:ascii="Arial" w:eastAsia="Calibri" w:hAnsi="Arial" w:cs="Arial"/>
          <w:color w:val="000000" w:themeColor="text1"/>
          <w:sz w:val="24"/>
          <w:szCs w:val="24"/>
        </w:rPr>
        <w:t>Manubrum</w:t>
      </w:r>
      <w:proofErr w:type="spellEnd"/>
      <w:r w:rsidRPr="002B3D8A">
        <w:rPr>
          <w:rFonts w:ascii="Arial" w:eastAsia="Calibri" w:hAnsi="Arial" w:cs="Arial"/>
          <w:color w:val="000000" w:themeColor="text1"/>
          <w:sz w:val="24"/>
          <w:szCs w:val="24"/>
        </w:rPr>
        <w:t>), shaft (Calamus) and a membranous extension (Velum). The size (22-87 µm) and the shape are important features that are also used to differentiate species</w:t>
      </w:r>
      <w:r w:rsidR="00D76037">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w:t>
      </w:r>
      <w:r w:rsidR="00D76037">
        <w:rPr>
          <w:rFonts w:ascii="Arial" w:eastAsia="Calibri" w:hAnsi="Arial" w:cs="Arial"/>
          <w:color w:val="000000" w:themeColor="text1"/>
          <w:sz w:val="24"/>
          <w:szCs w:val="24"/>
        </w:rPr>
        <w:t>F</w:t>
      </w:r>
      <w:r w:rsidRPr="002B3D8A">
        <w:rPr>
          <w:rFonts w:ascii="Arial" w:eastAsia="Calibri" w:hAnsi="Arial" w:cs="Arial"/>
          <w:color w:val="000000" w:themeColor="text1"/>
          <w:sz w:val="24"/>
          <w:szCs w:val="24"/>
        </w:rPr>
        <w:t xml:space="preserve">or example,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species have straight spicules with no transverse </w:t>
      </w:r>
      <w:proofErr w:type="spellStart"/>
      <w:r w:rsidRPr="002B3D8A">
        <w:rPr>
          <w:rFonts w:ascii="Arial" w:eastAsia="Calibri" w:hAnsi="Arial" w:cs="Arial"/>
          <w:color w:val="000000" w:themeColor="text1"/>
          <w:sz w:val="24"/>
          <w:szCs w:val="24"/>
        </w:rPr>
        <w:t>strie</w:t>
      </w:r>
      <w:proofErr w:type="spellEnd"/>
      <w:r w:rsidRPr="002B3D8A">
        <w:rPr>
          <w:rFonts w:ascii="Arial" w:eastAsia="Calibri" w:hAnsi="Arial" w:cs="Arial"/>
          <w:color w:val="000000" w:themeColor="text1"/>
          <w:sz w:val="24"/>
          <w:szCs w:val="24"/>
        </w:rPr>
        <w:t xml:space="preserve"> or bristles on their surface, while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species have a lot of diversity in shape, and spicule ornamentations. The capsule of suspensor muscles is also an important diagnostic feature, where in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Allotrichodorus</w:t>
      </w:r>
      <w:r w:rsidRPr="002B3D8A">
        <w:rPr>
          <w:rFonts w:ascii="Arial" w:eastAsia="Calibri" w:hAnsi="Arial" w:cs="Arial"/>
          <w:color w:val="000000" w:themeColor="text1"/>
          <w:sz w:val="24"/>
          <w:szCs w:val="24"/>
        </w:rPr>
        <w:t xml:space="preserve"> they are poorly developed while in </w:t>
      </w:r>
      <w:r w:rsidRPr="002B3D8A">
        <w:rPr>
          <w:rFonts w:ascii="Arial" w:eastAsia="Calibri" w:hAnsi="Arial" w:cs="Arial"/>
          <w:i/>
          <w:color w:val="000000" w:themeColor="text1"/>
          <w:sz w:val="24"/>
          <w:szCs w:val="24"/>
        </w:rPr>
        <w:t xml:space="preserve">Trichodorus </w:t>
      </w:r>
      <w:r w:rsidRPr="002B3D8A">
        <w:rPr>
          <w:rFonts w:ascii="Arial" w:eastAsia="Calibri" w:hAnsi="Arial" w:cs="Arial"/>
          <w:color w:val="000000" w:themeColor="text1"/>
          <w:sz w:val="24"/>
          <w:szCs w:val="24"/>
        </w:rPr>
        <w:t xml:space="preserve">and </w:t>
      </w:r>
      <w:r w:rsidRPr="002B3D8A">
        <w:rPr>
          <w:rFonts w:ascii="Arial" w:eastAsia="Calibri" w:hAnsi="Arial" w:cs="Arial"/>
          <w:i/>
          <w:color w:val="000000" w:themeColor="text1"/>
          <w:sz w:val="24"/>
          <w:szCs w:val="24"/>
        </w:rPr>
        <w:t>Monotrichodorus</w:t>
      </w:r>
      <w:r w:rsidRPr="002B3D8A">
        <w:rPr>
          <w:rFonts w:ascii="Arial" w:eastAsia="Calibri" w:hAnsi="Arial" w:cs="Arial"/>
          <w:color w:val="000000" w:themeColor="text1"/>
          <w:sz w:val="24"/>
          <w:szCs w:val="24"/>
        </w:rPr>
        <w:t xml:space="preserve"> they are well pronounced. </w:t>
      </w:r>
      <w:r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{"citationItems":[{"id":"ITEM-1","itemData":{"DOI":"10.1007/978-94-015-8482-1_2","ISBN":"978-94-015-8482-1","abstract":"Trichodoridae are rather short and relatively plump nematodes, varying in length from about 350 to 1800 pm. Their body is largely cylindrical, slightly tapered anteriorly to a more or less rounded head end and posteriorly with a short, usually blunt, tail. They often look cigar-shaped when moribund, especially in typical straight females and males in the genera Paratrichodorus and Allotrichodorus. Males of the genera Trichodorus and Monotrichodorus have the posterior body region clearly curved ventrally.","author":[{"dropping-particle":"","family":"Decraemer","given":"Wilfrida","non-dropping-particle":"","parse-names":false,"suffix":""}],"editor":[{"dropping-particle":"","family":"Decraemer","given":"W","non-dropping-particle":"","parse-names":false,"suffix":""}],"id":"ITEM-1","issued":{"date-parts":[["1995"]]},"page":"4-25","publisher":"Springer Netherlands","publisher-place":"Dordrecht","title":"General Morphology BT - The Family Trichodoridae: Stubby Root and Virus Vector Nematodes","type":"chapter"},"uris":["http://www.mendeley.com/documents/?uuid=a76ab49f-5e02-4b37-9bd3-1deedb7caac2"]}],"mendeley":{"formattedCitation":"(Decraemer, 1995)","plainTextFormattedCitation":"(Decraemer, 1995)","previouslyFormattedCitation":"(Decraemer, 1995)"},"properties":{"noteIndex":0},"schema":"https://github.com/citation-style-language/schema/raw/master/csl-citation.json"}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(Decraemer, 1995)</w:t>
      </w:r>
      <w:r w:rsidRPr="002B3D8A">
        <w:rPr>
          <w:rFonts w:ascii="Arial" w:eastAsia="Calibri" w:hAnsi="Arial" w:cs="Arial"/>
          <w:color w:val="000000" w:themeColor="text1"/>
          <w:sz w:val="24"/>
          <w:szCs w:val="24"/>
        </w:rPr>
        <w:fldChar w:fldCharType="end"/>
      </w:r>
    </w:p>
    <w:p w14:paraId="24E22D1C" w14:textId="608BE032" w:rsidR="000C38A4" w:rsidRPr="002B3D8A" w:rsidRDefault="000C38A4" w:rsidP="00616CDC">
      <w:pPr>
        <w:spacing w:line="360" w:lineRule="auto"/>
        <w:ind w:left="-284"/>
        <w:contextualSpacing/>
        <w:jc w:val="both"/>
        <w:rPr>
          <w:rFonts w:ascii="Arial" w:eastAsia="Calibri" w:hAnsi="Arial" w:cs="Arial"/>
          <w:color w:val="000000" w:themeColor="text1"/>
          <w:sz w:val="24"/>
          <w:szCs w:val="24"/>
        </w:rPr>
      </w:pPr>
      <w:r w:rsidRPr="002B3D8A">
        <w:rPr>
          <w:rFonts w:ascii="Arial" w:eastAsia="Calibri" w:hAnsi="Arial" w:cs="Arial"/>
          <w:color w:val="000000" w:themeColor="text1"/>
          <w:sz w:val="24"/>
          <w:szCs w:val="24"/>
        </w:rPr>
        <w:t xml:space="preserve">Caudal alae or bursa are found in some males of trichodorids. In trichodorids, the bursa is narrow and is unlikely to aid in copulation. The bursa is present in the genera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Allotrichodorus</w:t>
      </w:r>
      <w:r w:rsidRPr="002B3D8A">
        <w:rPr>
          <w:rFonts w:ascii="Arial" w:eastAsia="Calibri" w:hAnsi="Arial" w:cs="Arial"/>
          <w:color w:val="000000" w:themeColor="text1"/>
          <w:sz w:val="24"/>
          <w:szCs w:val="24"/>
        </w:rPr>
        <w:t xml:space="preserve"> but absent in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except for </w:t>
      </w:r>
      <w:r w:rsidRPr="002B3D8A">
        <w:rPr>
          <w:rFonts w:ascii="Arial" w:eastAsia="Calibri" w:hAnsi="Arial" w:cs="Arial"/>
          <w:i/>
          <w:color w:val="000000" w:themeColor="text1"/>
          <w:sz w:val="24"/>
          <w:szCs w:val="24"/>
        </w:rPr>
        <w:t>T. cylindricus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T. paracedarus</w:t>
      </w:r>
      <w:r w:rsidRPr="002B3D8A">
        <w:rPr>
          <w:rFonts w:ascii="Arial" w:eastAsia="Calibri" w:hAnsi="Arial" w:cs="Arial"/>
          <w:color w:val="000000" w:themeColor="text1"/>
          <w:sz w:val="24"/>
          <w:szCs w:val="24"/>
        </w:rPr>
        <w:t xml:space="preserve"> and absent also in </w:t>
      </w:r>
      <w:r w:rsidRPr="002B3D8A">
        <w:rPr>
          <w:rFonts w:ascii="Arial" w:eastAsia="Calibri" w:hAnsi="Arial" w:cs="Arial"/>
          <w:i/>
          <w:color w:val="000000" w:themeColor="text1"/>
          <w:sz w:val="24"/>
          <w:szCs w:val="24"/>
        </w:rPr>
        <w:t>Monotrichodorus</w:t>
      </w:r>
      <w:r w:rsidRPr="002B3D8A">
        <w:rPr>
          <w:rFonts w:ascii="Arial" w:eastAsia="Calibri" w:hAnsi="Arial" w:cs="Arial"/>
          <w:color w:val="000000" w:themeColor="text1"/>
          <w:sz w:val="24"/>
          <w:szCs w:val="24"/>
        </w:rPr>
        <w:t xml:space="preserve"> species </w:t>
      </w:r>
      <w:r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{"citationItems":[{"id":"ITEM-1","itemData":{"DOI":"10.1007/978-94-015-8482-1_2","ISBN":"978-94-015-8482-1","abstract":"Trichodoridae are rather short and relatively plump nematodes, varying in length from about 350 to 1800 pm. Their body is largely cylindrical, slightly tapered anteriorly to a more or less rounded head end and posteriorly with a short, usually blunt, tail. They often look cigar-shaped when moribund, especially in typical straight females and males in the genera Paratrichodorus and Allotrichodorus. Males of the genera Trichodorus and Monotrichodorus have the posterior body region clearly curved ventrally.","author":[{"dropping-particle":"","family":"Decraemer","given":"Wilfrida","non-dropping-particle":"","parse-names":false,"suffix":""}],"editor":[{"dropping-particle":"","family":"Decraemer","given":"W","non-dropping-particle":"","parse-names":false,"suffix":""}],"id":"ITEM-1","issued":{"date-parts":[["1995"]]},"page":"4-25","publisher":"Springer Netherlands","publisher-place":"Dordrecht","title":"General Morphology BT - The Family Trichodoridae: Stubby Root and Virus Vector Nematodes","type":"chapter"},"uris":["http://www.mendeley.com/documents/?uuid=a76ab49f-5e02-4b37-9bd3-1deedb7caac2"]}],"mendeley":{"formattedCitation":"(Decraemer, 1995)","plainTextFormattedCitation":"(Decraemer, 1995)","previouslyFormattedCitation":"(Decraemer, 1995)"},"properties":{"noteIndex":0},"schema":"https://github.com/citation-style-language/schema/raw/master/csl-citation.json"}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(Decraemer, 1995)</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w:t>
      </w:r>
    </w:p>
    <w:p w14:paraId="0E4C35F4" w14:textId="13830CDD" w:rsidR="00891F57" w:rsidRDefault="000C38A4" w:rsidP="00616CDC">
      <w:pPr>
        <w:spacing w:line="360" w:lineRule="auto"/>
        <w:ind w:left="-284"/>
        <w:contextualSpacing/>
        <w:jc w:val="both"/>
        <w:rPr>
          <w:rFonts w:ascii="Arial" w:eastAsia="Calibri" w:hAnsi="Arial" w:cs="Arial"/>
          <w:color w:val="000000" w:themeColor="text1"/>
          <w:sz w:val="24"/>
          <w:szCs w:val="24"/>
        </w:rPr>
      </w:pPr>
      <w:r w:rsidRPr="002B3D8A">
        <w:rPr>
          <w:rFonts w:ascii="Arial" w:eastAsia="Calibri" w:hAnsi="Arial" w:cs="Arial"/>
          <w:color w:val="000000" w:themeColor="text1"/>
          <w:sz w:val="24"/>
          <w:szCs w:val="24"/>
        </w:rPr>
        <w:t xml:space="preserve">The number and position of the supplementary </w:t>
      </w:r>
      <w:r w:rsidR="001D1C84" w:rsidRPr="002B3D8A">
        <w:rPr>
          <w:rFonts w:ascii="Arial" w:eastAsia="Calibri" w:hAnsi="Arial" w:cs="Arial"/>
          <w:color w:val="000000" w:themeColor="text1"/>
          <w:sz w:val="24"/>
          <w:szCs w:val="24"/>
        </w:rPr>
        <w:t>pre-cloacal</w:t>
      </w:r>
      <w:r w:rsidRPr="002B3D8A">
        <w:rPr>
          <w:rFonts w:ascii="Arial" w:eastAsia="Calibri" w:hAnsi="Arial" w:cs="Arial"/>
          <w:color w:val="000000" w:themeColor="text1"/>
          <w:sz w:val="24"/>
          <w:szCs w:val="24"/>
        </w:rPr>
        <w:t xml:space="preserve"> </w:t>
      </w:r>
      <w:r w:rsidR="00284229" w:rsidRPr="002B3D8A">
        <w:rPr>
          <w:rFonts w:ascii="Arial" w:eastAsia="Calibri" w:hAnsi="Arial" w:cs="Arial"/>
          <w:color w:val="000000" w:themeColor="text1"/>
          <w:sz w:val="24"/>
          <w:szCs w:val="24"/>
        </w:rPr>
        <w:t>papillae</w:t>
      </w:r>
      <w:r w:rsidRPr="002B3D8A">
        <w:rPr>
          <w:rFonts w:ascii="Arial" w:eastAsia="Calibri" w:hAnsi="Arial" w:cs="Arial"/>
          <w:color w:val="000000" w:themeColor="text1"/>
          <w:sz w:val="24"/>
          <w:szCs w:val="24"/>
        </w:rPr>
        <w:t xml:space="preserve"> (SP) in relation to retracted spicule are regarded as distinctive features in species differentiation in males</w:t>
      </w:r>
      <w:r w:rsidR="00DB2630">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w:t>
      </w:r>
      <w:r w:rsidR="00DB2630">
        <w:rPr>
          <w:rFonts w:ascii="Arial" w:eastAsia="Calibri" w:hAnsi="Arial" w:cs="Arial"/>
          <w:color w:val="000000" w:themeColor="text1"/>
          <w:sz w:val="24"/>
          <w:szCs w:val="24"/>
        </w:rPr>
        <w:t>M</w:t>
      </w:r>
      <w:r w:rsidRPr="002B3D8A">
        <w:rPr>
          <w:rFonts w:ascii="Arial" w:eastAsia="Calibri" w:hAnsi="Arial" w:cs="Arial"/>
          <w:color w:val="000000" w:themeColor="text1"/>
          <w:sz w:val="24"/>
          <w:szCs w:val="24"/>
        </w:rPr>
        <w:t>ales</w:t>
      </w:r>
      <w:r w:rsidR="00DB2630">
        <w:rPr>
          <w:rFonts w:ascii="Arial" w:eastAsia="Calibri" w:hAnsi="Arial" w:cs="Arial"/>
          <w:color w:val="000000" w:themeColor="text1"/>
          <w:sz w:val="24"/>
          <w:szCs w:val="24"/>
        </w:rPr>
        <w:t xml:space="preserve"> of</w:t>
      </w:r>
      <w:r w:rsidRPr="002B3D8A">
        <w:rPr>
          <w:rFonts w:ascii="Arial" w:eastAsia="Calibri" w:hAnsi="Arial" w:cs="Arial"/>
          <w:color w:val="000000" w:themeColor="text1"/>
          <w:sz w:val="24"/>
          <w:szCs w:val="24"/>
        </w:rPr>
        <w:t xml:space="preserve"> </w:t>
      </w:r>
      <w:r w:rsidR="00DB2630" w:rsidRPr="0074201C">
        <w:rPr>
          <w:rFonts w:ascii="Arial" w:eastAsia="Calibri" w:hAnsi="Arial" w:cs="Arial"/>
          <w:i/>
          <w:color w:val="000000" w:themeColor="text1"/>
          <w:sz w:val="24"/>
          <w:szCs w:val="24"/>
        </w:rPr>
        <w:t>Trichodorus</w:t>
      </w:r>
      <w:r w:rsidR="00DB2630" w:rsidRPr="002B3D8A">
        <w:rPr>
          <w:rFonts w:ascii="Arial" w:eastAsia="Calibri" w:hAnsi="Arial" w:cs="Arial"/>
          <w:color w:val="000000" w:themeColor="text1"/>
          <w:sz w:val="24"/>
          <w:szCs w:val="24"/>
        </w:rPr>
        <w:t xml:space="preserve"> sp</w:t>
      </w:r>
      <w:r w:rsidR="00DB2630">
        <w:rPr>
          <w:rFonts w:ascii="Arial" w:eastAsia="Calibri" w:hAnsi="Arial" w:cs="Arial"/>
          <w:color w:val="000000" w:themeColor="text1"/>
          <w:sz w:val="24"/>
          <w:szCs w:val="24"/>
        </w:rPr>
        <w:t>p</w:t>
      </w:r>
      <w:r w:rsidR="00DB2630"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 xml:space="preserve">have 1 SP,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Monotrichodorus</w:t>
      </w:r>
      <w:r w:rsidRPr="002B3D8A">
        <w:rPr>
          <w:rFonts w:ascii="Arial" w:eastAsia="Calibri" w:hAnsi="Arial" w:cs="Arial"/>
          <w:color w:val="000000" w:themeColor="text1"/>
          <w:sz w:val="24"/>
          <w:szCs w:val="24"/>
        </w:rPr>
        <w:t xml:space="preserve"> have 2SP and </w:t>
      </w:r>
      <w:r w:rsidRPr="002B3D8A">
        <w:rPr>
          <w:rFonts w:ascii="Arial" w:eastAsia="Calibri" w:hAnsi="Arial" w:cs="Arial"/>
          <w:i/>
          <w:color w:val="000000" w:themeColor="text1"/>
          <w:sz w:val="24"/>
          <w:szCs w:val="24"/>
        </w:rPr>
        <w:t>Allotrichodorus</w:t>
      </w:r>
      <w:r w:rsidRPr="002B3D8A">
        <w:rPr>
          <w:rFonts w:ascii="Arial" w:eastAsia="Calibri" w:hAnsi="Arial" w:cs="Arial"/>
          <w:color w:val="000000" w:themeColor="text1"/>
          <w:sz w:val="24"/>
          <w:szCs w:val="24"/>
        </w:rPr>
        <w:t xml:space="preserve"> has 3SP </w:t>
      </w:r>
    </w:p>
    <w:p w14:paraId="607EA30E" w14:textId="0D4F365F" w:rsidR="00B4138B" w:rsidRDefault="002451D2" w:rsidP="00B4138B">
      <w:pPr>
        <w:spacing w:line="360" w:lineRule="auto"/>
        <w:ind w:left="-284"/>
        <w:jc w:val="both"/>
        <w:rPr>
          <w:rFonts w:ascii="Arial" w:eastAsia="Calibri" w:hAnsi="Arial" w:cs="Arial"/>
          <w:b/>
          <w:color w:val="000000" w:themeColor="text1"/>
          <w:sz w:val="24"/>
          <w:szCs w:val="24"/>
        </w:rPr>
      </w:pPr>
      <w:r w:rsidRPr="002B3D8A">
        <w:rPr>
          <w:rFonts w:ascii="Arial" w:eastAsia="Calibri" w:hAnsi="Arial" w:cs="Arial"/>
          <w:color w:val="000000" w:themeColor="text1"/>
          <w:sz w:val="24"/>
          <w:szCs w:val="24"/>
        </w:rPr>
        <w:t>The main diagnostic characters for genus identification are (i) female reproductive system (didelphic or monodelphic); (ii) length of vagina and size of vaginal sclerotized pieces in lateral view; (iii) presence of advulvar lateral body pores; (iv) presence or absence of caudal alae in male; and (v) degree of development of copulatory muscles and related habitus and capsule of spicule suspensor muscles.</w:t>
      </w:r>
      <w:r w:rsidRPr="002B3D8A">
        <w:rPr>
          <w:rFonts w:ascii="Arial" w:eastAsia="Calibri" w:hAnsi="Arial" w:cs="Arial"/>
          <w:color w:val="000000" w:themeColor="text1"/>
          <w:sz w:val="24"/>
          <w:szCs w:val="24"/>
          <w:lang w:val="en-US"/>
        </w:rPr>
        <w:fldChar w:fldCharType="begin" w:fldLock="1"/>
      </w:r>
      <w:r w:rsidR="00E13293">
        <w:rPr>
          <w:rFonts w:ascii="Arial" w:eastAsia="Calibri" w:hAnsi="Arial" w:cs="Arial"/>
          <w:color w:val="000000" w:themeColor="text1"/>
          <w:sz w:val="24"/>
          <w:szCs w:val="24"/>
        </w:rPr>
        <w:instrText>ADDIN CSL_CITATION {"citationItems":[{"id":"ITEM-1","itemData":{"ISSN":"1845930568","author":[{"dropping-particle":"","family":"Decraemer","given":"Wilfrida","non-dropping-particle":"","parse-names":false,"suffix":""},{"dropping-particle":"","family":"Geraert","given":"Etienne","non-dropping-particle":"","parse-names":false,"suffix":""}],"container-title":"Plant nematology","id":"ITEM-1","issued":{"date-parts":[["2006"]]},"page":"153-184","publisher":"CABI","title":"Ectoparasitic nematodes.","type":"article-journal"},"uris":["http://www.mendeley.com/documents/?uuid=657103ef-7162-49aa-934e-2f2230bfe8b7"]}],"mendeley":{"formattedCitation":"(Decraemer and Geraert, 2006)","plainTextFormattedCitation":"(Decraemer and Geraert, 2006)","previouslyFormattedCitation":"(Decraemer and Geraert, 2006)"},"properties":{"noteIndex":0},"schema":"https://github.com/citation-style-language/schema/raw/master/csl-citation.json"}</w:instrText>
      </w:r>
      <w:r w:rsidRPr="002B3D8A">
        <w:rPr>
          <w:rFonts w:ascii="Arial" w:eastAsia="Calibri" w:hAnsi="Arial" w:cs="Arial"/>
          <w:color w:val="000000" w:themeColor="text1"/>
          <w:sz w:val="24"/>
          <w:szCs w:val="24"/>
          <w:lang w:val="en-US"/>
        </w:rPr>
        <w:fldChar w:fldCharType="separate"/>
      </w:r>
      <w:r w:rsidR="00E13293" w:rsidRPr="00E13293">
        <w:rPr>
          <w:rFonts w:ascii="Arial" w:eastAsia="Calibri" w:hAnsi="Arial" w:cs="Arial"/>
          <w:noProof/>
          <w:color w:val="000000" w:themeColor="text1"/>
          <w:sz w:val="24"/>
          <w:szCs w:val="24"/>
        </w:rPr>
        <w:t>(Decraemer and Geraert, 2006)</w:t>
      </w:r>
      <w:r w:rsidRPr="002B3D8A">
        <w:rPr>
          <w:rFonts w:ascii="Arial" w:eastAsia="Calibri" w:hAnsi="Arial" w:cs="Arial"/>
          <w:color w:val="000000" w:themeColor="text1"/>
          <w:sz w:val="24"/>
          <w:szCs w:val="24"/>
        </w:rPr>
        <w:fldChar w:fldCharType="end"/>
      </w:r>
    </w:p>
    <w:p w14:paraId="186F6796" w14:textId="6C6B1EDC" w:rsidR="00B4138B" w:rsidRDefault="00B4138B" w:rsidP="00B4138B">
      <w:pPr>
        <w:spacing w:line="360" w:lineRule="auto"/>
        <w:ind w:left="-284"/>
        <w:jc w:val="both"/>
        <w:rPr>
          <w:rFonts w:ascii="Arial" w:eastAsia="Calibri" w:hAnsi="Arial" w:cs="Arial"/>
          <w:b/>
          <w:color w:val="000000" w:themeColor="text1"/>
          <w:sz w:val="24"/>
          <w:szCs w:val="24"/>
        </w:rPr>
      </w:pPr>
    </w:p>
    <w:p w14:paraId="7057DC57" w14:textId="77777777" w:rsidR="00B4138B" w:rsidRDefault="00B4138B" w:rsidP="00B4138B">
      <w:pPr>
        <w:spacing w:line="360" w:lineRule="auto"/>
        <w:ind w:left="-284"/>
        <w:jc w:val="both"/>
        <w:rPr>
          <w:rFonts w:ascii="Arial" w:eastAsia="Calibri" w:hAnsi="Arial" w:cs="Arial"/>
          <w:b/>
          <w:color w:val="000000" w:themeColor="text1"/>
          <w:sz w:val="24"/>
          <w:szCs w:val="24"/>
        </w:rPr>
        <w:sectPr w:rsidR="00B4138B" w:rsidSect="00B27D90">
          <w:pgSz w:w="11906" w:h="16838"/>
          <w:pgMar w:top="1440" w:right="1440" w:bottom="1440" w:left="1440" w:header="708" w:footer="708" w:gutter="0"/>
          <w:cols w:space="708"/>
          <w:docGrid w:linePitch="360"/>
        </w:sectPr>
      </w:pPr>
    </w:p>
    <w:p w14:paraId="74048475" w14:textId="371C0600" w:rsidR="00081D06" w:rsidRPr="00616CDC" w:rsidRDefault="00CF0671" w:rsidP="00616CDC">
      <w:pPr>
        <w:pStyle w:val="Heading3"/>
        <w:spacing w:line="360" w:lineRule="auto"/>
        <w:rPr>
          <w:rFonts w:ascii="Arial" w:eastAsia="Calibri" w:hAnsi="Arial" w:cs="Arial"/>
          <w:b/>
          <w:color w:val="000000" w:themeColor="text1"/>
          <w:sz w:val="24"/>
          <w:szCs w:val="24"/>
        </w:rPr>
      </w:pPr>
      <w:bookmarkStart w:id="7" w:name="_Toc110341274"/>
      <w:r w:rsidRPr="00616CDC">
        <w:rPr>
          <w:rFonts w:ascii="Arial" w:eastAsia="Calibri" w:hAnsi="Arial" w:cs="Arial"/>
          <w:b/>
          <w:color w:val="000000" w:themeColor="text1"/>
          <w:sz w:val="24"/>
          <w:szCs w:val="24"/>
        </w:rPr>
        <w:lastRenderedPageBreak/>
        <w:t>1.</w:t>
      </w:r>
      <w:r w:rsidR="001A0616" w:rsidRPr="00616CDC">
        <w:rPr>
          <w:rFonts w:ascii="Arial" w:eastAsia="Calibri" w:hAnsi="Arial" w:cs="Arial"/>
          <w:b/>
          <w:color w:val="000000" w:themeColor="text1"/>
          <w:sz w:val="24"/>
          <w:szCs w:val="24"/>
        </w:rPr>
        <w:t>2.2</w:t>
      </w:r>
      <w:r w:rsidRPr="00616CDC">
        <w:rPr>
          <w:rFonts w:ascii="Arial" w:eastAsia="Calibri" w:hAnsi="Arial" w:cs="Arial"/>
          <w:b/>
          <w:color w:val="000000" w:themeColor="text1"/>
          <w:sz w:val="24"/>
          <w:szCs w:val="24"/>
        </w:rPr>
        <w:t xml:space="preserve"> </w:t>
      </w:r>
      <w:r w:rsidR="00081D06" w:rsidRPr="00616CDC">
        <w:rPr>
          <w:rFonts w:ascii="Arial" w:eastAsia="Calibri" w:hAnsi="Arial" w:cs="Arial"/>
          <w:b/>
          <w:color w:val="000000" w:themeColor="text1"/>
          <w:sz w:val="24"/>
          <w:szCs w:val="24"/>
        </w:rPr>
        <w:t>Distribution and occurrence of family Trichodoridae in UK</w:t>
      </w:r>
      <w:bookmarkEnd w:id="7"/>
    </w:p>
    <w:p w14:paraId="48F09F42" w14:textId="423CB916" w:rsidR="001E672B" w:rsidRPr="002B3D8A" w:rsidRDefault="00081D06" w:rsidP="00B4138B">
      <w:pPr>
        <w:spacing w:line="360" w:lineRule="auto"/>
        <w:ind w:left="-284"/>
        <w:jc w:val="both"/>
        <w:rPr>
          <w:rFonts w:ascii="Arial" w:eastAsia="Calibri" w:hAnsi="Arial" w:cs="Arial"/>
          <w:color w:val="000000" w:themeColor="text1"/>
          <w:sz w:val="24"/>
          <w:szCs w:val="24"/>
        </w:rPr>
      </w:pPr>
      <w:r w:rsidRPr="002B3D8A">
        <w:rPr>
          <w:rFonts w:ascii="Arial" w:eastAsia="Calibri" w:hAnsi="Arial" w:cs="Arial"/>
          <w:color w:val="000000" w:themeColor="text1"/>
          <w:sz w:val="24"/>
          <w:szCs w:val="24"/>
        </w:rPr>
        <w:t xml:space="preserve">Ectoparasitic nematodes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spp in the family Trichodoridae, are widely distributed in light sandy soils in Europe. In a survey conducted in Yorkshire, </w:t>
      </w:r>
      <w:r w:rsidR="00B84B41" w:rsidRPr="002B3D8A">
        <w:rPr>
          <w:rFonts w:ascii="Arial" w:eastAsia="Calibri" w:hAnsi="Arial" w:cs="Arial"/>
          <w:color w:val="000000" w:themeColor="text1"/>
          <w:sz w:val="24"/>
          <w:szCs w:val="24"/>
        </w:rPr>
        <w:t>UK ,</w:t>
      </w:r>
      <w:r w:rsidRPr="002B3D8A">
        <w:rPr>
          <w:rFonts w:ascii="Arial" w:eastAsia="Calibri" w:hAnsi="Arial" w:cs="Arial"/>
          <w:color w:val="000000" w:themeColor="text1"/>
          <w:sz w:val="24"/>
          <w:szCs w:val="24"/>
        </w:rPr>
        <w:t xml:space="preserve">700 samples collected contained at least two species of </w:t>
      </w:r>
      <w:r w:rsidRPr="002B3D8A">
        <w:rPr>
          <w:rFonts w:ascii="Arial" w:eastAsia="Calibri" w:hAnsi="Arial" w:cs="Arial"/>
          <w:i/>
          <w:color w:val="000000" w:themeColor="text1"/>
          <w:sz w:val="24"/>
          <w:szCs w:val="24"/>
        </w:rPr>
        <w:t xml:space="preserve">Trichodorus </w:t>
      </w:r>
      <w:r w:rsidRPr="002B3D8A">
        <w:rPr>
          <w:rFonts w:ascii="Arial" w:eastAsia="Calibri" w:hAnsi="Arial" w:cs="Arial"/>
          <w:color w:val="000000" w:themeColor="text1"/>
          <w:sz w:val="24"/>
          <w:szCs w:val="24"/>
        </w:rPr>
        <w:t xml:space="preserve">spp or </w:t>
      </w:r>
      <w:r w:rsidRPr="002B3D8A">
        <w:rPr>
          <w:rFonts w:ascii="Arial" w:eastAsia="Calibri" w:hAnsi="Arial" w:cs="Arial"/>
          <w:i/>
          <w:color w:val="000000" w:themeColor="text1"/>
          <w:sz w:val="24"/>
          <w:szCs w:val="24"/>
        </w:rPr>
        <w:t>Paratrichodorus</w:t>
      </w:r>
      <w:r w:rsidRPr="002B3D8A">
        <w:rPr>
          <w:rFonts w:ascii="Arial" w:eastAsia="Calibri" w:hAnsi="Arial" w:cs="Arial"/>
          <w:color w:val="000000" w:themeColor="text1"/>
          <w:sz w:val="24"/>
          <w:szCs w:val="24"/>
        </w:rPr>
        <w:t xml:space="preserve"> spp </w:t>
      </w:r>
      <w:r w:rsidRPr="002B3D8A">
        <w:rPr>
          <w:rFonts w:ascii="Arial" w:eastAsia="Calibri" w:hAnsi="Arial" w:cs="Arial"/>
          <w:color w:val="000000" w:themeColor="text1"/>
          <w:sz w:val="24"/>
          <w:szCs w:val="24"/>
        </w:rPr>
        <w:fldChar w:fldCharType="begin" w:fldLock="1"/>
      </w:r>
      <w:r w:rsidRPr="002B3D8A">
        <w:rPr>
          <w:rFonts w:ascii="Arial" w:eastAsia="Calibri" w:hAnsi="Arial" w:cs="Arial"/>
          <w:color w:val="000000" w:themeColor="text1"/>
          <w:sz w:val="24"/>
          <w:szCs w:val="24"/>
        </w:rPr>
        <w:instrText>ADDIN CSL_CITATION {"citationItems":[{"id":"ITEM-1","itemData":{"DOI":"10.1016/0261-2194(89)90101-4","ISSN":"02612194","abstract":"Granular pesticides are used on about half of the UK sugar-beet crop, including almost all of the area at risk from damage by the ectoparasitic nematodes which cause Docking disorder. Survey data show that symptoms of damage are still widespread in some years but are rarely severe. In a series of field experiments comparing eight granular pesticides, those which are approved for control of Docking disorder usually gave large yield increases which were closely related to assessments of plant vigour made in June/July. Pesticide treatments decreased the numbers of active Trichodorus and Paratrichodorus in the rhizosphere by about 50%. © 1989.","author":[{"dropping-particle":"","family":"Cooke","given":"D. A.","non-dropping-particle":"","parse-names":false,"suffix":""}],"container-title":"Crop Protection","id":"ITEM-1","issue":"1","issued":{"date-parts":[["1989"]]},"page":"63-70","title":"Damage to sugar-beet crops by ectoparasitic nematodes, and its control by soil-applied granular pesticides","type":"article-journal","volume":"8"},"uris":["http://www.mendeley.com/documents/?uuid=db12597f-7be5-4c2b-862e-35b02ab7c2d1"]}],"mendeley":{"formattedCitation":"(Cooke, 1989)","plainTextFormattedCitation":"(Cooke, 1989)","previouslyFormattedCitation":"(Cooke, 1989)"},"properties":{"noteIndex":0},"schema":"https://github.com/citation-style-language/schema/raw/master/csl-citation.json"}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Pr="002B3D8A">
        <w:rPr>
          <w:rFonts w:ascii="Arial" w:eastAsia="Calibri" w:hAnsi="Arial" w:cs="Arial"/>
          <w:noProof/>
          <w:color w:val="000000" w:themeColor="text1"/>
          <w:sz w:val="24"/>
          <w:szCs w:val="24"/>
        </w:rPr>
        <w:t>(Cooke, 1989)</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 xml:space="preserve">Trichodorus </w:t>
      </w:r>
      <w:r w:rsidRPr="002B3D8A">
        <w:rPr>
          <w:rFonts w:ascii="Arial" w:eastAsia="Calibri" w:hAnsi="Arial" w:cs="Arial"/>
          <w:color w:val="000000" w:themeColor="text1"/>
          <w:sz w:val="24"/>
          <w:szCs w:val="24"/>
        </w:rPr>
        <w:t xml:space="preserve">spp, </w:t>
      </w:r>
      <w:r w:rsidRPr="002B3D8A">
        <w:rPr>
          <w:rFonts w:ascii="Arial" w:eastAsia="Calibri" w:hAnsi="Arial" w:cs="Arial"/>
          <w:i/>
          <w:color w:val="000000" w:themeColor="text1"/>
          <w:sz w:val="24"/>
          <w:szCs w:val="24"/>
        </w:rPr>
        <w:t>Pratylenchus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Tylenchorynchus</w:t>
      </w:r>
      <w:r w:rsidRPr="002B3D8A">
        <w:rPr>
          <w:rFonts w:ascii="Arial" w:eastAsia="Calibri" w:hAnsi="Arial" w:cs="Arial"/>
          <w:color w:val="000000" w:themeColor="text1"/>
          <w:sz w:val="24"/>
          <w:szCs w:val="24"/>
        </w:rPr>
        <w:t xml:space="preserve"> w</w:t>
      </w:r>
      <w:r w:rsidR="00F42919" w:rsidRPr="002B3D8A">
        <w:rPr>
          <w:rFonts w:ascii="Arial" w:eastAsia="Calibri" w:hAnsi="Arial" w:cs="Arial"/>
          <w:color w:val="000000" w:themeColor="text1"/>
          <w:sz w:val="24"/>
          <w:szCs w:val="24"/>
        </w:rPr>
        <w:t>ere</w:t>
      </w:r>
      <w:r w:rsidRPr="002B3D8A">
        <w:rPr>
          <w:rFonts w:ascii="Arial" w:eastAsia="Calibri" w:hAnsi="Arial" w:cs="Arial"/>
          <w:color w:val="000000" w:themeColor="text1"/>
          <w:sz w:val="24"/>
          <w:szCs w:val="24"/>
        </w:rPr>
        <w:t xml:space="preserve"> more abundant in samples collected in Docking, Norfolk where sugar beets were patchy and stunted </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uthor":[{"dropping-particle":"","family":"Whitehead","given":"A.G.","non-dropping-particle":"","parse-names":false,"suffix":""},{"dropping-particle":"","family":"Hooper","given":"D.J.","non-dropping-particle":"","parse-names":false,"suffix":""}],"container-title":"Ann. appl. Biol","id":"ITEM-1","issued":{"date-parts":[["1970"]]},"page":"339-350","title":"Needle nematodes (Longidorus spp.) and stubby-root nematodes ( Trichodorus spp.) harmful to sugar beet and other field crops in England","type":"article-journal"},"uris":["http://www.mendeley.com/documents/?uuid=e3a9ba67-b49f-4808-a0ea-7bff1763d6dd"]}],"mendeley":{"formattedCitation":"(Whitehead and Hooper, 1970)","plainTextFormattedCitation":"(Whitehead and Hooper, 1970)","previouslyFormattedCitation":"(Whitehead and Hooper, 1970)"},"properties":{"noteIndex":0},"schema":"https://github.com/citation-style-language/schema/raw/master/csl-citation.json"}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(Whitehead and Hooper, 1970)</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w:t>
      </w:r>
      <w:r w:rsidR="00DB2630">
        <w:rPr>
          <w:rFonts w:ascii="Arial" w:eastAsia="Calibri" w:hAnsi="Arial" w:cs="Arial"/>
          <w:color w:val="000000" w:themeColor="text1"/>
          <w:sz w:val="24"/>
          <w:szCs w:val="24"/>
        </w:rPr>
        <w:t>O</w:t>
      </w:r>
      <w:r w:rsidR="00DB2630" w:rsidRPr="002B3D8A">
        <w:rPr>
          <w:rFonts w:ascii="Arial" w:eastAsia="Calibri" w:hAnsi="Arial" w:cs="Arial"/>
          <w:color w:val="000000" w:themeColor="text1"/>
          <w:sz w:val="24"/>
          <w:szCs w:val="24"/>
        </w:rPr>
        <w:t>ut of ninety-eight fields</w:t>
      </w:r>
      <w:r w:rsidRPr="002B3D8A">
        <w:rPr>
          <w:rFonts w:ascii="Arial" w:eastAsia="Calibri" w:hAnsi="Arial" w:cs="Arial"/>
          <w:color w:val="000000" w:themeColor="text1"/>
          <w:sz w:val="24"/>
          <w:szCs w:val="24"/>
        </w:rPr>
        <w:t xml:space="preserve"> with light sandy soils </w:t>
      </w:r>
      <w:r w:rsidR="00DB2630">
        <w:rPr>
          <w:rFonts w:ascii="Arial" w:eastAsia="Calibri" w:hAnsi="Arial" w:cs="Arial"/>
          <w:color w:val="000000" w:themeColor="text1"/>
          <w:sz w:val="24"/>
          <w:szCs w:val="24"/>
        </w:rPr>
        <w:t>from</w:t>
      </w:r>
      <w:r w:rsidR="00DB2630"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 xml:space="preserve">eastern England, , </w:t>
      </w:r>
      <w:r w:rsidRPr="002B3D8A">
        <w:rPr>
          <w:rFonts w:ascii="Arial" w:eastAsia="Calibri" w:hAnsi="Arial" w:cs="Arial"/>
          <w:i/>
          <w:color w:val="000000" w:themeColor="text1"/>
          <w:sz w:val="24"/>
          <w:szCs w:val="24"/>
        </w:rPr>
        <w:t>T. pachydermus</w:t>
      </w:r>
      <w:r w:rsidRPr="002B3D8A">
        <w:rPr>
          <w:rFonts w:ascii="Arial" w:eastAsia="Calibri" w:hAnsi="Arial" w:cs="Arial"/>
          <w:color w:val="000000" w:themeColor="text1"/>
          <w:sz w:val="24"/>
          <w:szCs w:val="24"/>
        </w:rPr>
        <w:t xml:space="preserve"> Seinhorst occurred in thirty-five, </w:t>
      </w:r>
      <w:r w:rsidRPr="002B3D8A">
        <w:rPr>
          <w:rFonts w:ascii="Arial" w:eastAsia="Calibri" w:hAnsi="Arial" w:cs="Arial"/>
          <w:i/>
          <w:color w:val="000000" w:themeColor="text1"/>
          <w:sz w:val="24"/>
          <w:szCs w:val="24"/>
        </w:rPr>
        <w:t>T. primitivus</w:t>
      </w:r>
      <w:r w:rsidRPr="002B3D8A">
        <w:rPr>
          <w:rFonts w:ascii="Arial" w:eastAsia="Calibri" w:hAnsi="Arial" w:cs="Arial"/>
          <w:color w:val="000000" w:themeColor="text1"/>
          <w:sz w:val="24"/>
          <w:szCs w:val="24"/>
        </w:rPr>
        <w:t xml:space="preserve"> (de Man) in twenty-nine, </w:t>
      </w:r>
      <w:r w:rsidRPr="002B3D8A">
        <w:rPr>
          <w:rFonts w:ascii="Arial" w:eastAsia="Calibri" w:hAnsi="Arial" w:cs="Arial"/>
          <w:i/>
          <w:color w:val="000000" w:themeColor="text1"/>
          <w:sz w:val="24"/>
          <w:szCs w:val="24"/>
        </w:rPr>
        <w:t>T. viruliferus</w:t>
      </w:r>
      <w:r w:rsidRPr="002B3D8A">
        <w:rPr>
          <w:rFonts w:ascii="Arial" w:eastAsia="Calibri" w:hAnsi="Arial" w:cs="Arial"/>
          <w:color w:val="000000" w:themeColor="text1"/>
          <w:sz w:val="24"/>
          <w:szCs w:val="24"/>
        </w:rPr>
        <w:t xml:space="preserve"> Hooper in thirteen, </w:t>
      </w:r>
      <w:r w:rsidRPr="002B3D8A">
        <w:rPr>
          <w:rFonts w:ascii="Arial" w:eastAsia="Calibri" w:hAnsi="Arial" w:cs="Arial"/>
          <w:i/>
          <w:color w:val="000000" w:themeColor="text1"/>
          <w:sz w:val="24"/>
          <w:szCs w:val="24"/>
        </w:rPr>
        <w:t>T. similis</w:t>
      </w:r>
      <w:r w:rsidRPr="002B3D8A">
        <w:rPr>
          <w:rFonts w:ascii="Arial" w:eastAsia="Calibri" w:hAnsi="Arial" w:cs="Arial"/>
          <w:color w:val="000000" w:themeColor="text1"/>
          <w:sz w:val="24"/>
          <w:szCs w:val="24"/>
        </w:rPr>
        <w:t xml:space="preserve"> Seinhorst in nine, </w:t>
      </w:r>
      <w:r w:rsidRPr="002B3D8A">
        <w:rPr>
          <w:rFonts w:ascii="Arial" w:eastAsia="Calibri" w:hAnsi="Arial" w:cs="Arial"/>
          <w:i/>
          <w:color w:val="000000" w:themeColor="text1"/>
          <w:sz w:val="24"/>
          <w:szCs w:val="24"/>
        </w:rPr>
        <w:t>T. cylindricus</w:t>
      </w:r>
      <w:r w:rsidRPr="002B3D8A">
        <w:rPr>
          <w:rFonts w:ascii="Arial" w:eastAsia="Calibri" w:hAnsi="Arial" w:cs="Arial"/>
          <w:color w:val="000000" w:themeColor="text1"/>
          <w:sz w:val="24"/>
          <w:szCs w:val="24"/>
        </w:rPr>
        <w:t xml:space="preserve"> in eight and </w:t>
      </w:r>
      <w:r w:rsidRPr="002B3D8A">
        <w:rPr>
          <w:rFonts w:ascii="Arial" w:eastAsia="Calibri" w:hAnsi="Arial" w:cs="Arial"/>
          <w:i/>
          <w:color w:val="000000" w:themeColor="text1"/>
          <w:sz w:val="24"/>
          <w:szCs w:val="24"/>
        </w:rPr>
        <w:t>T. teres</w:t>
      </w:r>
      <w:r w:rsidRPr="002B3D8A">
        <w:rPr>
          <w:rFonts w:ascii="Arial" w:eastAsia="Calibri" w:hAnsi="Arial" w:cs="Arial"/>
          <w:color w:val="000000" w:themeColor="text1"/>
          <w:sz w:val="24"/>
          <w:szCs w:val="24"/>
        </w:rPr>
        <w:t xml:space="preserve"> Hooper and </w:t>
      </w:r>
      <w:r w:rsidRPr="002B3D8A">
        <w:rPr>
          <w:rFonts w:ascii="Arial" w:eastAsia="Calibri" w:hAnsi="Arial" w:cs="Arial"/>
          <w:i/>
          <w:color w:val="000000" w:themeColor="text1"/>
          <w:sz w:val="24"/>
          <w:szCs w:val="24"/>
        </w:rPr>
        <w:t>T. anemones</w:t>
      </w:r>
      <w:r w:rsidRPr="002B3D8A">
        <w:rPr>
          <w:rFonts w:ascii="Arial" w:eastAsia="Calibri" w:hAnsi="Arial" w:cs="Arial"/>
          <w:color w:val="000000" w:themeColor="text1"/>
          <w:sz w:val="24"/>
          <w:szCs w:val="24"/>
        </w:rPr>
        <w:t xml:space="preserve"> in two each </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uthor":[{"dropping-particle":"","family":"Whitehead","given":"A.G.","non-dropping-particle":"","parse-names":false,"suffix":""},{"dropping-particle":"","family":"Hooper","given":"D.J.","non-dropping-particle":"","parse-names":false,"suffix":""}],"container-title":"Ann. appl. Biol","id":"ITEM-1","issued":{"date-parts":[["1970"]]},"page":"339-350","title":"Needle nematodes (Longidorus spp.) and stubby-root nematodes ( Trichodorus spp.) harmful to sugar beet and other field crops in England","type":"article-journal"},"uris":["http://www.mendeley.com/documents/?uuid=e3a9ba67-b49f-4808-a0ea-7bff1763d6dd"]}],"mendeley":{"formattedCitation":"(Whitehead and Hooper, 1970)","plainTextFormattedCitation":"(Whitehead and Hooper, 1970)","previouslyFormattedCitation":"(Whitehead and Hooper, 1970)"},"properties":{"noteIndex":0},"schema":"https://github.com/citation-style-language/schema/raw/master/csl-citation.json"}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(Whitehead and Hooper, 1970)</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w:t>
      </w:r>
      <w:r w:rsidR="00DB2630">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 xml:space="preserve">Similarly, a survey conducted to determine distribution of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spp in Great Britain in 1976</w:t>
      </w:r>
      <w:r w:rsidR="00DB2630">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in cultivated and undisturbed soils</w:t>
      </w:r>
      <w:r w:rsidR="00DB2630">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showed that </w:t>
      </w:r>
      <w:r w:rsidR="00695F81" w:rsidRPr="00E83336">
        <w:rPr>
          <w:rFonts w:ascii="Arial" w:eastAsia="Calibri" w:hAnsi="Arial" w:cs="Arial"/>
          <w:i/>
          <w:color w:val="000000" w:themeColor="text1"/>
          <w:sz w:val="24"/>
          <w:szCs w:val="24"/>
        </w:rPr>
        <w:t>Trichodorus primitivus</w:t>
      </w:r>
      <w:r w:rsidR="00695F81">
        <w:rPr>
          <w:rFonts w:ascii="Arial" w:eastAsia="Calibri" w:hAnsi="Arial" w:cs="Arial"/>
          <w:color w:val="000000" w:themeColor="text1"/>
          <w:sz w:val="24"/>
          <w:szCs w:val="24"/>
        </w:rPr>
        <w:t xml:space="preserve"> was </w:t>
      </w:r>
      <w:r w:rsidR="00695F81" w:rsidRPr="002B3D8A">
        <w:rPr>
          <w:rFonts w:ascii="Arial" w:eastAsia="Calibri" w:hAnsi="Arial" w:cs="Arial"/>
          <w:color w:val="000000" w:themeColor="text1"/>
          <w:sz w:val="24"/>
          <w:szCs w:val="24"/>
        </w:rPr>
        <w:t xml:space="preserve">found in 283 </w:t>
      </w:r>
      <w:r w:rsidR="00695F81">
        <w:rPr>
          <w:rFonts w:ascii="Arial" w:eastAsia="Calibri" w:hAnsi="Arial" w:cs="Arial"/>
          <w:color w:val="000000" w:themeColor="text1"/>
          <w:sz w:val="24"/>
          <w:szCs w:val="24"/>
        </w:rPr>
        <w:t xml:space="preserve">sites out of 792 </w:t>
      </w:r>
      <w:r w:rsidR="00E83336">
        <w:rPr>
          <w:rFonts w:ascii="Arial" w:eastAsia="Calibri" w:hAnsi="Arial" w:cs="Arial"/>
          <w:color w:val="000000" w:themeColor="text1"/>
          <w:sz w:val="24"/>
          <w:szCs w:val="24"/>
        </w:rPr>
        <w:t xml:space="preserve">positive </w:t>
      </w:r>
      <w:r w:rsidR="00695F81">
        <w:rPr>
          <w:rFonts w:ascii="Arial" w:eastAsia="Calibri" w:hAnsi="Arial" w:cs="Arial"/>
          <w:color w:val="000000" w:themeColor="text1"/>
          <w:sz w:val="24"/>
          <w:szCs w:val="24"/>
        </w:rPr>
        <w:t xml:space="preserve">sites and was more cosmopolitan. </w:t>
      </w:r>
      <w:r w:rsidR="00695F81" w:rsidRPr="00E83336">
        <w:rPr>
          <w:rFonts w:ascii="Arial" w:eastAsia="Calibri" w:hAnsi="Arial" w:cs="Arial"/>
          <w:i/>
          <w:color w:val="000000" w:themeColor="text1"/>
          <w:sz w:val="24"/>
          <w:szCs w:val="24"/>
        </w:rPr>
        <w:t>Paratrichodorus pachydermus</w:t>
      </w:r>
      <w:r w:rsidR="00695F81">
        <w:rPr>
          <w:rFonts w:ascii="Arial" w:eastAsia="Calibri" w:hAnsi="Arial" w:cs="Arial"/>
          <w:color w:val="000000" w:themeColor="text1"/>
          <w:sz w:val="24"/>
          <w:szCs w:val="24"/>
        </w:rPr>
        <w:t xml:space="preserve"> was the second most </w:t>
      </w:r>
      <w:r w:rsidR="00E83336">
        <w:rPr>
          <w:rFonts w:ascii="Arial" w:eastAsia="Calibri" w:hAnsi="Arial" w:cs="Arial"/>
          <w:color w:val="000000" w:themeColor="text1"/>
          <w:sz w:val="24"/>
          <w:szCs w:val="24"/>
        </w:rPr>
        <w:t>prevalent, occurring</w:t>
      </w:r>
      <w:r w:rsidR="00695F81">
        <w:rPr>
          <w:rFonts w:ascii="Arial" w:eastAsia="Calibri" w:hAnsi="Arial" w:cs="Arial"/>
          <w:color w:val="000000" w:themeColor="text1"/>
          <w:sz w:val="24"/>
          <w:szCs w:val="24"/>
        </w:rPr>
        <w:t xml:space="preserve"> in 116 sites</w:t>
      </w:r>
      <w:r w:rsidR="00E83336">
        <w:rPr>
          <w:rFonts w:ascii="Arial" w:eastAsia="Calibri" w:hAnsi="Arial" w:cs="Arial"/>
          <w:color w:val="000000" w:themeColor="text1"/>
          <w:sz w:val="24"/>
          <w:szCs w:val="24"/>
        </w:rPr>
        <w:t xml:space="preserve">. In the survey,2894 samples and 720 records from previous sampling were analysed </w:t>
      </w:r>
      <w:r w:rsidRPr="002B3D8A">
        <w:rPr>
          <w:rFonts w:ascii="Arial" w:eastAsia="Calibri" w:hAnsi="Arial" w:cs="Arial"/>
          <w:i/>
          <w:color w:val="000000" w:themeColor="text1"/>
          <w:sz w:val="24"/>
          <w:szCs w:val="24"/>
        </w:rPr>
        <w:t>T</w:t>
      </w:r>
      <w:r w:rsidR="00DB2630">
        <w:rPr>
          <w:rFonts w:ascii="Arial" w:eastAsia="Calibri" w:hAnsi="Arial" w:cs="Arial"/>
          <w:i/>
          <w:color w:val="000000" w:themeColor="text1"/>
          <w:sz w:val="24"/>
          <w:szCs w:val="24"/>
        </w:rPr>
        <w:t>richod</w:t>
      </w:r>
      <w:r w:rsidR="00E83336">
        <w:rPr>
          <w:rFonts w:ascii="Arial" w:eastAsia="Calibri" w:hAnsi="Arial" w:cs="Arial"/>
          <w:i/>
          <w:color w:val="000000" w:themeColor="text1"/>
          <w:sz w:val="24"/>
          <w:szCs w:val="24"/>
        </w:rPr>
        <w:t>orus</w:t>
      </w:r>
      <w:r w:rsidRPr="002B3D8A">
        <w:rPr>
          <w:rFonts w:ascii="Arial" w:eastAsia="Calibri" w:hAnsi="Arial" w:cs="Arial"/>
          <w:i/>
          <w:color w:val="000000" w:themeColor="text1"/>
          <w:sz w:val="24"/>
          <w:szCs w:val="24"/>
        </w:rPr>
        <w:t xml:space="preserve"> sparsus</w:t>
      </w:r>
      <w:r w:rsidRPr="002B3D8A">
        <w:rPr>
          <w:rFonts w:ascii="Arial" w:eastAsia="Calibri" w:hAnsi="Arial" w:cs="Arial"/>
          <w:color w:val="000000" w:themeColor="text1"/>
          <w:sz w:val="24"/>
          <w:szCs w:val="24"/>
        </w:rPr>
        <w:t xml:space="preserve"> was recorded for the first time in Great Britain during this survey. </w:t>
      </w:r>
      <w:r w:rsidRPr="002B3D8A">
        <w:rPr>
          <w:rFonts w:ascii="Arial" w:eastAsia="Calibri" w:hAnsi="Arial" w:cs="Arial"/>
          <w:i/>
          <w:color w:val="000000" w:themeColor="text1"/>
          <w:sz w:val="24"/>
          <w:szCs w:val="24"/>
        </w:rPr>
        <w:t>T. cylindricus</w:t>
      </w:r>
      <w:r w:rsidRPr="002B3D8A">
        <w:rPr>
          <w:rFonts w:ascii="Arial" w:eastAsia="Calibri" w:hAnsi="Arial" w:cs="Arial"/>
          <w:color w:val="000000" w:themeColor="text1"/>
          <w:sz w:val="24"/>
          <w:szCs w:val="24"/>
        </w:rPr>
        <w:t xml:space="preserve"> Hooper, 1962, </w:t>
      </w:r>
      <w:r w:rsidRPr="002B3D8A">
        <w:rPr>
          <w:rFonts w:ascii="Arial" w:eastAsia="Calibri" w:hAnsi="Arial" w:cs="Arial"/>
          <w:i/>
          <w:color w:val="000000" w:themeColor="text1"/>
          <w:sz w:val="24"/>
          <w:szCs w:val="24"/>
        </w:rPr>
        <w:t>T. viruliferous</w:t>
      </w:r>
      <w:r w:rsidRPr="002B3D8A">
        <w:rPr>
          <w:rFonts w:ascii="Arial" w:eastAsia="Calibri" w:hAnsi="Arial" w:cs="Arial"/>
          <w:color w:val="000000" w:themeColor="text1"/>
          <w:sz w:val="24"/>
          <w:szCs w:val="24"/>
        </w:rPr>
        <w:t xml:space="preserve"> Hooper, 1963, </w:t>
      </w:r>
      <w:r w:rsidRPr="002B3D8A">
        <w:rPr>
          <w:rFonts w:ascii="Arial" w:eastAsia="Calibri" w:hAnsi="Arial" w:cs="Arial"/>
          <w:i/>
          <w:color w:val="000000" w:themeColor="text1"/>
          <w:sz w:val="24"/>
          <w:szCs w:val="24"/>
        </w:rPr>
        <w:t>T. similis</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P. teres</w:t>
      </w:r>
      <w:r w:rsidRPr="002B3D8A">
        <w:rPr>
          <w:rFonts w:ascii="Arial" w:eastAsia="Calibri" w:hAnsi="Arial" w:cs="Arial"/>
          <w:color w:val="000000" w:themeColor="text1"/>
          <w:sz w:val="24"/>
          <w:szCs w:val="24"/>
        </w:rPr>
        <w:t xml:space="preserve"> Hooper, 1962 were most common in samples from eastern part of Great Britain</w:t>
      </w:r>
      <w:r w:rsidRPr="002B3D8A">
        <w:rPr>
          <w:rFonts w:ascii="Arial" w:eastAsia="Calibri" w:hAnsi="Arial" w:cs="Arial"/>
          <w:i/>
          <w:color w:val="000000" w:themeColor="text1"/>
          <w:sz w:val="24"/>
          <w:szCs w:val="24"/>
        </w:rPr>
        <w:t>; T. velatus</w:t>
      </w:r>
      <w:r w:rsidRPr="002B3D8A">
        <w:rPr>
          <w:rFonts w:ascii="Arial" w:eastAsia="Calibri" w:hAnsi="Arial" w:cs="Arial"/>
          <w:color w:val="000000" w:themeColor="text1"/>
          <w:sz w:val="24"/>
          <w:szCs w:val="24"/>
        </w:rPr>
        <w:t xml:space="preserve"> Hooper, 1972 and </w:t>
      </w:r>
      <w:r w:rsidRPr="002B3D8A">
        <w:rPr>
          <w:rFonts w:ascii="Arial" w:eastAsia="Calibri" w:hAnsi="Arial" w:cs="Arial"/>
          <w:i/>
          <w:color w:val="000000" w:themeColor="text1"/>
          <w:sz w:val="24"/>
          <w:szCs w:val="24"/>
        </w:rPr>
        <w:t>P. anemones</w:t>
      </w:r>
      <w:r w:rsidRPr="002B3D8A">
        <w:rPr>
          <w:rFonts w:ascii="Arial" w:eastAsia="Calibri" w:hAnsi="Arial" w:cs="Arial"/>
          <w:color w:val="000000" w:themeColor="text1"/>
          <w:sz w:val="24"/>
          <w:szCs w:val="24"/>
        </w:rPr>
        <w:t xml:space="preserve"> </w:t>
      </w:r>
      <w:proofErr w:type="spellStart"/>
      <w:r w:rsidRPr="002B3D8A">
        <w:rPr>
          <w:rFonts w:ascii="Arial" w:eastAsia="Calibri" w:hAnsi="Arial" w:cs="Arial"/>
          <w:color w:val="000000" w:themeColor="text1"/>
          <w:sz w:val="24"/>
          <w:szCs w:val="24"/>
        </w:rPr>
        <w:t>Loof</w:t>
      </w:r>
      <w:proofErr w:type="spellEnd"/>
      <w:r w:rsidRPr="002B3D8A">
        <w:rPr>
          <w:rFonts w:ascii="Arial" w:eastAsia="Calibri" w:hAnsi="Arial" w:cs="Arial"/>
          <w:color w:val="000000" w:themeColor="text1"/>
          <w:sz w:val="24"/>
          <w:szCs w:val="24"/>
        </w:rPr>
        <w:t>, 1965 occurred in few sites</w:t>
      </w:r>
      <w:r w:rsidR="00D03305">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 xml:space="preserve">P. nanus </w:t>
      </w:r>
      <w:r w:rsidRPr="002B3D8A">
        <w:rPr>
          <w:rFonts w:ascii="Arial" w:eastAsia="Calibri" w:hAnsi="Arial" w:cs="Arial"/>
          <w:color w:val="000000" w:themeColor="text1"/>
          <w:sz w:val="24"/>
          <w:szCs w:val="24"/>
        </w:rPr>
        <w:t xml:space="preserve">Allen, 1957 was only found in Scotland, whereas </w:t>
      </w:r>
      <w:r w:rsidRPr="002B3D8A">
        <w:rPr>
          <w:rFonts w:ascii="Arial" w:eastAsia="Calibri" w:hAnsi="Arial" w:cs="Arial"/>
          <w:i/>
          <w:color w:val="000000" w:themeColor="text1"/>
          <w:sz w:val="24"/>
          <w:szCs w:val="24"/>
        </w:rPr>
        <w:t>T. hooperi</w:t>
      </w:r>
      <w:r w:rsidRPr="002B3D8A">
        <w:rPr>
          <w:rFonts w:ascii="Arial" w:eastAsia="Calibri" w:hAnsi="Arial" w:cs="Arial"/>
          <w:color w:val="000000" w:themeColor="text1"/>
          <w:sz w:val="24"/>
          <w:szCs w:val="24"/>
        </w:rPr>
        <w:t xml:space="preserve"> was restricted in the south west of England. </w:t>
      </w:r>
      <w:r w:rsidRPr="002B3D8A">
        <w:rPr>
          <w:rFonts w:ascii="Arial" w:eastAsia="Calibri" w:hAnsi="Arial" w:cs="Arial"/>
          <w:i/>
          <w:color w:val="000000" w:themeColor="text1"/>
          <w:sz w:val="24"/>
          <w:szCs w:val="24"/>
        </w:rPr>
        <w:t xml:space="preserve">T. </w:t>
      </w:r>
      <w:proofErr w:type="spellStart"/>
      <w:r w:rsidRPr="002B3D8A">
        <w:rPr>
          <w:rFonts w:ascii="Arial" w:eastAsia="Calibri" w:hAnsi="Arial" w:cs="Arial"/>
          <w:i/>
          <w:color w:val="000000" w:themeColor="text1"/>
          <w:sz w:val="24"/>
          <w:szCs w:val="24"/>
        </w:rPr>
        <w:t>vanopapillatus</w:t>
      </w:r>
      <w:proofErr w:type="spellEnd"/>
      <w:r w:rsidRPr="002B3D8A">
        <w:rPr>
          <w:rFonts w:ascii="Arial" w:eastAsia="Calibri" w:hAnsi="Arial" w:cs="Arial"/>
          <w:color w:val="000000" w:themeColor="text1"/>
          <w:sz w:val="24"/>
          <w:szCs w:val="24"/>
        </w:rPr>
        <w:t xml:space="preserve"> Hooper, 1972 was recorded in one site.</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{"citationItems":[{"id":"ITEM-1","itemData":{"DOI":"10.1111/j.1744-7348.1976.tb01780.x","ISSN":"17447348","abstract":"This survey describes the distribution of trichodorid nematodes in Great Britain. Twelve species were recorded, including the newly described species Trichodorus hooperi Loof, 1973 and the first British record of T. sparsus Szczygiel, 1968. In the survey 3614 samples and records were analysed using the Statistical Package for Social Sciences computer programme. Seven hundred and ninety</w:instrText>
      </w:r>
      <w:r w:rsidR="00E13293">
        <w:rPr>
          <w:rFonts w:ascii="Cambria Math" w:eastAsia="Calibri" w:hAnsi="Cambria Math" w:cs="Cambria Math"/>
          <w:color w:val="000000" w:themeColor="text1"/>
          <w:sz w:val="24"/>
          <w:szCs w:val="24"/>
        </w:rPr>
        <w:instrText>‐</w:instrText>
      </w:r>
      <w:r w:rsidR="00E13293">
        <w:rPr>
          <w:rFonts w:ascii="Arial" w:eastAsia="Calibri" w:hAnsi="Arial" w:cs="Arial"/>
          <w:color w:val="000000" w:themeColor="text1"/>
          <w:sz w:val="24"/>
          <w:szCs w:val="24"/>
        </w:rPr>
        <w:instrText>two positive sites, containing 971 trichodorid populations, were located. Outline maps show the geographical distribution of each species. T. primitivus de Man, 1880 was the most commonly found species and had a cosmopolitan distribution. Paratrichodorus pachy</w:instrText>
      </w:r>
      <w:r w:rsidR="00E13293">
        <w:rPr>
          <w:rFonts w:ascii="Cambria Math" w:eastAsia="Calibri" w:hAnsi="Cambria Math" w:cs="Cambria Math"/>
          <w:color w:val="000000" w:themeColor="text1"/>
          <w:sz w:val="24"/>
          <w:szCs w:val="24"/>
        </w:rPr>
        <w:instrText>‐</w:instrText>
      </w:r>
      <w:r w:rsidR="00E13293">
        <w:rPr>
          <w:rFonts w:ascii="Arial" w:eastAsia="Calibri" w:hAnsi="Arial" w:cs="Arial"/>
          <w:color w:val="000000" w:themeColor="text1"/>
          <w:sz w:val="24"/>
          <w:szCs w:val="24"/>
        </w:rPr>
        <w:instrText>dermus Seinhorst, 1954 was the next most prevalent and occurred mostly in eastern England and Scotland. Populations of the other ten species were more restricted in both number and distribution. The distribution of trichodorid spp. with respect to altitude, soil type, pH and primary vegetation was tested using chi</w:instrText>
      </w:r>
      <w:r w:rsidR="00E13293">
        <w:rPr>
          <w:rFonts w:ascii="Cambria Math" w:eastAsia="Calibri" w:hAnsi="Cambria Math" w:cs="Cambria Math"/>
          <w:color w:val="000000" w:themeColor="text1"/>
          <w:sz w:val="24"/>
          <w:szCs w:val="24"/>
        </w:rPr>
        <w:instrText>‐</w:instrText>
      </w:r>
      <w:r w:rsidR="00E13293">
        <w:rPr>
          <w:rFonts w:ascii="Arial" w:eastAsia="Calibri" w:hAnsi="Arial" w:cs="Arial"/>
          <w:color w:val="000000" w:themeColor="text1"/>
          <w:sz w:val="24"/>
          <w:szCs w:val="24"/>
        </w:rPr>
        <w:instrText>squared contingency tests. A significant relationship between nematodes and environmental factors was found in all cases examined. However, interactions were found between several environmental factors and further tests were applied to study the independence of the species distributions with respect to these interactions. Copyright © 1976, Wiley Blackwell. All rights reserved","author":[{"dropping-particle":"","family":"Alphey","given":"T. J.W.","non-dropping-particle":"","parse-names":false,"suffix":""},{"dropping-particle":"","family":"Boag","given":"B.","non-dropping-particle":"","parse-names":false,"suffix":""}],"container-title":"Annals of Applied Biology","id":"ITEM-1","issue":"3","issued":{"date-parts":[["1976"]]},"page":"371-381","title":"Distribution of trichodorid nematodes in Great Britain","type":"article-journal","volume":"84"},"uris":["http://www.mendeley.com/documents/?uuid=e0936ad2-ed9a-3964-b9a2-6618f1fad6bd"]}],"mendeley":{"formattedCitation":"(Alphey and Boag, 1976)","plainTextFormattedCitation":"(Alphey and Boag, 1976)","previouslyFormattedCitation":"(Alphey and Boag, 1976)"},"properties":{"noteIndex":0},"schema":"https://github.com/citation-style-language/schema/raw/master/csl-citation.json"}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(Alphey and Boag, 1976)</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w:t>
      </w:r>
      <w:r w:rsidR="51036E6F" w:rsidRPr="51036E6F">
        <w:rPr>
          <w:rFonts w:ascii="Arial" w:eastAsia="Calibri" w:hAnsi="Arial" w:cs="Arial"/>
          <w:color w:val="000000" w:themeColor="text1"/>
          <w:sz w:val="24"/>
          <w:szCs w:val="24"/>
        </w:rPr>
        <w:t xml:space="preserve">The frequent occurrence of </w:t>
      </w:r>
      <w:r w:rsidR="51036E6F" w:rsidRPr="00616CDC">
        <w:rPr>
          <w:rFonts w:ascii="Arial" w:eastAsia="Calibri" w:hAnsi="Arial" w:cs="Arial"/>
          <w:i/>
          <w:iCs/>
          <w:color w:val="000000" w:themeColor="text1"/>
          <w:sz w:val="24"/>
          <w:szCs w:val="24"/>
        </w:rPr>
        <w:t>Trichodorus primitivus</w:t>
      </w:r>
      <w:r w:rsidR="51036E6F" w:rsidRPr="51036E6F">
        <w:rPr>
          <w:rFonts w:ascii="Arial" w:eastAsia="Calibri" w:hAnsi="Arial" w:cs="Arial"/>
          <w:color w:val="000000" w:themeColor="text1"/>
          <w:sz w:val="24"/>
          <w:szCs w:val="24"/>
        </w:rPr>
        <w:t xml:space="preserve"> and </w:t>
      </w:r>
      <w:r w:rsidR="51036E6F" w:rsidRPr="00616CDC">
        <w:rPr>
          <w:rFonts w:ascii="Arial" w:eastAsia="Calibri" w:hAnsi="Arial" w:cs="Arial"/>
          <w:i/>
          <w:iCs/>
          <w:color w:val="000000" w:themeColor="text1"/>
          <w:sz w:val="24"/>
          <w:szCs w:val="24"/>
        </w:rPr>
        <w:t>Paratrichodorus pachydermus</w:t>
      </w:r>
      <w:r w:rsidR="51036E6F" w:rsidRPr="51036E6F">
        <w:rPr>
          <w:rFonts w:ascii="Arial" w:eastAsia="Calibri" w:hAnsi="Arial" w:cs="Arial"/>
          <w:color w:val="000000" w:themeColor="text1"/>
          <w:sz w:val="24"/>
          <w:szCs w:val="24"/>
        </w:rPr>
        <w:t xml:space="preserve"> has also been reported in a soil sampling exercise conducted to determine the distribution of tobacco rattle virus and virus vector nematodes in Angus, Banff, Berwickshire and Kincardineshire in Scotland. </w:t>
      </w:r>
      <w:r w:rsidR="51036E6F" w:rsidRPr="51036E6F">
        <w:rPr>
          <w:rFonts w:ascii="Arial" w:eastAsia="Calibri" w:hAnsi="Arial" w:cs="Arial"/>
          <w:i/>
          <w:iCs/>
          <w:color w:val="000000" w:themeColor="text1"/>
          <w:sz w:val="24"/>
          <w:szCs w:val="24"/>
        </w:rPr>
        <w:t>Trichodorus</w:t>
      </w:r>
      <w:r w:rsidR="51036E6F" w:rsidRPr="51036E6F">
        <w:rPr>
          <w:rFonts w:ascii="Arial" w:eastAsia="Calibri" w:hAnsi="Arial" w:cs="Arial"/>
          <w:color w:val="000000" w:themeColor="text1"/>
          <w:sz w:val="24"/>
          <w:szCs w:val="24"/>
        </w:rPr>
        <w:t xml:space="preserve"> spp was recorded in 133 out of 153 soils sampled. </w:t>
      </w:r>
      <w:r w:rsidR="51036E6F" w:rsidRPr="51036E6F">
        <w:rPr>
          <w:rFonts w:ascii="Arial" w:eastAsia="Calibri" w:hAnsi="Arial" w:cs="Arial"/>
          <w:i/>
          <w:iCs/>
          <w:color w:val="000000" w:themeColor="text1"/>
          <w:sz w:val="24"/>
          <w:szCs w:val="24"/>
        </w:rPr>
        <w:t>T. primitivus</w:t>
      </w:r>
      <w:r w:rsidR="51036E6F" w:rsidRPr="51036E6F">
        <w:rPr>
          <w:rFonts w:ascii="Arial" w:eastAsia="Calibri" w:hAnsi="Arial" w:cs="Arial"/>
          <w:color w:val="000000" w:themeColor="text1"/>
          <w:sz w:val="24"/>
          <w:szCs w:val="24"/>
        </w:rPr>
        <w:t xml:space="preserve"> and </w:t>
      </w:r>
      <w:r w:rsidR="51036E6F" w:rsidRPr="51036E6F">
        <w:rPr>
          <w:rFonts w:ascii="Arial" w:eastAsia="Calibri" w:hAnsi="Arial" w:cs="Arial"/>
          <w:i/>
          <w:iCs/>
          <w:color w:val="000000" w:themeColor="text1"/>
          <w:sz w:val="24"/>
          <w:szCs w:val="24"/>
        </w:rPr>
        <w:t>T. pachydermus</w:t>
      </w:r>
      <w:r w:rsidR="51036E6F" w:rsidRPr="51036E6F">
        <w:rPr>
          <w:rFonts w:ascii="Arial" w:eastAsia="Calibri" w:hAnsi="Arial" w:cs="Arial"/>
          <w:color w:val="000000" w:themeColor="text1"/>
          <w:sz w:val="24"/>
          <w:szCs w:val="24"/>
        </w:rPr>
        <w:t xml:space="preserve"> were the most predominant species, occurring in about 100 soils while </w:t>
      </w:r>
      <w:r w:rsidR="51036E6F" w:rsidRPr="51036E6F">
        <w:rPr>
          <w:rFonts w:ascii="Arial" w:eastAsia="Calibri" w:hAnsi="Arial" w:cs="Arial"/>
          <w:i/>
          <w:iCs/>
          <w:color w:val="000000" w:themeColor="text1"/>
          <w:sz w:val="24"/>
          <w:szCs w:val="24"/>
        </w:rPr>
        <w:t>T. nanus</w:t>
      </w:r>
      <w:r w:rsidR="51036E6F" w:rsidRPr="51036E6F">
        <w:rPr>
          <w:rFonts w:ascii="Arial" w:eastAsia="Calibri" w:hAnsi="Arial" w:cs="Arial"/>
          <w:color w:val="000000" w:themeColor="text1"/>
          <w:sz w:val="24"/>
          <w:szCs w:val="24"/>
        </w:rPr>
        <w:t xml:space="preserve"> was recorded in only 5 soils </w:t>
      </w:r>
      <w:r w:rsidR="00E83336" w:rsidRPr="51036E6F">
        <w:rPr>
          <w:rFonts w:ascii="Arial" w:eastAsia="Calibri" w:hAnsi="Arial" w:cs="Arial"/>
          <w:color w:val="000000" w:themeColor="text1"/>
          <w:sz w:val="24"/>
          <w:szCs w:val="24"/>
        </w:rPr>
        <w:fldChar w:fldCharType="begin" w:fldLock="1"/>
      </w:r>
      <w:r w:rsidR="00E83336" w:rsidRPr="51036E6F">
        <w:rPr>
          <w:rFonts w:ascii="Arial" w:eastAsia="Calibri" w:hAnsi="Arial" w:cs="Arial"/>
          <w:color w:val="000000" w:themeColor="text1"/>
          <w:sz w:val="24"/>
          <w:szCs w:val="24"/>
        </w:rPr>
        <w:instrText>ADDIN CSL_CITATION {"citationItems":[{"id":"ITEM-1","itemData":{"DOI":"10.1111/j.1365-3059.1971.tb00510.x","ISSN":"13653059","abstract":"Tobacco rattle virus (TRV) was transmitted from tubers of 13 out of 15 potato cultivars with spraing (20/22 stocks tested) and cucumber bait seedlings became infected with the virus when grown in soil from all the fields where crops had become affected with spraing. Trichodorus pachydermus Seinhorst and/or T. primitivus (de Man) occurred in all 106 TRV</w:instrText>
      </w:r>
      <w:r w:rsidR="00E83336" w:rsidRPr="51036E6F">
        <w:rPr>
          <w:rFonts w:ascii="Cambria Math" w:eastAsia="Calibri" w:hAnsi="Cambria Math" w:cs="Cambria Math"/>
          <w:color w:val="000000" w:themeColor="text1"/>
          <w:sz w:val="24"/>
          <w:szCs w:val="24"/>
        </w:rPr>
        <w:instrText>‐</w:instrText>
      </w:r>
      <w:r w:rsidR="00E83336" w:rsidRPr="51036E6F">
        <w:rPr>
          <w:rFonts w:ascii="Arial" w:eastAsia="Calibri" w:hAnsi="Arial" w:cs="Arial"/>
          <w:color w:val="000000" w:themeColor="text1"/>
          <w:sz w:val="24"/>
          <w:szCs w:val="24"/>
        </w:rPr>
        <w:instrText>infested soils examined; in addition, T. nanus Allen was found in five, T. cylindricus Hooper in two and an unidentified species in one TRV</w:instrText>
      </w:r>
      <w:r w:rsidR="00E83336" w:rsidRPr="51036E6F">
        <w:rPr>
          <w:rFonts w:ascii="Cambria Math" w:eastAsia="Calibri" w:hAnsi="Cambria Math" w:cs="Cambria Math"/>
          <w:color w:val="000000" w:themeColor="text1"/>
          <w:sz w:val="24"/>
          <w:szCs w:val="24"/>
        </w:rPr>
        <w:instrText>‐</w:instrText>
      </w:r>
      <w:r w:rsidR="00E83336" w:rsidRPr="51036E6F">
        <w:rPr>
          <w:rFonts w:ascii="Arial" w:eastAsia="Calibri" w:hAnsi="Arial" w:cs="Arial"/>
          <w:color w:val="000000" w:themeColor="text1"/>
          <w:sz w:val="24"/>
          <w:szCs w:val="24"/>
        </w:rPr>
        <w:instrText>infested soil. TRV is considered to be the major cause of potato spraing in Scotland, and T. pachydermus and T. primitivus to be the main vectors. TRV occurred in 106 out of 153 (68 per cent) freely drained podsols derived from fluvioglacial, raised beach, till, alluvial or sand</w:instrText>
      </w:r>
      <w:r w:rsidR="00E83336" w:rsidRPr="51036E6F">
        <w:rPr>
          <w:rFonts w:ascii="Cambria Math" w:eastAsia="Calibri" w:hAnsi="Cambria Math" w:cs="Cambria Math"/>
          <w:color w:val="000000" w:themeColor="text1"/>
          <w:sz w:val="24"/>
          <w:szCs w:val="24"/>
        </w:rPr>
        <w:instrText>‐</w:instrText>
      </w:r>
      <w:r w:rsidR="00E83336" w:rsidRPr="51036E6F">
        <w:rPr>
          <w:rFonts w:ascii="Arial" w:eastAsia="Calibri" w:hAnsi="Arial" w:cs="Arial"/>
          <w:color w:val="000000" w:themeColor="text1"/>
          <w:sz w:val="24"/>
          <w:szCs w:val="24"/>
        </w:rPr>
        <w:instrText>dune deposits but was not found on heavy, badly drained soils. About 12 per cent of Scotland's potato acreage is estimated to be on TRV</w:instrText>
      </w:r>
      <w:r w:rsidR="00E83336" w:rsidRPr="51036E6F">
        <w:rPr>
          <w:rFonts w:ascii="Cambria Math" w:eastAsia="Calibri" w:hAnsi="Cambria Math" w:cs="Cambria Math"/>
          <w:color w:val="000000" w:themeColor="text1"/>
          <w:sz w:val="24"/>
          <w:szCs w:val="24"/>
        </w:rPr>
        <w:instrText>‐</w:instrText>
      </w:r>
      <w:r w:rsidR="00E83336" w:rsidRPr="51036E6F">
        <w:rPr>
          <w:rFonts w:ascii="Arial" w:eastAsia="Calibri" w:hAnsi="Arial" w:cs="Arial"/>
          <w:color w:val="000000" w:themeColor="text1"/>
          <w:sz w:val="24"/>
          <w:szCs w:val="24"/>
        </w:rPr>
        <w:instrText>infested soil and 15–20 per cent of the total arable acreage is probably infested with Trichodorus spp. Many of the soils infested with Trichodorus spp. are inherently deficient in copper and manganese. In laboratory experiments, solutions of cupric sulphate (16 p.p.m. Cu) were toxic to T. pachydermus, T. primitivus and T. cylindricus but not to a mixture of other saprozoic and stylet</w:instrText>
      </w:r>
      <w:r w:rsidR="00E83336" w:rsidRPr="51036E6F">
        <w:rPr>
          <w:rFonts w:ascii="Cambria Math" w:eastAsia="Calibri" w:hAnsi="Cambria Math" w:cs="Cambria Math"/>
          <w:color w:val="000000" w:themeColor="text1"/>
          <w:sz w:val="24"/>
          <w:szCs w:val="24"/>
        </w:rPr>
        <w:instrText>‐</w:instrText>
      </w:r>
      <w:r w:rsidR="00E83336" w:rsidRPr="51036E6F">
        <w:rPr>
          <w:rFonts w:ascii="Arial" w:eastAsia="Calibri" w:hAnsi="Arial" w:cs="Arial"/>
          <w:color w:val="000000" w:themeColor="text1"/>
          <w:sz w:val="24"/>
          <w:szCs w:val="24"/>
        </w:rPr>
        <w:instrText>bearing nematodes from a Trichodorus infested soil. Copyright © 1971, Wiley Blackwell. All rights reserved","author":[{"dropping-particle":"","family":"Cooper","given":"J. I.","non-dropping-particle":"","parse-names":false,"suffix":""}],"container-title":"Plant Pathology","id":"ITEM-1","issue":"2","issued":{"date-parts":[["1971"]]},"page":"51-58","title":"The Distribution in Scotland of Tobacco Rattle Virus and its Nematode Vectors in Relation to Soil Type","type":"article-journal","volume":"20"},"uris":["http://www.mendeley.com/documents/?uuid=c2cd7cd1-28fe-3b73-8108-6235e396d616"]}],"mendeley":{"formattedCitation":"(Cooper, 1971)","plainTextFormattedCitation":"(Cooper, 1971)","previouslyFormattedCitation":"(Cooper, 1971)"},"properties":{"noteIndex":0},"schema":"https://github.com/citation-style-language/schema/raw/master/csl-citation.json"}</w:instrText>
      </w:r>
      <w:r w:rsidR="00E83336" w:rsidRPr="51036E6F">
        <w:rPr>
          <w:rFonts w:ascii="Arial" w:eastAsia="Calibri" w:hAnsi="Arial" w:cs="Arial"/>
          <w:color w:val="000000" w:themeColor="text1"/>
          <w:sz w:val="24"/>
          <w:szCs w:val="24"/>
        </w:rPr>
        <w:fldChar w:fldCharType="separate"/>
      </w:r>
      <w:r w:rsidR="51036E6F" w:rsidRPr="51036E6F">
        <w:rPr>
          <w:rFonts w:ascii="Arial" w:eastAsia="Calibri" w:hAnsi="Arial" w:cs="Arial"/>
          <w:noProof/>
          <w:color w:val="000000" w:themeColor="text1"/>
          <w:sz w:val="24"/>
          <w:szCs w:val="24"/>
        </w:rPr>
        <w:t>(Cooper, 1971)</w:t>
      </w:r>
      <w:r w:rsidR="00E83336" w:rsidRPr="51036E6F">
        <w:rPr>
          <w:rFonts w:ascii="Arial" w:eastAsia="Calibri" w:hAnsi="Arial" w:cs="Arial"/>
          <w:color w:val="000000" w:themeColor="text1"/>
          <w:sz w:val="24"/>
          <w:szCs w:val="24"/>
        </w:rPr>
        <w:fldChar w:fldCharType="end"/>
      </w:r>
      <w:r w:rsidR="51036E6F" w:rsidRPr="51036E6F">
        <w:rPr>
          <w:rFonts w:ascii="Arial" w:eastAsia="Calibri" w:hAnsi="Arial" w:cs="Arial"/>
          <w:color w:val="000000" w:themeColor="text1"/>
          <w:sz w:val="24"/>
          <w:szCs w:val="24"/>
        </w:rPr>
        <w:t xml:space="preserve">. Although five Trichodorus species were found in Scottish soils, </w:t>
      </w:r>
      <w:r w:rsidR="51036E6F" w:rsidRPr="51036E6F">
        <w:rPr>
          <w:rFonts w:ascii="Arial" w:eastAsia="Calibri" w:hAnsi="Arial" w:cs="Arial"/>
          <w:i/>
          <w:iCs/>
          <w:color w:val="000000" w:themeColor="text1"/>
          <w:sz w:val="24"/>
          <w:szCs w:val="24"/>
        </w:rPr>
        <w:t>T. nanus, T. cylindricus</w:t>
      </w:r>
      <w:r w:rsidR="51036E6F" w:rsidRPr="51036E6F">
        <w:rPr>
          <w:rFonts w:ascii="Arial" w:eastAsia="Calibri" w:hAnsi="Arial" w:cs="Arial"/>
          <w:color w:val="000000" w:themeColor="text1"/>
          <w:sz w:val="24"/>
          <w:szCs w:val="24"/>
        </w:rPr>
        <w:t xml:space="preserve"> were rare; numbers of the nematodes were small and populations were restricted to soils in which commercial potato crops were rarely grown. In studies conducted to determine the factors affecting docking disorder in sugar beets in England, </w:t>
      </w:r>
      <w:r w:rsidR="51036E6F" w:rsidRPr="51036E6F">
        <w:rPr>
          <w:rFonts w:ascii="Arial" w:eastAsia="Calibri" w:hAnsi="Arial" w:cs="Arial"/>
          <w:i/>
          <w:iCs/>
          <w:color w:val="000000" w:themeColor="text1"/>
          <w:sz w:val="24"/>
          <w:szCs w:val="24"/>
        </w:rPr>
        <w:t>Trichodorus</w:t>
      </w:r>
      <w:r w:rsidR="51036E6F" w:rsidRPr="51036E6F">
        <w:rPr>
          <w:rFonts w:ascii="Arial" w:eastAsia="Calibri" w:hAnsi="Arial" w:cs="Arial"/>
          <w:color w:val="000000" w:themeColor="text1"/>
          <w:sz w:val="24"/>
          <w:szCs w:val="24"/>
        </w:rPr>
        <w:t xml:space="preserve"> spp were found to be widely distributed, where they were recovered from 75% of samples collected </w:t>
      </w:r>
      <w:r w:rsidR="00E83336" w:rsidRPr="51036E6F">
        <w:rPr>
          <w:rFonts w:ascii="Arial" w:eastAsia="Calibri" w:hAnsi="Arial" w:cs="Arial"/>
          <w:color w:val="000000" w:themeColor="text1"/>
          <w:sz w:val="24"/>
          <w:szCs w:val="24"/>
        </w:rPr>
        <w:fldChar w:fldCharType="begin" w:fldLock="1"/>
      </w:r>
      <w:r w:rsidR="00E83336" w:rsidRPr="51036E6F">
        <w:rPr>
          <w:rFonts w:ascii="Arial" w:eastAsia="Calibri" w:hAnsi="Arial" w:cs="Arial"/>
          <w:color w:val="000000" w:themeColor="text1"/>
          <w:sz w:val="24"/>
          <w:szCs w:val="24"/>
        </w:rPr>
        <w:instrText>ADDIN CSL_CITATION {"citationItems":[{"id":"ITEM-1","itemData":{"DOI":"10.1111/j.1365-3059.1973.tb01800.x","ISSN":"13653059","abstract":"In the years 1963 to 1972 the area of sugar beet in England reported affected with Docking disorder ranged from 174 to 7,819 ha. The disorder was most widespread after heavy May rainfall. Trichodorus spp. and Longidorus spp., which cause the primary damage to seedling roots, were common in sites prone to the disorder and surveyed between 1968 and 1971. Nematode numbers in soil samples taken from these sites at drilling could not be correlated with subsequent yield or root shape. Of the surveyed sites, 104 showed no symptoms of Docking disorder (average root yield=44·5 tonnes/ha), 44 showed symptoms early in the season but these disappeared later (average root yield=34·5 tonnes/ha) and 40 showed persistent symptoms (average root yield=27·0 tonnes/ha). Root shape was worst in sites with persistent symptoms. Docking disorder was impossible to predict accurately because the damage is influenced by growing conditions but it was more likely to be severe in fields with a previous history of the disorder. Copyright © 1973, Wiley Blackwell. All rights reserved","author":[{"dropping-particle":"","family":"Cooke","given":"D. A.","non-dropping-particle":"","parse-names":false,"suffix":""}],"container-title":"Plant Pathology","id":"ITEM-1","issue":"4","issued":{"date-parts":[["1973","12","1"]]},"page":"161-170","publisher":"John Wiley &amp; Sons, Ltd","title":"The Effect of Plant Parasitic Nematodes, Rainfall and Other Factors on Docking Disorder of Sugar Beet","type":"article-journal","volume":"22"},"uris":["http://www.mendeley.com/documents/?uuid=d8b52fbb-4455-4d00-877a-5a32f682cdaa"]}],"mendeley":{"formattedCitation":"(Cooke, 1973)","plainTextFormattedCitation":"(Cooke, 1973)","previouslyFormattedCitation":"(Cooke, 1973)"},"properties":{"noteIndex":0},"schema":"https://github.com/citation-style-language/schema/raw/master/csl-citation.json"}</w:instrText>
      </w:r>
      <w:r w:rsidR="00E83336" w:rsidRPr="51036E6F">
        <w:rPr>
          <w:rFonts w:ascii="Arial" w:eastAsia="Calibri" w:hAnsi="Arial" w:cs="Arial"/>
          <w:color w:val="000000" w:themeColor="text1"/>
          <w:sz w:val="24"/>
          <w:szCs w:val="24"/>
        </w:rPr>
        <w:fldChar w:fldCharType="separate"/>
      </w:r>
      <w:r w:rsidR="51036E6F" w:rsidRPr="51036E6F">
        <w:rPr>
          <w:rFonts w:ascii="Arial" w:eastAsia="Calibri" w:hAnsi="Arial" w:cs="Arial"/>
          <w:noProof/>
          <w:color w:val="000000" w:themeColor="text1"/>
          <w:sz w:val="24"/>
          <w:szCs w:val="24"/>
        </w:rPr>
        <w:t>(Cooke, 1973)</w:t>
      </w:r>
      <w:r w:rsidR="00E83336" w:rsidRPr="51036E6F">
        <w:rPr>
          <w:rFonts w:ascii="Arial" w:eastAsia="Calibri" w:hAnsi="Arial" w:cs="Arial"/>
          <w:color w:val="000000" w:themeColor="text1"/>
          <w:sz w:val="24"/>
          <w:szCs w:val="24"/>
        </w:rPr>
        <w:fldChar w:fldCharType="end"/>
      </w:r>
    </w:p>
    <w:p w14:paraId="1DDFD528" w14:textId="5D8798CC" w:rsidR="00B4138B" w:rsidRPr="00616CDC" w:rsidRDefault="00CF0671" w:rsidP="00616CDC">
      <w:pPr>
        <w:pStyle w:val="Heading3"/>
        <w:spacing w:line="360" w:lineRule="auto"/>
        <w:rPr>
          <w:rFonts w:ascii="Arial" w:hAnsi="Arial" w:cs="Arial"/>
          <w:b/>
          <w:color w:val="000000" w:themeColor="text1"/>
          <w:sz w:val="24"/>
          <w:szCs w:val="24"/>
        </w:rPr>
      </w:pPr>
      <w:bookmarkStart w:id="8" w:name="_Toc110341275"/>
      <w:r w:rsidRPr="00616CDC">
        <w:rPr>
          <w:rFonts w:ascii="Arial" w:hAnsi="Arial" w:cs="Arial"/>
          <w:b/>
          <w:color w:val="000000" w:themeColor="text1"/>
          <w:sz w:val="24"/>
          <w:szCs w:val="24"/>
        </w:rPr>
        <w:lastRenderedPageBreak/>
        <w:t>1.</w:t>
      </w:r>
      <w:r w:rsidR="001A0616" w:rsidRPr="00616CDC">
        <w:rPr>
          <w:rFonts w:ascii="Arial" w:hAnsi="Arial" w:cs="Arial"/>
          <w:b/>
          <w:color w:val="000000" w:themeColor="text1"/>
          <w:sz w:val="24"/>
          <w:szCs w:val="24"/>
        </w:rPr>
        <w:t>2</w:t>
      </w:r>
      <w:r w:rsidRPr="00616CDC">
        <w:rPr>
          <w:rFonts w:ascii="Arial" w:hAnsi="Arial" w:cs="Arial"/>
          <w:b/>
          <w:color w:val="000000" w:themeColor="text1"/>
          <w:sz w:val="24"/>
          <w:szCs w:val="24"/>
        </w:rPr>
        <w:t>.</w:t>
      </w:r>
      <w:r w:rsidR="001A0616" w:rsidRPr="00616CDC">
        <w:rPr>
          <w:rFonts w:ascii="Arial" w:hAnsi="Arial" w:cs="Arial"/>
          <w:b/>
          <w:color w:val="000000" w:themeColor="text1"/>
          <w:sz w:val="24"/>
          <w:szCs w:val="24"/>
        </w:rPr>
        <w:t>3</w:t>
      </w:r>
      <w:r w:rsidRPr="00616CDC">
        <w:rPr>
          <w:rFonts w:ascii="Arial" w:hAnsi="Arial" w:cs="Arial"/>
          <w:b/>
          <w:color w:val="000000" w:themeColor="text1"/>
          <w:sz w:val="24"/>
          <w:szCs w:val="24"/>
        </w:rPr>
        <w:t xml:space="preserve"> </w:t>
      </w:r>
      <w:r w:rsidR="001D1C84" w:rsidRPr="00616CDC">
        <w:rPr>
          <w:rFonts w:ascii="Arial" w:hAnsi="Arial" w:cs="Arial"/>
          <w:b/>
          <w:color w:val="000000" w:themeColor="text1"/>
          <w:sz w:val="24"/>
          <w:szCs w:val="24"/>
        </w:rPr>
        <w:t>Characteristics of species reported in the UK</w:t>
      </w:r>
      <w:bookmarkEnd w:id="8"/>
      <w:r w:rsidR="001D1C84" w:rsidRPr="00616CDC">
        <w:rPr>
          <w:rFonts w:ascii="Arial" w:hAnsi="Arial" w:cs="Arial"/>
          <w:b/>
          <w:color w:val="000000" w:themeColor="text1"/>
          <w:sz w:val="24"/>
          <w:szCs w:val="24"/>
        </w:rPr>
        <w:t xml:space="preserve"> </w:t>
      </w:r>
    </w:p>
    <w:p w14:paraId="6804BD3D" w14:textId="4577BECF" w:rsidR="000C38A4" w:rsidRPr="00616CDC" w:rsidRDefault="000C38A4" w:rsidP="00616CDC">
      <w:pPr>
        <w:spacing w:line="360" w:lineRule="auto"/>
        <w:ind w:left="-284"/>
        <w:rPr>
          <w:rFonts w:ascii="Arial" w:eastAsia="Calibri" w:hAnsi="Arial" w:cs="Arial"/>
          <w:b/>
          <w:sz w:val="24"/>
          <w:szCs w:val="24"/>
        </w:rPr>
      </w:pPr>
      <w:r w:rsidRPr="00616CDC">
        <w:rPr>
          <w:rFonts w:ascii="Arial" w:eastAsia="Calibri" w:hAnsi="Arial" w:cs="Arial"/>
          <w:b/>
          <w:sz w:val="24"/>
          <w:szCs w:val="24"/>
        </w:rPr>
        <w:t xml:space="preserve">Trichodorus primitivus </w:t>
      </w:r>
    </w:p>
    <w:p w14:paraId="213BA618" w14:textId="2B58AD28" w:rsidR="000C38A4" w:rsidRPr="0063623D" w:rsidRDefault="000C38A4" w:rsidP="00616CDC">
      <w:pPr>
        <w:spacing w:line="360" w:lineRule="auto"/>
        <w:ind w:left="-284"/>
        <w:contextualSpacing/>
        <w:jc w:val="both"/>
        <w:rPr>
          <w:rFonts w:ascii="Arial" w:eastAsia="Calibri" w:hAnsi="Arial" w:cs="Arial"/>
          <w:b/>
          <w:i/>
          <w:color w:val="000000" w:themeColor="text1"/>
          <w:sz w:val="24"/>
          <w:szCs w:val="24"/>
        </w:rPr>
      </w:pPr>
      <w:r w:rsidRPr="002B3D8A">
        <w:rPr>
          <w:rFonts w:ascii="Arial" w:eastAsia="Calibri" w:hAnsi="Arial" w:cs="Arial"/>
          <w:i/>
          <w:color w:val="000000" w:themeColor="text1"/>
          <w:sz w:val="24"/>
          <w:szCs w:val="24"/>
        </w:rPr>
        <w:t>Trichodorus primivitus</w:t>
      </w:r>
      <w:r w:rsidRPr="002B3D8A">
        <w:rPr>
          <w:rFonts w:ascii="Arial" w:eastAsia="Calibri" w:hAnsi="Arial" w:cs="Arial"/>
          <w:color w:val="000000" w:themeColor="text1"/>
          <w:sz w:val="24"/>
          <w:szCs w:val="24"/>
        </w:rPr>
        <w:t xml:space="preserve"> (De Man, 1880) isolated from </w:t>
      </w:r>
      <w:r w:rsidR="00B84B41" w:rsidRPr="002B3D8A">
        <w:rPr>
          <w:rFonts w:ascii="Arial" w:eastAsia="Calibri" w:hAnsi="Arial" w:cs="Arial"/>
          <w:color w:val="000000" w:themeColor="text1"/>
          <w:sz w:val="24"/>
          <w:szCs w:val="24"/>
        </w:rPr>
        <w:t>Retford</w:t>
      </w:r>
      <w:r w:rsidR="00D03305">
        <w:rPr>
          <w:rFonts w:ascii="Arial" w:eastAsia="Calibri" w:hAnsi="Arial" w:cs="Arial"/>
          <w:color w:val="000000" w:themeColor="text1"/>
          <w:sz w:val="24"/>
          <w:szCs w:val="24"/>
        </w:rPr>
        <w:t>, UK</w:t>
      </w:r>
      <w:r w:rsidRPr="002B3D8A">
        <w:rPr>
          <w:rFonts w:ascii="Arial" w:eastAsia="Calibri" w:hAnsi="Arial" w:cs="Arial"/>
          <w:color w:val="000000" w:themeColor="text1"/>
          <w:sz w:val="24"/>
          <w:szCs w:val="24"/>
        </w:rPr>
        <w:t xml:space="preserve"> has been shown to closely resemble Dutch specimen</w:t>
      </w:r>
      <w:r w:rsidR="00D03305">
        <w:rPr>
          <w:rFonts w:ascii="Arial" w:eastAsia="Calibri" w:hAnsi="Arial" w:cs="Arial"/>
          <w:color w:val="000000" w:themeColor="text1"/>
          <w:sz w:val="24"/>
          <w:szCs w:val="24"/>
        </w:rPr>
        <w:t>s,</w:t>
      </w:r>
      <w:r w:rsidRPr="002B3D8A">
        <w:rPr>
          <w:rFonts w:ascii="Arial" w:eastAsia="Calibri" w:hAnsi="Arial" w:cs="Arial"/>
          <w:color w:val="000000" w:themeColor="text1"/>
          <w:sz w:val="24"/>
          <w:szCs w:val="24"/>
        </w:rPr>
        <w:t xml:space="preserve"> except that the onchiostyle is longer in the English specimen </w:t>
      </w:r>
      <w:r w:rsidRPr="002B3D8A">
        <w:rPr>
          <w:rFonts w:ascii="Arial" w:eastAsia="Calibri" w:hAnsi="Arial" w:cs="Arial"/>
          <w:color w:val="000000" w:themeColor="text1"/>
          <w:sz w:val="24"/>
          <w:szCs w:val="24"/>
        </w:rPr>
        <w:fldChar w:fldCharType="begin" w:fldLock="1"/>
      </w:r>
      <w:r w:rsidRPr="002B3D8A">
        <w:rPr>
          <w:rFonts w:ascii="Arial" w:eastAsia="Calibri" w:hAnsi="Arial" w:cs="Arial"/>
          <w:color w:val="000000" w:themeColor="text1"/>
          <w:sz w:val="24"/>
          <w:szCs w:val="24"/>
        </w:rPr>
        <w:instrText>ADDIN CSL_CITATION {"citationItems":[{"id":"ITEM-1","itemData":{"DOI":"10.1163/187529262X00567","ISSN":"00282596","abstract":"Trichodorus cylindricus n. sp., ♀ &amp; ♂ and T. teres n. sp., ♀, are described from light sandy English soils. T. borneoensis n. sp., ♀ &amp; ♂, was found associated with roots of Manila hemp from North Borneo. The original description of T. minor Colbran, 1956 is amplified using specimens associated with sugar cane roots from Queensland, Australia. © 1962 BRILL.","author":[{"dropping-particle":"","family":"Hooper","given":"David J.","non-dropping-particle":"","parse-names":false,"suffix":""}],"container-title":"Nematologica","id":"ITEM-1","issue":"4","issued":{"date-parts":[["1962"]]},"page":"273-280","publisher":"Brill Academic Publishers","title":"Three new species of trichodorus (Nematoda: Dorylaimoidea) and observations on t. minor colbran, 1956","type":"article-journal","volume":"7"},"uris":["http://www.mendeley.com/documents/?uuid=be1c1742-2d81-31a3-acf9-9f09468c094a"]},{"id":"ITEM-2","itemData":{"DOI":"10.1163/187529257X00635","ISSN":"00282596","abstract":"Trichodorus primitivus (de Man 1880) is redescribed and ten new species of Trichodorus are described, including the species first reported to cause stubby-root disease in Florida, U.S.A. The species descriptions and illustrations present details of the morphology of both males and females and indicate the presence of two distinct species groups in the genus. The morphology of the onchiostyle is discussed and illustrated and evidence is presented to indicate that the onchiostyle in Trichodorus is not a hollow axial spear but is dorsal to the lumen of the esophagus. A key to the species is presented as an aid to identification. © 1957 BRILL.","author":[{"dropping-particle":"","family":"Allen","given":"M. W.","non-dropping-particle":"","parse-names":false,"suffix":""}],"container-title":"Nematologica","id":"ITEM-2","issue":"1","issued":{"date-parts":[["1957"]]},"page":"32-62","publisher":"Brill Academic Publishers","title":"A review of the nematode genus trichodorus with descriptions of ten new species","type":"article-journal","volume":"2"},"uris":["http://www.mendeley.com/documents/?uuid=76ea1b7c-1e94-33b9-b58f-2cd6acc974ec"]}],"mendeley":{"formattedCitation":"(Allen, 1957; Hooper, 1962)","plainTextFormattedCitation":"(Allen, 1957; Hooper, 1962)","previouslyFormattedCitation":"(Allen, 1957; Hooper, 1962)"},"properties":{"noteIndex":0},"schema":"https://github.com/citation-style-language/schema/raw/master/csl-citation.json"}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Pr="002B3D8A">
        <w:rPr>
          <w:rFonts w:ascii="Arial" w:eastAsia="Calibri" w:hAnsi="Arial" w:cs="Arial"/>
          <w:noProof/>
          <w:color w:val="000000" w:themeColor="text1"/>
          <w:sz w:val="24"/>
          <w:szCs w:val="24"/>
        </w:rPr>
        <w:t>(Allen, 1957; Hooper, 1962)</w:t>
      </w:r>
      <w:r w:rsidRPr="002B3D8A">
        <w:rPr>
          <w:rFonts w:ascii="Arial" w:eastAsia="Calibri" w:hAnsi="Arial" w:cs="Arial"/>
          <w:color w:val="000000" w:themeColor="text1"/>
          <w:sz w:val="24"/>
          <w:szCs w:val="24"/>
        </w:rPr>
        <w:fldChar w:fldCharType="end"/>
      </w:r>
      <w:r w:rsidR="001D1C84"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 xml:space="preserve">Reproduction is amphimictic and males are equally abundant as females. </w:t>
      </w:r>
      <w:r w:rsidR="00B84B41" w:rsidRPr="002B3D8A">
        <w:rPr>
          <w:rFonts w:ascii="Arial" w:eastAsia="Calibri" w:hAnsi="Arial" w:cs="Arial"/>
          <w:color w:val="000000" w:themeColor="text1"/>
          <w:sz w:val="24"/>
          <w:szCs w:val="24"/>
        </w:rPr>
        <w:t xml:space="preserve">The species also has a </w:t>
      </w:r>
      <w:r w:rsidRPr="002B3D8A">
        <w:rPr>
          <w:rFonts w:ascii="Arial" w:eastAsia="Calibri" w:hAnsi="Arial" w:cs="Arial"/>
          <w:color w:val="000000" w:themeColor="text1"/>
          <w:sz w:val="24"/>
          <w:szCs w:val="24"/>
        </w:rPr>
        <w:t>K survival strategy</w:t>
      </w:r>
      <w:r w:rsidR="00B84B41" w:rsidRPr="002B3D8A">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w:t>
      </w:r>
      <w:r w:rsidR="000004F6" w:rsidRPr="002B3D8A">
        <w:rPr>
          <w:rFonts w:ascii="Arial" w:eastAsia="Calibri" w:hAnsi="Arial" w:cs="Arial"/>
          <w:i/>
          <w:color w:val="000000" w:themeColor="text1"/>
          <w:sz w:val="24"/>
          <w:szCs w:val="24"/>
        </w:rPr>
        <w:t>T. primitivus</w:t>
      </w:r>
      <w:r w:rsidRPr="002B3D8A">
        <w:rPr>
          <w:rFonts w:ascii="Arial" w:eastAsia="Calibri" w:hAnsi="Arial" w:cs="Arial"/>
          <w:color w:val="000000" w:themeColor="text1"/>
          <w:sz w:val="24"/>
          <w:szCs w:val="24"/>
        </w:rPr>
        <w:t xml:space="preserve"> males can be distinguished from other species in the genus Trichodorus by the position of the supplementary papillae, the first located near the proximal end of the spicules, the second one body width anterior to the first and the third one and three-fourth body widths anterior to the second and the presence of three or four ventro median esophangeal </w:t>
      </w:r>
      <w:r w:rsidR="000004F6" w:rsidRPr="002B3D8A">
        <w:rPr>
          <w:rFonts w:ascii="Arial" w:eastAsia="Calibri" w:hAnsi="Arial" w:cs="Arial"/>
          <w:color w:val="000000" w:themeColor="text1"/>
          <w:sz w:val="24"/>
          <w:szCs w:val="24"/>
        </w:rPr>
        <w:t>papillae</w:t>
      </w:r>
      <w:r w:rsidRPr="002B3D8A">
        <w:rPr>
          <w:rFonts w:ascii="Arial" w:eastAsia="Calibri" w:hAnsi="Arial" w:cs="Arial"/>
          <w:color w:val="000000" w:themeColor="text1"/>
          <w:sz w:val="24"/>
          <w:szCs w:val="24"/>
        </w:rPr>
        <w:t xml:space="preserve">. </w:t>
      </w:r>
      <w:r w:rsidRPr="002B3D8A">
        <w:rPr>
          <w:rFonts w:ascii="Arial" w:eastAsia="Calibri" w:hAnsi="Arial" w:cs="Arial"/>
          <w:i/>
          <w:color w:val="000000" w:themeColor="text1"/>
          <w:sz w:val="24"/>
          <w:szCs w:val="24"/>
        </w:rPr>
        <w:t>T.primitivus</w:t>
      </w:r>
      <w:r w:rsidRPr="002B3D8A">
        <w:rPr>
          <w:rFonts w:ascii="Arial" w:eastAsia="Calibri" w:hAnsi="Arial" w:cs="Arial"/>
          <w:color w:val="000000" w:themeColor="text1"/>
          <w:sz w:val="24"/>
          <w:szCs w:val="24"/>
        </w:rPr>
        <w:t xml:space="preserve"> males is one of the two species of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males with three ventro median cervical papillae and three supplementary tail papillae The females are distinguished by longer tail</w:t>
      </w:r>
      <w:r w:rsidR="00D03305">
        <w:rPr>
          <w:rFonts w:ascii="Arial" w:eastAsia="Calibri" w:hAnsi="Arial" w:cs="Arial"/>
          <w:color w:val="000000" w:themeColor="text1"/>
          <w:sz w:val="24"/>
          <w:szCs w:val="24"/>
        </w:rPr>
        <w:t>s,</w:t>
      </w:r>
      <w:r w:rsidRPr="002B3D8A">
        <w:rPr>
          <w:rFonts w:ascii="Arial" w:eastAsia="Calibri" w:hAnsi="Arial" w:cs="Arial"/>
          <w:color w:val="000000" w:themeColor="text1"/>
          <w:sz w:val="24"/>
          <w:szCs w:val="24"/>
        </w:rPr>
        <w:t xml:space="preserve"> ventrally positioned caudal pores,</w:t>
      </w:r>
      <w:r w:rsidR="00D03305">
        <w:rPr>
          <w:rFonts w:ascii="Arial" w:eastAsia="Calibri" w:hAnsi="Arial" w:cs="Arial"/>
          <w:color w:val="000000" w:themeColor="text1"/>
          <w:sz w:val="24"/>
          <w:szCs w:val="24"/>
        </w:rPr>
        <w:t xml:space="preserve"> an</w:t>
      </w:r>
      <w:r w:rsidRPr="002B3D8A">
        <w:rPr>
          <w:rFonts w:ascii="Arial" w:eastAsia="Calibri" w:hAnsi="Arial" w:cs="Arial"/>
          <w:color w:val="000000" w:themeColor="text1"/>
          <w:sz w:val="24"/>
          <w:szCs w:val="24"/>
        </w:rPr>
        <w:t xml:space="preserve"> excretory pore which opens at the level of the nerve ring, </w:t>
      </w:r>
      <w:r w:rsidR="00D03305">
        <w:rPr>
          <w:rFonts w:ascii="Arial" w:eastAsia="Calibri" w:hAnsi="Arial" w:cs="Arial"/>
          <w:color w:val="000000" w:themeColor="text1"/>
          <w:sz w:val="24"/>
          <w:szCs w:val="24"/>
        </w:rPr>
        <w:t xml:space="preserve">the presence of three lateral </w:t>
      </w:r>
      <w:r w:rsidRPr="002B3D8A">
        <w:rPr>
          <w:rFonts w:ascii="Arial" w:eastAsia="Calibri" w:hAnsi="Arial" w:cs="Arial"/>
          <w:color w:val="000000" w:themeColor="text1"/>
          <w:sz w:val="24"/>
          <w:szCs w:val="24"/>
        </w:rPr>
        <w:t>hypodermal pores</w:t>
      </w:r>
      <w:r w:rsidR="00D03305">
        <w:rPr>
          <w:rFonts w:ascii="Arial" w:eastAsia="Calibri" w:hAnsi="Arial" w:cs="Arial"/>
          <w:color w:val="000000" w:themeColor="text1"/>
          <w:sz w:val="24"/>
          <w:szCs w:val="24"/>
        </w:rPr>
        <w:t xml:space="preserve"> with </w:t>
      </w:r>
      <w:r w:rsidR="00D03305" w:rsidRPr="002B3D8A">
        <w:rPr>
          <w:rFonts w:ascii="Arial" w:eastAsia="Calibri" w:hAnsi="Arial" w:cs="Arial"/>
          <w:color w:val="000000" w:themeColor="text1"/>
          <w:sz w:val="24"/>
          <w:szCs w:val="24"/>
        </w:rPr>
        <w:t>one</w:t>
      </w:r>
      <w:r w:rsidR="00D03305">
        <w:rPr>
          <w:rFonts w:ascii="Arial" w:eastAsia="Calibri" w:hAnsi="Arial" w:cs="Arial"/>
          <w:color w:val="000000" w:themeColor="text1"/>
          <w:sz w:val="24"/>
          <w:szCs w:val="24"/>
        </w:rPr>
        <w:t xml:space="preserve"> being</w:t>
      </w:r>
      <w:r w:rsidR="00D03305" w:rsidRPr="002B3D8A">
        <w:rPr>
          <w:rFonts w:ascii="Arial" w:eastAsia="Calibri" w:hAnsi="Arial" w:cs="Arial"/>
          <w:color w:val="000000" w:themeColor="text1"/>
          <w:sz w:val="24"/>
          <w:szCs w:val="24"/>
        </w:rPr>
        <w:t xml:space="preserve"> slightly posterior to the vulva</w:t>
      </w:r>
      <w:r w:rsidR="00D03305">
        <w:rPr>
          <w:rFonts w:ascii="Arial" w:eastAsia="Calibri" w:hAnsi="Arial" w:cs="Arial"/>
          <w:color w:val="000000" w:themeColor="text1"/>
          <w:sz w:val="24"/>
          <w:szCs w:val="24"/>
        </w:rPr>
        <w:t xml:space="preserve">, </w:t>
      </w:r>
      <w:r w:rsidR="00D03305" w:rsidRPr="002B3D8A">
        <w:rPr>
          <w:rFonts w:ascii="Arial" w:eastAsia="Calibri" w:hAnsi="Arial" w:cs="Arial"/>
          <w:color w:val="000000" w:themeColor="text1"/>
          <w:sz w:val="24"/>
          <w:szCs w:val="24"/>
        </w:rPr>
        <w:t>one</w:t>
      </w:r>
      <w:r w:rsidR="00D03305">
        <w:rPr>
          <w:rFonts w:ascii="Arial" w:eastAsia="Calibri" w:hAnsi="Arial" w:cs="Arial"/>
          <w:color w:val="000000" w:themeColor="text1"/>
          <w:sz w:val="24"/>
          <w:szCs w:val="24"/>
        </w:rPr>
        <w:t xml:space="preserve"> at</w:t>
      </w:r>
      <w:r w:rsidR="00D03305" w:rsidRPr="002B3D8A">
        <w:rPr>
          <w:rFonts w:ascii="Arial" w:eastAsia="Calibri" w:hAnsi="Arial" w:cs="Arial"/>
          <w:color w:val="000000" w:themeColor="text1"/>
          <w:sz w:val="24"/>
          <w:szCs w:val="24"/>
        </w:rPr>
        <w:t xml:space="preserve"> 3 body widths and</w:t>
      </w:r>
      <w:r w:rsidR="00D03305">
        <w:rPr>
          <w:rFonts w:ascii="Arial" w:eastAsia="Calibri" w:hAnsi="Arial" w:cs="Arial"/>
          <w:color w:val="000000" w:themeColor="text1"/>
          <w:sz w:val="24"/>
          <w:szCs w:val="24"/>
        </w:rPr>
        <w:t xml:space="preserve"> the final</w:t>
      </w:r>
      <w:r w:rsidR="00D03305" w:rsidRPr="002B3D8A">
        <w:rPr>
          <w:rFonts w:ascii="Arial" w:eastAsia="Calibri" w:hAnsi="Arial" w:cs="Arial"/>
          <w:color w:val="000000" w:themeColor="text1"/>
          <w:sz w:val="24"/>
          <w:szCs w:val="24"/>
        </w:rPr>
        <w:t xml:space="preserve"> one</w:t>
      </w:r>
      <w:r w:rsidR="00D03305">
        <w:rPr>
          <w:rFonts w:ascii="Arial" w:eastAsia="Calibri" w:hAnsi="Arial" w:cs="Arial"/>
          <w:color w:val="000000" w:themeColor="text1"/>
          <w:sz w:val="24"/>
          <w:szCs w:val="24"/>
        </w:rPr>
        <w:t xml:space="preserve"> at</w:t>
      </w:r>
      <w:r w:rsidR="00D03305" w:rsidRPr="002B3D8A">
        <w:rPr>
          <w:rFonts w:ascii="Arial" w:eastAsia="Calibri" w:hAnsi="Arial" w:cs="Arial"/>
          <w:color w:val="000000" w:themeColor="text1"/>
          <w:sz w:val="24"/>
          <w:szCs w:val="24"/>
        </w:rPr>
        <w:t xml:space="preserve"> 7 body widths </w:t>
      </w:r>
      <w:r w:rsidR="000B4EA0" w:rsidRPr="002B3D8A">
        <w:rPr>
          <w:rFonts w:ascii="Arial" w:eastAsia="Calibri" w:hAnsi="Arial" w:cs="Arial"/>
          <w:color w:val="000000" w:themeColor="text1"/>
          <w:sz w:val="24"/>
          <w:szCs w:val="24"/>
        </w:rPr>
        <w:t xml:space="preserve">anterior to the vulva </w:t>
      </w:r>
      <w:r w:rsidRPr="002B3D8A">
        <w:rPr>
          <w:rFonts w:ascii="Arial" w:eastAsia="Calibri" w:hAnsi="Arial" w:cs="Arial"/>
          <w:color w:val="000000" w:themeColor="text1"/>
          <w:sz w:val="24"/>
          <w:szCs w:val="24"/>
        </w:rPr>
        <w:t xml:space="preserve">, , and the shape of the cutinized vaginal pieces </w:t>
      </w:r>
      <w:bookmarkStart w:id="9" w:name="_Hlk63056279"/>
      <w:r w:rsidRPr="002B3D8A">
        <w:rPr>
          <w:rFonts w:ascii="Arial" w:eastAsia="Calibri" w:hAnsi="Arial" w:cs="Arial"/>
          <w:color w:val="000000" w:themeColor="text1"/>
          <w:sz w:val="24"/>
          <w:szCs w:val="24"/>
        </w:rPr>
        <w:fldChar w:fldCharType="begin" w:fldLock="1"/>
      </w:r>
      <w:r w:rsidRPr="002B3D8A">
        <w:rPr>
          <w:rFonts w:ascii="Arial" w:eastAsia="Calibri" w:hAnsi="Arial" w:cs="Arial"/>
          <w:color w:val="000000" w:themeColor="text1"/>
          <w:sz w:val="24"/>
          <w:szCs w:val="24"/>
        </w:rPr>
        <w:instrText>ADDIN CSL_CITATION {"citationItems":[{"id":"ITEM-1","itemData":{"DOI":"10.1163/187529257X00635","ISSN":"00282596","abstract":"Trichodorus primitivus (de Man 1880) is redescribed and ten new species of Trichodorus are described, including the species first reported to cause stubby-root disease in Florida, U.S.A. The species descriptions and illustrations present details of the morphology of both males and females and indicate the presence of two distinct species groups in the genus. The morphology of the onchiostyle is discussed and illustrated and evidence is presented to indicate that the onchiostyle in Trichodorus is not a hollow axial spear but is dorsal to the lumen of the esophagus. A key to the species is presented as an aid to identification. © 1957 BRILL.","author":[{"dropping-particle":"","family":"Allen","given":"M. W.","non-dropping-particle":"","parse-names":false,"suffix":""}],"container-title":"Nematologica","id":"ITEM-1","issue":"1","issued":{"date-parts":[["1957"]]},"page":"32-62","publisher":"Brill Academic Publishers","title":"A review of the nematode genus trichodorus with descriptions of ten new species","type":"article-journal","volume":"2"},"uris":["http://www.mendeley.com/documents/?uuid=76ea1b7c-1e94-33b9-b58f-2cd6acc974ec"]}],"mendeley":{"formattedCitation":"(Allen, 1957)","plainTextFormattedCitation":"(Allen, 1957)","previouslyFormattedCitation":"(Allen, 1957)"},"properties":{"noteIndex":0},"schema":"https://github.com/citation-style-language/schema/raw/master/csl-citation.json"}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Pr="002B3D8A">
        <w:rPr>
          <w:rFonts w:ascii="Arial" w:eastAsia="Calibri" w:hAnsi="Arial" w:cs="Arial"/>
          <w:noProof/>
          <w:color w:val="000000" w:themeColor="text1"/>
          <w:sz w:val="24"/>
          <w:szCs w:val="24"/>
        </w:rPr>
        <w:t>(Allen, 1957)</w:t>
      </w:r>
      <w:r w:rsidRPr="002B3D8A">
        <w:rPr>
          <w:rFonts w:ascii="Arial" w:eastAsia="Calibri" w:hAnsi="Arial" w:cs="Arial"/>
          <w:color w:val="000000" w:themeColor="text1"/>
          <w:sz w:val="24"/>
          <w:szCs w:val="24"/>
        </w:rPr>
        <w:fldChar w:fldCharType="end"/>
      </w:r>
      <w:r w:rsidR="000B4EA0">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w:t>
      </w:r>
      <w:bookmarkEnd w:id="9"/>
      <w:r w:rsidRPr="0063623D">
        <w:rPr>
          <w:rFonts w:ascii="Arial" w:eastAsia="Calibri" w:hAnsi="Arial" w:cs="Arial"/>
          <w:b/>
          <w:i/>
          <w:color w:val="000000" w:themeColor="text1"/>
          <w:sz w:val="24"/>
          <w:szCs w:val="24"/>
        </w:rPr>
        <w:t xml:space="preserve">Trichodorus cylindricus </w:t>
      </w:r>
    </w:p>
    <w:p w14:paraId="67316ED2" w14:textId="5B5E738B" w:rsidR="008C392A" w:rsidRPr="00791A9B" w:rsidRDefault="000C38A4" w:rsidP="00487AD5">
      <w:pPr>
        <w:spacing w:line="360" w:lineRule="auto"/>
        <w:ind w:left="-284"/>
        <w:contextualSpacing/>
        <w:jc w:val="both"/>
        <w:rPr>
          <w:rFonts w:ascii="Arial" w:eastAsia="Calibri" w:hAnsi="Arial" w:cs="Arial"/>
          <w:color w:val="000000" w:themeColor="text1"/>
          <w:sz w:val="24"/>
          <w:szCs w:val="24"/>
        </w:rPr>
      </w:pPr>
      <w:r w:rsidRPr="002B3D8A">
        <w:rPr>
          <w:rFonts w:ascii="Arial" w:eastAsia="Calibri" w:hAnsi="Arial" w:cs="Arial"/>
          <w:i/>
          <w:color w:val="000000" w:themeColor="text1"/>
          <w:sz w:val="24"/>
          <w:szCs w:val="24"/>
        </w:rPr>
        <w:t xml:space="preserve">T.cylindricus </w:t>
      </w:r>
      <w:r w:rsidRPr="002B3D8A">
        <w:rPr>
          <w:rFonts w:ascii="Arial" w:eastAsia="Calibri" w:hAnsi="Arial" w:cs="Arial"/>
          <w:color w:val="000000" w:themeColor="text1"/>
          <w:sz w:val="24"/>
          <w:szCs w:val="24"/>
        </w:rPr>
        <w:t>is known to occur together with</w:t>
      </w:r>
      <w:r w:rsidRPr="002B3D8A">
        <w:rPr>
          <w:rFonts w:ascii="Arial" w:eastAsia="Calibri" w:hAnsi="Arial" w:cs="Arial"/>
          <w:i/>
          <w:color w:val="000000" w:themeColor="text1"/>
          <w:sz w:val="24"/>
          <w:szCs w:val="24"/>
        </w:rPr>
        <w:t xml:space="preserve"> T.</w:t>
      </w:r>
      <w:r w:rsidR="000B4EA0">
        <w:rPr>
          <w:rFonts w:ascii="Arial" w:eastAsia="Calibri" w:hAnsi="Arial" w:cs="Arial"/>
          <w:i/>
          <w:color w:val="000000" w:themeColor="text1"/>
          <w:sz w:val="24"/>
          <w:szCs w:val="24"/>
        </w:rPr>
        <w:t>primitivus</w:t>
      </w:r>
      <w:r w:rsidR="000B4EA0">
        <w:rPr>
          <w:rFonts w:ascii="Arial" w:eastAsia="Calibri" w:hAnsi="Arial" w:cs="Arial"/>
          <w:color w:val="000000" w:themeColor="text1"/>
          <w:sz w:val="24"/>
          <w:szCs w:val="24"/>
        </w:rPr>
        <w:t xml:space="preserve">, with both species having morphological </w:t>
      </w:r>
      <w:r w:rsidRPr="002B3D8A">
        <w:rPr>
          <w:rFonts w:ascii="Arial" w:eastAsia="Calibri" w:hAnsi="Arial" w:cs="Arial"/>
          <w:color w:val="000000" w:themeColor="text1"/>
          <w:sz w:val="24"/>
          <w:szCs w:val="24"/>
        </w:rPr>
        <w:t xml:space="preserve">similarities </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{"citationItems":[{"id":"ITEM-1","itemData":{"DOI":"10.1163/187529257X00635","ISSN":"00282596","abstract":"Trichodorus primitivus (de Man 1880) is redescribed and ten new species of Trichodorus are described, including the species first reported to cause stubby-root disease in Florida, U.S.A. The species descriptions and illustrations present details of the morphology of both males and females and indicate the presence of two distinct species groups in the genus. The morphology of the onchiostyle is discussed and illustrated and evidence is presented to indicate that the onchiostyle in Trichodorus is not a hollow axial spear but is dorsal to the lumen of the esophagus. A key to the species is presented as an aid to identification. © 1957 BRILL.","author":[{"dropping-particle":"","family":"Allen","given":"M. W.","non-dropping-particle":"","parse-names":false,"suffix":""}],"container-title":"Nematologica","id":"ITEM-1","issue":"1","issued":{"date-parts":[["1957"]]},"page":"32-62","publisher":"Brill Academic Publishers","title":"A review of the nematode genus trichodorus with descriptions of ten new species","type":"article-journal","volume":"2"},"uris":["http://www.mendeley.com/documents/?uuid=76ea1b7c-1e94-33b9-b58f-2cd6acc974ec"]},{"id":"ITEM-2","itemData":{"DOI":"10.1163/187529262X00567","ISSN":"00282596","abstract":"Trichodorus cylindricus n. sp., ♀ &amp; ♂ and T. teres n. sp., ♀, are described from light sandy English soils. T. borneoensis n. sp., ♀ &amp; ♂, was found associated with roots of Manila hemp from North Borneo. The original description of T. minor Colbran, 1956 is amplified using specimens associated with sugar cane roots from Queensland, Australia. © 1962 BRILL.","author":[{"dropping-particle":"","family":"Hooper","given":"David J.","non-dropping-particle":"","parse-names":false,"suffix":""}],"container-title":"Nematologica","id":"ITEM-2","issue":"4","issued":{"date-parts":[["1962"]]},"page":"273-280","publisher":"Brill Academic Publishers","title":"Three new species of trichodorus (Nematoda: Dorylaimoidea) and observations on t. minor colbran, 1956","type":"article-journal","volume":"7"},"uris":["http://www.mendeley.com/documents/?uuid=be1c1742-2d81-31a3-acf9-9f09468c094a"]},{"id":"ITEM-3","itemData":{"DOI":"10.1007/978-1-4684-0841-6_25","author":[{"dropping-particle":"","family":"Winfield","given":"A. L.","non-dropping-particle":"","parse-names":false,"suffix":""},{"dropping-particle":"","family":"Cooke","given":"D. A.","non-dropping-particle":"","parse-names":false,"suffix":""}],"container-title":"Nematode Vectors of Plant Viruses","id":"ITEM-3","issue":"81","issued":{"date-parts":[["1975"]]},"page":"309-341","title":"The Ecology of Trichodorus","type":"article-journal"},"uris":["http://www.mendeley.com/documents/?uuid=19b7aa37-b8dc-4943-9f00-a313747111cf"]}],"mendeley":{"formattedCitation":"(Allen, 1957; Hooper, 1962; Winfield and Cooke, 1975)","plainTextFormattedCitation":"(Allen, 1957; Hooper, 1962; Winfield and Cooke, 1975)","previouslyFormattedCitation":"(Allen, 1957; Hooper, 1962; Winfield and Cooke, 1975)"},"properties":{"noteIndex":0},"schema":"https://github.com/citation-style-language/schema/raw/master/csl-citation.json"}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(Allen, 1957; Hooper, 1962; Winfield and Cooke, 1975)</w:t>
      </w:r>
      <w:r w:rsidRPr="002B3D8A">
        <w:rPr>
          <w:rFonts w:ascii="Arial" w:eastAsia="Calibri" w:hAnsi="Arial" w:cs="Arial"/>
          <w:color w:val="000000" w:themeColor="text1"/>
          <w:sz w:val="24"/>
          <w:szCs w:val="24"/>
        </w:rPr>
        <w:fldChar w:fldCharType="end"/>
      </w:r>
      <w:r w:rsidRPr="002B3D8A">
        <w:rPr>
          <w:rFonts w:ascii="Arial" w:eastAsia="Calibri" w:hAnsi="Arial" w:cs="Arial"/>
          <w:i/>
          <w:color w:val="000000" w:themeColor="text1"/>
          <w:sz w:val="24"/>
          <w:szCs w:val="24"/>
        </w:rPr>
        <w:t xml:space="preserve">.T.cylindricus </w:t>
      </w:r>
      <w:r w:rsidRPr="002B3D8A">
        <w:rPr>
          <w:rFonts w:ascii="Arial" w:eastAsia="Calibri" w:hAnsi="Arial" w:cs="Arial"/>
          <w:color w:val="000000" w:themeColor="text1"/>
          <w:sz w:val="24"/>
          <w:szCs w:val="24"/>
        </w:rPr>
        <w:t>has also</w:t>
      </w:r>
      <w:r w:rsidRPr="002B3D8A">
        <w:rPr>
          <w:rFonts w:ascii="Arial" w:eastAsia="Calibri" w:hAnsi="Arial" w:cs="Arial"/>
          <w:i/>
          <w:color w:val="000000" w:themeColor="text1"/>
          <w:sz w:val="24"/>
          <w:szCs w:val="24"/>
        </w:rPr>
        <w:t xml:space="preserve"> </w:t>
      </w:r>
      <w:r w:rsidRPr="002B3D8A">
        <w:rPr>
          <w:rFonts w:ascii="Arial" w:eastAsia="Calibri" w:hAnsi="Arial" w:cs="Arial"/>
          <w:color w:val="000000" w:themeColor="text1"/>
          <w:sz w:val="24"/>
          <w:szCs w:val="24"/>
        </w:rPr>
        <w:t>been found</w:t>
      </w:r>
      <w:r w:rsidR="000B4EA0">
        <w:rPr>
          <w:rFonts w:ascii="Arial" w:eastAsia="Calibri" w:hAnsi="Arial" w:cs="Arial"/>
          <w:color w:val="000000" w:themeColor="text1"/>
          <w:sz w:val="24"/>
          <w:szCs w:val="24"/>
        </w:rPr>
        <w:t xml:space="preserve"> </w:t>
      </w:r>
      <w:r w:rsidR="000B4EA0" w:rsidRPr="002B3D8A">
        <w:rPr>
          <w:rFonts w:ascii="Arial" w:eastAsia="Calibri" w:hAnsi="Arial" w:cs="Arial"/>
          <w:color w:val="000000" w:themeColor="text1"/>
          <w:sz w:val="24"/>
          <w:szCs w:val="24"/>
        </w:rPr>
        <w:t>occurring together with</w:t>
      </w:r>
      <w:r w:rsidR="000B4EA0" w:rsidRPr="002B3D8A">
        <w:rPr>
          <w:rFonts w:ascii="Arial" w:eastAsia="Calibri" w:hAnsi="Arial" w:cs="Arial"/>
          <w:i/>
          <w:color w:val="000000" w:themeColor="text1"/>
          <w:sz w:val="24"/>
          <w:szCs w:val="24"/>
        </w:rPr>
        <w:t xml:space="preserve"> Trichodorus teres</w:t>
      </w:r>
      <w:r w:rsidR="000B4EA0">
        <w:rPr>
          <w:rFonts w:ascii="Arial" w:eastAsia="Calibri" w:hAnsi="Arial" w:cs="Arial"/>
          <w:color w:val="000000" w:themeColor="text1"/>
          <w:sz w:val="24"/>
          <w:szCs w:val="24"/>
        </w:rPr>
        <w:t xml:space="preserve"> at a site</w:t>
      </w:r>
      <w:r w:rsidRPr="002B3D8A">
        <w:rPr>
          <w:rFonts w:ascii="Arial" w:eastAsia="Calibri" w:hAnsi="Arial" w:cs="Arial"/>
          <w:color w:val="000000" w:themeColor="text1"/>
          <w:sz w:val="24"/>
          <w:szCs w:val="24"/>
        </w:rPr>
        <w:t xml:space="preserve"> in Norwich</w:t>
      </w:r>
      <w:r w:rsidR="00B84B41" w:rsidRPr="002B3D8A">
        <w:rPr>
          <w:rFonts w:ascii="Arial" w:eastAsia="Calibri" w:hAnsi="Arial" w:cs="Arial"/>
          <w:i/>
          <w:color w:val="000000" w:themeColor="text1"/>
          <w:sz w:val="24"/>
          <w:szCs w:val="24"/>
        </w:rPr>
        <w:t xml:space="preserve">. </w:t>
      </w:r>
      <w:r w:rsidRPr="002B3D8A">
        <w:rPr>
          <w:rFonts w:ascii="Arial" w:eastAsia="Calibri" w:hAnsi="Arial" w:cs="Arial"/>
          <w:color w:val="000000" w:themeColor="text1"/>
          <w:sz w:val="24"/>
          <w:szCs w:val="24"/>
        </w:rPr>
        <w:t xml:space="preserve">Males of </w:t>
      </w:r>
      <w:r w:rsidRPr="002B3D8A">
        <w:rPr>
          <w:rFonts w:ascii="Arial" w:eastAsia="Calibri" w:hAnsi="Arial" w:cs="Arial"/>
          <w:i/>
          <w:color w:val="000000" w:themeColor="text1"/>
          <w:sz w:val="24"/>
          <w:szCs w:val="24"/>
        </w:rPr>
        <w:t>T.cylindricus</w:t>
      </w:r>
      <w:r w:rsidRPr="002B3D8A">
        <w:rPr>
          <w:rFonts w:ascii="Arial" w:eastAsia="Calibri" w:hAnsi="Arial" w:cs="Arial"/>
          <w:color w:val="000000" w:themeColor="text1"/>
          <w:sz w:val="24"/>
          <w:szCs w:val="24"/>
        </w:rPr>
        <w:t xml:space="preserve"> are differentiated from </w:t>
      </w:r>
      <w:r w:rsidRPr="002B3D8A">
        <w:rPr>
          <w:rFonts w:ascii="Arial" w:eastAsia="Calibri" w:hAnsi="Arial" w:cs="Arial"/>
          <w:i/>
          <w:color w:val="000000" w:themeColor="text1"/>
          <w:sz w:val="24"/>
          <w:szCs w:val="24"/>
        </w:rPr>
        <w:t>T.primitivus</w:t>
      </w:r>
      <w:r w:rsidRPr="002B3D8A">
        <w:rPr>
          <w:rFonts w:ascii="Arial" w:eastAsia="Calibri" w:hAnsi="Arial" w:cs="Arial"/>
          <w:color w:val="000000" w:themeColor="text1"/>
          <w:sz w:val="24"/>
          <w:szCs w:val="24"/>
        </w:rPr>
        <w:t xml:space="preserve"> by the presence of caudal alae, striated spicules and difference in shape of the spicule and the gubernaculum The females are distinguished from </w:t>
      </w:r>
      <w:r w:rsidRPr="002B3D8A">
        <w:rPr>
          <w:rFonts w:ascii="Arial" w:eastAsia="Calibri" w:hAnsi="Arial" w:cs="Arial"/>
          <w:i/>
          <w:color w:val="000000" w:themeColor="text1"/>
          <w:sz w:val="24"/>
          <w:szCs w:val="24"/>
        </w:rPr>
        <w:t>T.primitivus</w:t>
      </w:r>
      <w:r w:rsidRPr="002B3D8A">
        <w:rPr>
          <w:rFonts w:ascii="Arial" w:eastAsia="Calibri" w:hAnsi="Arial" w:cs="Arial"/>
          <w:color w:val="000000" w:themeColor="text1"/>
          <w:sz w:val="24"/>
          <w:szCs w:val="24"/>
        </w:rPr>
        <w:t xml:space="preserve"> by shape of the vagina and cutinized pieces surrounding the vulva, and one pair of lateral hypodermal pores </w:t>
      </w:r>
      <w:r w:rsidRPr="002B3D8A">
        <w:rPr>
          <w:rFonts w:ascii="Arial" w:eastAsia="Calibri" w:hAnsi="Arial" w:cs="Arial"/>
          <w:color w:val="000000" w:themeColor="text1"/>
          <w:sz w:val="24"/>
          <w:szCs w:val="24"/>
        </w:rPr>
        <w:fldChar w:fldCharType="begin" w:fldLock="1"/>
      </w:r>
      <w:r w:rsidRPr="002B3D8A">
        <w:rPr>
          <w:rFonts w:ascii="Arial" w:eastAsia="Calibri" w:hAnsi="Arial" w:cs="Arial"/>
          <w:color w:val="000000" w:themeColor="text1"/>
          <w:sz w:val="24"/>
          <w:szCs w:val="24"/>
        </w:rPr>
        <w:instrText>ADDIN CSL_CITATION {"citationItems":[{"id":"ITEM-1","itemData":{"DOI":"10.1163/187529262X00567","ISSN":"00282596","abstract":"Trichodorus cylindricus n. sp., ♀ &amp; ♂ and T. teres n. sp., ♀, are described from light sandy English soils. T. borneoensis n. sp., ♀ &amp; ♂, was found associated with roots of Manila hemp from North Borneo. The original description of T. minor Colbran, 1956 is amplified using specimens associated with sugar cane roots from Queensland, Australia. © 1962 BRILL.","author":[{"dropping-particle":"","family":"Hooper","given":"David J.","non-dropping-particle":"","parse-names":false,"suffix":""}],"container-title":"Nematologica","id":"ITEM-1","issue":"4","issued":{"date-parts":[["1962"]]},"page":"273-280","publisher":"Brill Academic Publishers","title":"Three new species of trichodorus (Nematoda: Dorylaimoidea) and observations on t. minor colbran, 1956","type":"article-journal","volume":"7"},"uris":["http://www.mendeley.com/documents/?uuid=0230169c-172a-3269-9ff5-da61ebd5a04b"]}],"mendeley":{"formattedCitation":"(Hooper, 1962)","plainTextFormattedCitation":"(Hooper, 1962)","previouslyFormattedCitation":"(Hooper, 1962)"},"properties":{"noteIndex":0},"schema":"https://github.com/citation-style-language/schema/raw/master/csl-citation.json"}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Pr="002B3D8A">
        <w:rPr>
          <w:rFonts w:ascii="Arial" w:eastAsia="Calibri" w:hAnsi="Arial" w:cs="Arial"/>
          <w:noProof/>
          <w:color w:val="000000" w:themeColor="text1"/>
          <w:sz w:val="24"/>
          <w:szCs w:val="24"/>
        </w:rPr>
        <w:t>(Hooper, 1962)</w:t>
      </w:r>
      <w:r w:rsidRPr="002B3D8A">
        <w:rPr>
          <w:rFonts w:ascii="Arial" w:eastAsia="Calibri" w:hAnsi="Arial" w:cs="Arial"/>
          <w:color w:val="000000" w:themeColor="text1"/>
          <w:sz w:val="24"/>
          <w:szCs w:val="24"/>
        </w:rPr>
        <w:fldChar w:fldCharType="end"/>
      </w:r>
    </w:p>
    <w:p w14:paraId="57017DF4" w14:textId="11D7EE2D" w:rsidR="000C38A4" w:rsidRPr="0063623D" w:rsidRDefault="000C38A4" w:rsidP="00616CDC">
      <w:pPr>
        <w:spacing w:line="360" w:lineRule="auto"/>
        <w:ind w:left="-284"/>
        <w:contextualSpacing/>
        <w:jc w:val="both"/>
        <w:rPr>
          <w:rFonts w:ascii="Arial" w:eastAsia="Calibri" w:hAnsi="Arial" w:cs="Arial"/>
          <w:b/>
          <w:i/>
          <w:color w:val="000000" w:themeColor="text1"/>
          <w:sz w:val="24"/>
          <w:szCs w:val="24"/>
        </w:rPr>
      </w:pPr>
      <w:r w:rsidRPr="0063623D">
        <w:rPr>
          <w:rFonts w:ascii="Arial" w:eastAsia="Calibri" w:hAnsi="Arial" w:cs="Arial"/>
          <w:b/>
          <w:i/>
          <w:color w:val="000000" w:themeColor="text1"/>
          <w:sz w:val="24"/>
          <w:szCs w:val="24"/>
        </w:rPr>
        <w:t xml:space="preserve">Trichodorus teres </w:t>
      </w:r>
    </w:p>
    <w:p w14:paraId="73A49252" w14:textId="49ACAED4" w:rsidR="008C392A" w:rsidRPr="002B3D8A" w:rsidRDefault="000C38A4" w:rsidP="00487AD5">
      <w:pPr>
        <w:spacing w:line="360" w:lineRule="auto"/>
        <w:ind w:left="-284"/>
        <w:contextualSpacing/>
        <w:jc w:val="both"/>
        <w:rPr>
          <w:rFonts w:ascii="Arial" w:eastAsia="Calibri" w:hAnsi="Arial" w:cs="Arial"/>
          <w:color w:val="000000" w:themeColor="text1"/>
          <w:sz w:val="24"/>
          <w:szCs w:val="24"/>
        </w:rPr>
      </w:pPr>
      <w:r w:rsidRPr="002B3D8A">
        <w:rPr>
          <w:rFonts w:ascii="Arial" w:eastAsia="Calibri" w:hAnsi="Arial" w:cs="Arial"/>
          <w:i/>
          <w:color w:val="000000" w:themeColor="text1"/>
          <w:sz w:val="24"/>
          <w:szCs w:val="24"/>
        </w:rPr>
        <w:t>T. teres</w:t>
      </w:r>
      <w:r w:rsidRPr="002B3D8A">
        <w:rPr>
          <w:rFonts w:ascii="Arial" w:eastAsia="Calibri" w:hAnsi="Arial" w:cs="Arial"/>
          <w:color w:val="000000" w:themeColor="text1"/>
          <w:sz w:val="24"/>
          <w:szCs w:val="24"/>
        </w:rPr>
        <w:t xml:space="preserve"> is closest to </w:t>
      </w:r>
      <w:r w:rsidRPr="002B3D8A">
        <w:rPr>
          <w:rFonts w:ascii="Arial" w:eastAsia="Calibri" w:hAnsi="Arial" w:cs="Arial"/>
          <w:i/>
          <w:color w:val="000000" w:themeColor="text1"/>
          <w:sz w:val="24"/>
          <w:szCs w:val="24"/>
        </w:rPr>
        <w:t xml:space="preserve">Trichodorus minor </w:t>
      </w:r>
      <w:r w:rsidRPr="002B3D8A">
        <w:rPr>
          <w:rFonts w:ascii="Arial" w:eastAsia="Calibri" w:hAnsi="Arial" w:cs="Arial"/>
          <w:color w:val="000000" w:themeColor="text1"/>
          <w:sz w:val="24"/>
          <w:szCs w:val="24"/>
        </w:rPr>
        <w:t xml:space="preserve">Colbran 1956 and </w:t>
      </w:r>
      <w:r w:rsidRPr="002B3D8A">
        <w:rPr>
          <w:rFonts w:ascii="Arial" w:eastAsia="Calibri" w:hAnsi="Arial" w:cs="Arial"/>
          <w:i/>
          <w:color w:val="000000" w:themeColor="text1"/>
          <w:sz w:val="24"/>
          <w:szCs w:val="24"/>
        </w:rPr>
        <w:t xml:space="preserve">Trichodorus christie </w:t>
      </w:r>
      <w:r w:rsidRPr="002B3D8A">
        <w:rPr>
          <w:rFonts w:ascii="Arial" w:eastAsia="Calibri" w:hAnsi="Arial" w:cs="Arial"/>
          <w:color w:val="000000" w:themeColor="text1"/>
          <w:sz w:val="24"/>
          <w:szCs w:val="24"/>
        </w:rPr>
        <w:t xml:space="preserve">Allen,1957. These three species are easily distinguished by pronounced ventral overlap of the oesophagus over the intestine. </w:t>
      </w:r>
      <w:r w:rsidRPr="002B3D8A">
        <w:rPr>
          <w:rFonts w:ascii="Arial" w:eastAsia="Calibri" w:hAnsi="Arial" w:cs="Arial"/>
          <w:i/>
          <w:color w:val="000000" w:themeColor="text1"/>
          <w:sz w:val="24"/>
          <w:szCs w:val="24"/>
        </w:rPr>
        <w:t>T.</w:t>
      </w:r>
      <w:r w:rsidR="00B84B41" w:rsidRPr="002B3D8A">
        <w:rPr>
          <w:rFonts w:ascii="Arial" w:eastAsia="Calibri" w:hAnsi="Arial" w:cs="Arial"/>
          <w:i/>
          <w:color w:val="000000" w:themeColor="text1"/>
          <w:sz w:val="24"/>
          <w:szCs w:val="24"/>
        </w:rPr>
        <w:t xml:space="preserve"> </w:t>
      </w:r>
      <w:r w:rsidRPr="002B3D8A">
        <w:rPr>
          <w:rFonts w:ascii="Arial" w:eastAsia="Calibri" w:hAnsi="Arial" w:cs="Arial"/>
          <w:i/>
          <w:color w:val="000000" w:themeColor="text1"/>
          <w:sz w:val="24"/>
          <w:szCs w:val="24"/>
        </w:rPr>
        <w:t xml:space="preserve">teres </w:t>
      </w:r>
      <w:r w:rsidRPr="002B3D8A">
        <w:rPr>
          <w:rFonts w:ascii="Arial" w:eastAsia="Calibri" w:hAnsi="Arial" w:cs="Arial"/>
          <w:color w:val="000000" w:themeColor="text1"/>
          <w:sz w:val="24"/>
          <w:szCs w:val="24"/>
        </w:rPr>
        <w:t>differs from these two species by four morphological traits which are: longer body and onchiostyle, shape of vulva, which is a longitudinal slit, difference in shape of vagina and cutinized pieces surrounding the vulva in lateral view and position of the excretory pore</w:t>
      </w:r>
      <w:r w:rsidR="00144691">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which is more anterior </w:t>
      </w:r>
      <w:r w:rsidRPr="002B3D8A">
        <w:rPr>
          <w:rFonts w:ascii="Arial" w:eastAsia="Calibri" w:hAnsi="Arial" w:cs="Arial"/>
          <w:color w:val="000000" w:themeColor="text1"/>
          <w:sz w:val="24"/>
          <w:szCs w:val="24"/>
        </w:rPr>
        <w:fldChar w:fldCharType="begin" w:fldLock="1"/>
      </w:r>
      <w:r w:rsidRPr="002B3D8A">
        <w:rPr>
          <w:rFonts w:ascii="Arial" w:eastAsia="Calibri" w:hAnsi="Arial" w:cs="Arial"/>
          <w:color w:val="000000" w:themeColor="text1"/>
          <w:sz w:val="24"/>
          <w:szCs w:val="24"/>
        </w:rPr>
        <w:instrText>ADDIN CSL_CITATION {"citationItems":[{"id":"ITEM-1","itemData":{"DOI":"10.1163/187529262X00567","ISSN":"00282596","abstract":"Trichodorus cylindricus n. sp., ♀ &amp; ♂ and T. teres n. sp., ♀, are described from light sandy English soils. T. borneoensis n. sp., ♀ &amp; ♂, was found associated with roots of Manila hemp from North Borneo. The original description of T. minor Colbran, 1956 is amplified using specimens associated with sugar cane roots from Queensland, Australia. © 1962 BRILL.","author":[{"dropping-particle":"","family":"Hooper","given":"David J.","non-dropping-particle":"","parse-names":false,"suffix":""}],"container-title":"Nematologica","id":"ITEM-1","issue":"4","issued":{"date-parts":[["1962"]]},"page":"273-280","publisher":"Brill Academic Publishers","title":"Three new species of trichodorus (Nematoda: Dorylaimoidea) and observations on t. minor colbran, 1956","type":"article-journal","volume":"7"},"uris":["http://www.mendeley.com/documents/?uuid=0230169c-172a-3269-9ff5-da61ebd5a04b"]}],"mendeley":{"formattedCitation":"(Hooper, 1962)","plainTextFormattedCitation":"(Hooper, 1962)","previouslyFormattedCitation":"(Hooper, 1962)"},"properties":{"noteIndex":0},"schema":"https://github.com/citation-style-language/schema/raw/master/csl-citation.json"}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Pr="002B3D8A">
        <w:rPr>
          <w:rFonts w:ascii="Arial" w:eastAsia="Calibri" w:hAnsi="Arial" w:cs="Arial"/>
          <w:noProof/>
          <w:color w:val="000000" w:themeColor="text1"/>
          <w:sz w:val="24"/>
          <w:szCs w:val="24"/>
        </w:rPr>
        <w:t>(Hooper, 1962)</w:t>
      </w:r>
      <w:r w:rsidRPr="002B3D8A">
        <w:rPr>
          <w:rFonts w:ascii="Arial" w:eastAsia="Calibri" w:hAnsi="Arial" w:cs="Arial"/>
          <w:color w:val="000000" w:themeColor="text1"/>
          <w:sz w:val="24"/>
          <w:szCs w:val="24"/>
        </w:rPr>
        <w:fldChar w:fldCharType="end"/>
      </w:r>
    </w:p>
    <w:p w14:paraId="6C308936" w14:textId="77777777" w:rsidR="008C392A" w:rsidRDefault="008C392A" w:rsidP="008C392A">
      <w:pPr>
        <w:spacing w:line="360" w:lineRule="auto"/>
        <w:ind w:left="-284"/>
        <w:contextualSpacing/>
        <w:jc w:val="both"/>
        <w:rPr>
          <w:rFonts w:ascii="Arial" w:eastAsia="Calibri" w:hAnsi="Arial" w:cs="Arial"/>
          <w:b/>
          <w:i/>
          <w:color w:val="000000" w:themeColor="text1"/>
          <w:sz w:val="24"/>
          <w:szCs w:val="24"/>
        </w:rPr>
      </w:pPr>
    </w:p>
    <w:p w14:paraId="04805290" w14:textId="067C5E0B" w:rsidR="00791A9B" w:rsidRDefault="000C38A4" w:rsidP="00616CDC">
      <w:pPr>
        <w:spacing w:line="360" w:lineRule="auto"/>
        <w:ind w:left="-284"/>
        <w:contextualSpacing/>
        <w:jc w:val="both"/>
        <w:rPr>
          <w:rFonts w:ascii="Arial" w:eastAsia="Calibri" w:hAnsi="Arial" w:cs="Arial"/>
          <w:b/>
          <w:i/>
          <w:color w:val="000000" w:themeColor="text1"/>
          <w:sz w:val="24"/>
          <w:szCs w:val="24"/>
        </w:rPr>
      </w:pPr>
      <w:r w:rsidRPr="0063623D">
        <w:rPr>
          <w:rFonts w:ascii="Arial" w:eastAsia="Calibri" w:hAnsi="Arial" w:cs="Arial"/>
          <w:b/>
          <w:i/>
          <w:color w:val="000000" w:themeColor="text1"/>
          <w:sz w:val="24"/>
          <w:szCs w:val="24"/>
        </w:rPr>
        <w:lastRenderedPageBreak/>
        <w:t xml:space="preserve">Trichodorus viruliferous </w:t>
      </w:r>
    </w:p>
    <w:p w14:paraId="409DF3D3" w14:textId="2DC03FE4" w:rsidR="008C392A" w:rsidRPr="00791A9B" w:rsidRDefault="00A228E6" w:rsidP="00487AD5">
      <w:pPr>
        <w:spacing w:line="360" w:lineRule="auto"/>
        <w:ind w:left="-284"/>
        <w:jc w:val="both"/>
        <w:rPr>
          <w:rFonts w:ascii="Arial" w:eastAsia="Calibri" w:hAnsi="Arial" w:cs="Arial"/>
          <w:b/>
          <w:i/>
          <w:color w:val="000000" w:themeColor="text1"/>
          <w:sz w:val="24"/>
          <w:szCs w:val="24"/>
        </w:rPr>
      </w:pPr>
      <w:r w:rsidRPr="005453EA">
        <w:rPr>
          <w:rFonts w:ascii="Arial" w:eastAsia="Calibri" w:hAnsi="Arial" w:cs="Arial"/>
          <w:i/>
          <w:color w:val="000000" w:themeColor="text1"/>
          <w:sz w:val="24"/>
          <w:szCs w:val="24"/>
        </w:rPr>
        <w:t>Trichodorus viruliferous</w:t>
      </w:r>
      <w:r w:rsidRPr="00A228E6">
        <w:rPr>
          <w:rFonts w:ascii="Arial" w:eastAsia="Calibri" w:hAnsi="Arial" w:cs="Arial"/>
          <w:color w:val="000000" w:themeColor="text1"/>
          <w:sz w:val="24"/>
          <w:szCs w:val="24"/>
        </w:rPr>
        <w:t xml:space="preserve"> </w:t>
      </w:r>
      <w:r w:rsidR="009E64F4">
        <w:rPr>
          <w:rFonts w:ascii="Arial" w:eastAsia="Calibri" w:hAnsi="Arial" w:cs="Arial"/>
          <w:color w:val="000000" w:themeColor="text1"/>
          <w:sz w:val="24"/>
          <w:szCs w:val="24"/>
        </w:rPr>
        <w:t>r</w:t>
      </w:r>
      <w:r>
        <w:rPr>
          <w:rFonts w:ascii="Arial" w:eastAsia="Calibri" w:hAnsi="Arial" w:cs="Arial"/>
          <w:color w:val="000000" w:themeColor="text1"/>
          <w:sz w:val="24"/>
          <w:szCs w:val="24"/>
        </w:rPr>
        <w:t xml:space="preserve">eproduction is </w:t>
      </w:r>
      <w:r w:rsidR="00B84B41" w:rsidRPr="002B3D8A">
        <w:rPr>
          <w:rFonts w:ascii="Arial" w:eastAsia="Calibri" w:hAnsi="Arial" w:cs="Arial"/>
          <w:color w:val="000000" w:themeColor="text1"/>
          <w:sz w:val="24"/>
          <w:szCs w:val="24"/>
        </w:rPr>
        <w:t>a</w:t>
      </w:r>
      <w:r w:rsidR="000C38A4" w:rsidRPr="002B3D8A">
        <w:rPr>
          <w:rFonts w:ascii="Arial" w:eastAsia="Calibri" w:hAnsi="Arial" w:cs="Arial"/>
          <w:color w:val="000000" w:themeColor="text1"/>
          <w:sz w:val="24"/>
          <w:szCs w:val="24"/>
        </w:rPr>
        <w:t xml:space="preserve">mphimitic </w:t>
      </w:r>
      <w:r>
        <w:rPr>
          <w:rFonts w:ascii="Arial" w:eastAsia="Calibri" w:hAnsi="Arial" w:cs="Arial"/>
          <w:color w:val="000000" w:themeColor="text1"/>
          <w:sz w:val="24"/>
          <w:szCs w:val="24"/>
        </w:rPr>
        <w:t xml:space="preserve">with males being </w:t>
      </w:r>
      <w:r w:rsidR="000C38A4" w:rsidRPr="002B3D8A">
        <w:rPr>
          <w:rFonts w:ascii="Arial" w:eastAsia="Calibri" w:hAnsi="Arial" w:cs="Arial"/>
          <w:color w:val="000000" w:themeColor="text1"/>
          <w:sz w:val="24"/>
          <w:szCs w:val="24"/>
        </w:rPr>
        <w:t>abundant</w:t>
      </w:r>
      <w:r w:rsidR="00B84B41" w:rsidRPr="002B3D8A">
        <w:rPr>
          <w:rFonts w:ascii="Arial" w:eastAsia="Calibri" w:hAnsi="Arial" w:cs="Arial"/>
          <w:color w:val="000000" w:themeColor="text1"/>
          <w:sz w:val="24"/>
          <w:szCs w:val="24"/>
        </w:rPr>
        <w:t>.</w:t>
      </w:r>
      <w:r>
        <w:rPr>
          <w:rFonts w:ascii="Arial" w:eastAsia="Calibri" w:hAnsi="Arial" w:cs="Arial"/>
          <w:color w:val="000000" w:themeColor="text1"/>
          <w:sz w:val="24"/>
          <w:szCs w:val="24"/>
        </w:rPr>
        <w:t xml:space="preserve"> </w:t>
      </w:r>
      <w:r w:rsidR="000C38A4" w:rsidRPr="002B3D8A">
        <w:rPr>
          <w:rFonts w:ascii="Arial" w:eastAsia="Calibri" w:hAnsi="Arial" w:cs="Arial"/>
          <w:i/>
          <w:color w:val="000000" w:themeColor="text1"/>
          <w:sz w:val="24"/>
          <w:szCs w:val="24"/>
        </w:rPr>
        <w:t xml:space="preserve">T. viruliferous </w:t>
      </w:r>
      <w:r w:rsidR="000C38A4" w:rsidRPr="002B3D8A">
        <w:rPr>
          <w:rFonts w:ascii="Arial" w:eastAsia="Calibri" w:hAnsi="Arial" w:cs="Arial"/>
          <w:color w:val="000000" w:themeColor="text1"/>
          <w:sz w:val="24"/>
          <w:szCs w:val="24"/>
        </w:rPr>
        <w:t>is closest</w:t>
      </w:r>
      <w:r>
        <w:rPr>
          <w:rFonts w:ascii="Arial" w:eastAsia="Calibri" w:hAnsi="Arial" w:cs="Arial"/>
          <w:color w:val="000000" w:themeColor="text1"/>
          <w:sz w:val="24"/>
          <w:szCs w:val="24"/>
        </w:rPr>
        <w:t xml:space="preserve"> morphologically</w:t>
      </w:r>
      <w:r w:rsidR="000C38A4" w:rsidRPr="002B3D8A">
        <w:rPr>
          <w:rFonts w:ascii="Arial" w:eastAsia="Calibri" w:hAnsi="Arial" w:cs="Arial"/>
          <w:color w:val="000000" w:themeColor="text1"/>
          <w:sz w:val="24"/>
          <w:szCs w:val="24"/>
        </w:rPr>
        <w:t xml:space="preserve"> to</w:t>
      </w:r>
      <w:r w:rsidR="000C38A4" w:rsidRPr="002B3D8A">
        <w:rPr>
          <w:rFonts w:ascii="Arial" w:eastAsia="Calibri" w:hAnsi="Arial" w:cs="Arial"/>
          <w:i/>
          <w:color w:val="000000" w:themeColor="text1"/>
          <w:sz w:val="24"/>
          <w:szCs w:val="24"/>
        </w:rPr>
        <w:t xml:space="preserve"> </w:t>
      </w:r>
      <w:bookmarkStart w:id="10" w:name="_Hlk83203024"/>
      <w:r w:rsidR="000C38A4" w:rsidRPr="002B3D8A">
        <w:rPr>
          <w:rFonts w:ascii="Arial" w:eastAsia="Calibri" w:hAnsi="Arial" w:cs="Arial"/>
          <w:i/>
          <w:color w:val="000000" w:themeColor="text1"/>
          <w:sz w:val="24"/>
          <w:szCs w:val="24"/>
        </w:rPr>
        <w:t xml:space="preserve">T. primitivus </w:t>
      </w:r>
      <w:r w:rsidR="000C38A4" w:rsidRPr="002B3D8A">
        <w:rPr>
          <w:rFonts w:ascii="Arial" w:eastAsia="Calibri" w:hAnsi="Arial" w:cs="Arial"/>
          <w:color w:val="000000" w:themeColor="text1"/>
          <w:sz w:val="24"/>
          <w:szCs w:val="24"/>
        </w:rPr>
        <w:t xml:space="preserve">(de Man, 1880) and </w:t>
      </w:r>
      <w:r w:rsidR="000C38A4" w:rsidRPr="002B3D8A">
        <w:rPr>
          <w:rFonts w:ascii="Arial" w:eastAsia="Calibri" w:hAnsi="Arial" w:cs="Arial"/>
          <w:i/>
          <w:color w:val="000000" w:themeColor="text1"/>
          <w:sz w:val="24"/>
          <w:szCs w:val="24"/>
        </w:rPr>
        <w:t>T. similis</w:t>
      </w:r>
      <w:r w:rsidR="000C38A4" w:rsidRPr="002B3D8A">
        <w:rPr>
          <w:rFonts w:ascii="Arial" w:eastAsia="Calibri" w:hAnsi="Arial" w:cs="Arial"/>
          <w:color w:val="000000" w:themeColor="text1"/>
          <w:sz w:val="24"/>
          <w:szCs w:val="24"/>
        </w:rPr>
        <w:t xml:space="preserve"> </w:t>
      </w:r>
      <w:bookmarkEnd w:id="10"/>
      <w:r>
        <w:rPr>
          <w:rFonts w:ascii="Arial" w:eastAsia="Calibri" w:hAnsi="Arial" w:cs="Arial"/>
          <w:color w:val="000000" w:themeColor="text1"/>
          <w:sz w:val="24"/>
          <w:szCs w:val="24"/>
        </w:rPr>
        <w:t>(</w:t>
      </w:r>
      <w:r w:rsidR="000C38A4" w:rsidRPr="002B3D8A">
        <w:rPr>
          <w:rFonts w:ascii="Arial" w:eastAsia="Calibri" w:hAnsi="Arial" w:cs="Arial"/>
          <w:color w:val="000000" w:themeColor="text1"/>
          <w:sz w:val="24"/>
          <w:szCs w:val="24"/>
        </w:rPr>
        <w:t>Seinhorst, 1963</w:t>
      </w:r>
      <w:r>
        <w:rPr>
          <w:rFonts w:ascii="Arial" w:eastAsia="Calibri" w:hAnsi="Arial" w:cs="Arial"/>
          <w:color w:val="000000" w:themeColor="text1"/>
          <w:sz w:val="24"/>
          <w:szCs w:val="24"/>
        </w:rPr>
        <w:t>);</w:t>
      </w:r>
      <w:r w:rsidR="000C38A4" w:rsidRPr="002B3D8A">
        <w:rPr>
          <w:rFonts w:ascii="Arial" w:eastAsia="Calibri" w:hAnsi="Arial" w:cs="Arial"/>
          <w:color w:val="000000" w:themeColor="text1"/>
          <w:sz w:val="24"/>
          <w:szCs w:val="24"/>
        </w:rPr>
        <w:t xml:space="preserve"> it has three ventral cervical papillae anterior to the excretory pore and three ventral tail end supplements but no bursa. </w:t>
      </w:r>
      <w:r w:rsidR="000C38A4" w:rsidRPr="002B3D8A">
        <w:rPr>
          <w:rFonts w:ascii="Arial" w:eastAsia="Calibri" w:hAnsi="Arial" w:cs="Arial"/>
          <w:i/>
          <w:color w:val="000000" w:themeColor="text1"/>
          <w:sz w:val="24"/>
          <w:szCs w:val="24"/>
        </w:rPr>
        <w:t>T. viruliferous</w:t>
      </w:r>
      <w:r w:rsidR="000C38A4" w:rsidRPr="002B3D8A">
        <w:rPr>
          <w:rFonts w:ascii="Arial" w:eastAsia="Calibri" w:hAnsi="Arial" w:cs="Arial"/>
          <w:color w:val="000000" w:themeColor="text1"/>
          <w:sz w:val="24"/>
          <w:szCs w:val="24"/>
        </w:rPr>
        <w:t xml:space="preserve"> is distinguished from </w:t>
      </w:r>
      <w:r w:rsidRPr="002B3D8A">
        <w:rPr>
          <w:rFonts w:ascii="Arial" w:eastAsia="Calibri" w:hAnsi="Arial" w:cs="Arial"/>
          <w:i/>
          <w:color w:val="000000" w:themeColor="text1"/>
          <w:sz w:val="24"/>
          <w:szCs w:val="24"/>
        </w:rPr>
        <w:t xml:space="preserve">T. primitivus </w:t>
      </w:r>
      <w:r w:rsidRPr="002B3D8A">
        <w:rPr>
          <w:rFonts w:ascii="Arial" w:eastAsia="Calibri" w:hAnsi="Arial" w:cs="Arial"/>
          <w:color w:val="000000" w:themeColor="text1"/>
          <w:sz w:val="24"/>
          <w:szCs w:val="24"/>
        </w:rPr>
        <w:t xml:space="preserve">and </w:t>
      </w:r>
      <w:r w:rsidRPr="002B3D8A">
        <w:rPr>
          <w:rFonts w:ascii="Arial" w:eastAsia="Calibri" w:hAnsi="Arial" w:cs="Arial"/>
          <w:i/>
          <w:color w:val="000000" w:themeColor="text1"/>
          <w:sz w:val="24"/>
          <w:szCs w:val="24"/>
        </w:rPr>
        <w:t>T. similis</w:t>
      </w:r>
      <w:r w:rsidRPr="002B3D8A">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through differences in</w:t>
      </w:r>
      <w:r w:rsidRPr="002B3D8A">
        <w:rPr>
          <w:rFonts w:ascii="Arial" w:eastAsia="Calibri" w:hAnsi="Arial" w:cs="Arial"/>
          <w:color w:val="000000" w:themeColor="text1"/>
          <w:sz w:val="24"/>
          <w:szCs w:val="24"/>
        </w:rPr>
        <w:t xml:space="preserve"> </w:t>
      </w:r>
      <w:r w:rsidR="000C38A4" w:rsidRPr="002B3D8A">
        <w:rPr>
          <w:rFonts w:ascii="Arial" w:eastAsia="Calibri" w:hAnsi="Arial" w:cs="Arial"/>
          <w:color w:val="000000" w:themeColor="text1"/>
          <w:sz w:val="24"/>
          <w:szCs w:val="24"/>
        </w:rPr>
        <w:t>spicule</w:t>
      </w:r>
      <w:r>
        <w:rPr>
          <w:rFonts w:ascii="Arial" w:eastAsia="Calibri" w:hAnsi="Arial" w:cs="Arial"/>
          <w:color w:val="000000" w:themeColor="text1"/>
          <w:sz w:val="24"/>
          <w:szCs w:val="24"/>
        </w:rPr>
        <w:t>;</w:t>
      </w:r>
      <w:r w:rsidR="000C38A4" w:rsidRPr="002B3D8A">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 xml:space="preserve">the spicules of </w:t>
      </w:r>
      <w:r w:rsidRPr="005453EA">
        <w:rPr>
          <w:rFonts w:ascii="Arial" w:eastAsia="Calibri" w:hAnsi="Arial" w:cs="Arial"/>
          <w:i/>
          <w:color w:val="000000" w:themeColor="text1"/>
          <w:sz w:val="24"/>
          <w:szCs w:val="24"/>
        </w:rPr>
        <w:t>T.</w:t>
      </w:r>
      <w:r>
        <w:rPr>
          <w:rFonts w:ascii="Arial" w:eastAsia="Calibri" w:hAnsi="Arial" w:cs="Arial"/>
          <w:color w:val="000000" w:themeColor="text1"/>
          <w:sz w:val="24"/>
          <w:szCs w:val="24"/>
        </w:rPr>
        <w:t xml:space="preserve"> </w:t>
      </w:r>
      <w:r w:rsidRPr="005453EA">
        <w:rPr>
          <w:rFonts w:ascii="Arial" w:eastAsia="Calibri" w:hAnsi="Arial" w:cs="Arial"/>
          <w:i/>
          <w:color w:val="000000" w:themeColor="text1"/>
          <w:sz w:val="24"/>
          <w:szCs w:val="24"/>
        </w:rPr>
        <w:t>viruliferous</w:t>
      </w:r>
      <w:r>
        <w:rPr>
          <w:rFonts w:ascii="Arial" w:eastAsia="Calibri" w:hAnsi="Arial" w:cs="Arial"/>
          <w:color w:val="000000" w:themeColor="text1"/>
          <w:sz w:val="24"/>
          <w:szCs w:val="24"/>
        </w:rPr>
        <w:t xml:space="preserve"> have a</w:t>
      </w:r>
      <w:r w:rsidRPr="002B3D8A">
        <w:rPr>
          <w:rFonts w:ascii="Arial" w:eastAsia="Calibri" w:hAnsi="Arial" w:cs="Arial"/>
          <w:color w:val="000000" w:themeColor="text1"/>
          <w:sz w:val="24"/>
          <w:szCs w:val="24"/>
        </w:rPr>
        <w:t xml:space="preserve"> </w:t>
      </w:r>
      <w:r w:rsidR="000C38A4" w:rsidRPr="002B3D8A">
        <w:rPr>
          <w:rFonts w:ascii="Arial" w:eastAsia="Calibri" w:hAnsi="Arial" w:cs="Arial"/>
          <w:color w:val="000000" w:themeColor="text1"/>
          <w:sz w:val="24"/>
          <w:szCs w:val="24"/>
        </w:rPr>
        <w:t>narrow bend halfway its length. The gubernaculum is</w:t>
      </w:r>
      <w:r w:rsidR="0006706D">
        <w:rPr>
          <w:rFonts w:ascii="Arial" w:eastAsia="Calibri" w:hAnsi="Arial" w:cs="Arial"/>
          <w:color w:val="000000" w:themeColor="text1"/>
          <w:sz w:val="24"/>
          <w:szCs w:val="24"/>
        </w:rPr>
        <w:t xml:space="preserve"> similar to</w:t>
      </w:r>
      <w:r w:rsidR="000C38A4" w:rsidRPr="002B3D8A">
        <w:rPr>
          <w:rFonts w:ascii="Arial" w:eastAsia="Calibri" w:hAnsi="Arial" w:cs="Arial"/>
          <w:color w:val="000000" w:themeColor="text1"/>
          <w:sz w:val="24"/>
          <w:szCs w:val="24"/>
        </w:rPr>
        <w:t xml:space="preserve"> that of </w:t>
      </w:r>
      <w:r w:rsidR="000C38A4" w:rsidRPr="002B3D8A">
        <w:rPr>
          <w:rFonts w:ascii="Arial" w:eastAsia="Calibri" w:hAnsi="Arial" w:cs="Arial"/>
          <w:i/>
          <w:color w:val="000000" w:themeColor="text1"/>
          <w:sz w:val="24"/>
          <w:szCs w:val="24"/>
        </w:rPr>
        <w:t>T. similis,</w:t>
      </w:r>
      <w:r w:rsidR="000C38A4" w:rsidRPr="002B3D8A">
        <w:rPr>
          <w:rFonts w:ascii="Arial" w:eastAsia="Calibri" w:hAnsi="Arial" w:cs="Arial"/>
          <w:color w:val="000000" w:themeColor="text1"/>
          <w:sz w:val="24"/>
          <w:szCs w:val="24"/>
        </w:rPr>
        <w:t xml:space="preserve"> but it has a pronounced keel and is longer in proportion to the spicule. The ventral cervical </w:t>
      </w:r>
      <w:r w:rsidR="00CA7B12" w:rsidRPr="002B3D8A">
        <w:rPr>
          <w:rFonts w:ascii="Arial" w:eastAsia="Calibri" w:hAnsi="Arial" w:cs="Arial"/>
          <w:color w:val="000000" w:themeColor="text1"/>
          <w:sz w:val="24"/>
          <w:szCs w:val="24"/>
        </w:rPr>
        <w:t>papillae</w:t>
      </w:r>
      <w:r w:rsidR="000C38A4" w:rsidRPr="002B3D8A">
        <w:rPr>
          <w:rFonts w:ascii="Arial" w:eastAsia="Calibri" w:hAnsi="Arial" w:cs="Arial"/>
          <w:color w:val="000000" w:themeColor="text1"/>
          <w:sz w:val="24"/>
          <w:szCs w:val="24"/>
        </w:rPr>
        <w:t xml:space="preserve"> are equidistant while in the other two species the anterior </w:t>
      </w:r>
      <w:r w:rsidR="00CA7B12" w:rsidRPr="002B3D8A">
        <w:rPr>
          <w:rFonts w:ascii="Arial" w:eastAsia="Calibri" w:hAnsi="Arial" w:cs="Arial"/>
          <w:color w:val="000000" w:themeColor="text1"/>
          <w:sz w:val="24"/>
          <w:szCs w:val="24"/>
        </w:rPr>
        <w:t>papillae</w:t>
      </w:r>
      <w:r w:rsidR="000C38A4" w:rsidRPr="002B3D8A">
        <w:rPr>
          <w:rFonts w:ascii="Arial" w:eastAsia="Calibri" w:hAnsi="Arial" w:cs="Arial"/>
          <w:color w:val="000000" w:themeColor="text1"/>
          <w:sz w:val="24"/>
          <w:szCs w:val="24"/>
        </w:rPr>
        <w:t xml:space="preserve"> </w:t>
      </w:r>
      <w:r w:rsidR="00CA7B12" w:rsidRPr="002B3D8A">
        <w:rPr>
          <w:rFonts w:ascii="Arial" w:eastAsia="Calibri" w:hAnsi="Arial" w:cs="Arial"/>
          <w:color w:val="000000" w:themeColor="text1"/>
          <w:sz w:val="24"/>
          <w:szCs w:val="24"/>
        </w:rPr>
        <w:t>are</w:t>
      </w:r>
      <w:r w:rsidR="000C38A4" w:rsidRPr="002B3D8A">
        <w:rPr>
          <w:rFonts w:ascii="Arial" w:eastAsia="Calibri" w:hAnsi="Arial" w:cs="Arial"/>
          <w:color w:val="000000" w:themeColor="text1"/>
          <w:sz w:val="24"/>
          <w:szCs w:val="24"/>
        </w:rPr>
        <w:t xml:space="preserve"> 1.5 times further from the middle and posterior papillae. The location of the excretory pore is opposite the middle part of the expanded part of the oesophagus as opposed to the two other species where it is positioned at the isthmus. The males and females of </w:t>
      </w:r>
      <w:r w:rsidR="000C38A4" w:rsidRPr="002B3D8A">
        <w:rPr>
          <w:rFonts w:ascii="Arial" w:eastAsia="Calibri" w:hAnsi="Arial" w:cs="Arial"/>
          <w:i/>
          <w:color w:val="000000" w:themeColor="text1"/>
          <w:sz w:val="24"/>
          <w:szCs w:val="24"/>
        </w:rPr>
        <w:t>T.viruliferous</w:t>
      </w:r>
      <w:r w:rsidR="000C38A4" w:rsidRPr="002B3D8A">
        <w:rPr>
          <w:rFonts w:ascii="Arial" w:eastAsia="Calibri" w:hAnsi="Arial" w:cs="Arial"/>
          <w:color w:val="000000" w:themeColor="text1"/>
          <w:sz w:val="24"/>
          <w:szCs w:val="24"/>
        </w:rPr>
        <w:t xml:space="preserve"> have pronounced ventral overlap of the oesophagus over the intestine which distinguished them from </w:t>
      </w:r>
      <w:r w:rsidR="000C38A4" w:rsidRPr="002B3D8A">
        <w:rPr>
          <w:rFonts w:ascii="Arial" w:eastAsia="Calibri" w:hAnsi="Arial" w:cs="Arial"/>
          <w:i/>
          <w:color w:val="000000" w:themeColor="text1"/>
          <w:sz w:val="24"/>
          <w:szCs w:val="24"/>
        </w:rPr>
        <w:t>T.primitivus</w:t>
      </w:r>
      <w:r w:rsidR="000C38A4" w:rsidRPr="002B3D8A">
        <w:rPr>
          <w:rFonts w:ascii="Arial" w:eastAsia="Calibri" w:hAnsi="Arial" w:cs="Arial"/>
          <w:color w:val="000000" w:themeColor="text1"/>
          <w:sz w:val="24"/>
          <w:szCs w:val="24"/>
        </w:rPr>
        <w:t xml:space="preserve"> and </w:t>
      </w:r>
      <w:r w:rsidR="000C38A4" w:rsidRPr="002B3D8A">
        <w:rPr>
          <w:rFonts w:ascii="Arial" w:eastAsia="Calibri" w:hAnsi="Arial" w:cs="Arial"/>
          <w:i/>
          <w:color w:val="000000" w:themeColor="text1"/>
          <w:sz w:val="24"/>
          <w:szCs w:val="24"/>
        </w:rPr>
        <w:t>T.similis .</w:t>
      </w:r>
      <w:r w:rsidR="000C38A4" w:rsidRPr="002B3D8A">
        <w:rPr>
          <w:rFonts w:ascii="Arial" w:eastAsia="Calibri" w:hAnsi="Arial" w:cs="Arial"/>
          <w:color w:val="000000" w:themeColor="text1"/>
          <w:sz w:val="24"/>
          <w:szCs w:val="24"/>
        </w:rPr>
        <w:t>The females also differ by having thickened vulval pieces and different vagina shape.</w:t>
      </w:r>
      <w:r w:rsidR="000C38A4" w:rsidRPr="002B3D8A">
        <w:rPr>
          <w:rFonts w:ascii="Arial" w:eastAsia="Calibri" w:hAnsi="Arial" w:cs="Arial"/>
          <w:color w:val="000000" w:themeColor="text1"/>
          <w:sz w:val="24"/>
          <w:szCs w:val="24"/>
        </w:rPr>
        <w:fldChar w:fldCharType="begin" w:fldLock="1"/>
      </w:r>
      <w:r w:rsidR="000C38A4" w:rsidRPr="002B3D8A">
        <w:rPr>
          <w:rFonts w:ascii="Arial" w:eastAsia="Calibri" w:hAnsi="Arial" w:cs="Arial"/>
          <w:color w:val="000000" w:themeColor="text1"/>
          <w:sz w:val="24"/>
          <w:szCs w:val="24"/>
        </w:rPr>
        <w:instrText>ADDIN CSL_CITATION {"citationItems":[{"id":"ITEM-1","itemData":{"DOI":"10.1163/187529263X00368","ISSN":"00282596","abstract":"Trichodorus viruliferus n. sp., ♂ &amp; ♀, is described from a light sandy English soil. It is close to T. primitivus (de Man 1880) Micoletzky, 1922 and T. similis, Seinhorst, 1963 from which it is distinguished by the shape of the spicules and gubernaculum in the male and the shape, in lateral view, of the cutinized pieces at the vulva and the shape of the vagina in the female. This species transmits a virus resembling pea early browning virus. © 1963 BRILL.","author":[{"dropping-particle":"","family":"Hooper","given":"David J.","non-dropping-particle":"","parse-names":false,"suffix":""}],"container-title":"Nematologica","id":"ITEM-1","issue":"2","issued":{"date-parts":[["1963"]]},"page":"200-204","publisher":"Brill Academic Publishers","title":"Trichodorus viruliferus n. sp. (Nematoda: Dorylaimida)","type":"article-journal","volume":"9"},"uris":["http://www.mendeley.com/documents/?uuid=bdd1954c-e974-3b8e-98e9-bde3a032f359"]}],"mendeley":{"formattedCitation":"(Hooper, 1963)","plainTextFormattedCitation":"(Hooper, 1963)","previouslyFormattedCitation":"(Hooper, 1963)"},"properties":{"noteIndex":0},"schema":"https://github.com/citation-style-language/schema/raw/master/csl-citation.json"}</w:instrText>
      </w:r>
      <w:r w:rsidR="000C38A4" w:rsidRPr="002B3D8A">
        <w:rPr>
          <w:rFonts w:ascii="Arial" w:eastAsia="Calibri" w:hAnsi="Arial" w:cs="Arial"/>
          <w:color w:val="000000" w:themeColor="text1"/>
          <w:sz w:val="24"/>
          <w:szCs w:val="24"/>
        </w:rPr>
        <w:fldChar w:fldCharType="separate"/>
      </w:r>
      <w:r w:rsidR="000C38A4" w:rsidRPr="002B3D8A">
        <w:rPr>
          <w:rFonts w:ascii="Arial" w:eastAsia="Calibri" w:hAnsi="Arial" w:cs="Arial"/>
          <w:noProof/>
          <w:color w:val="000000" w:themeColor="text1"/>
          <w:sz w:val="24"/>
          <w:szCs w:val="24"/>
        </w:rPr>
        <w:t>(Hooper, 1963)</w:t>
      </w:r>
      <w:r w:rsidR="000C38A4" w:rsidRPr="002B3D8A">
        <w:rPr>
          <w:rFonts w:ascii="Arial" w:eastAsia="Calibri" w:hAnsi="Arial" w:cs="Arial"/>
          <w:color w:val="000000" w:themeColor="text1"/>
          <w:sz w:val="24"/>
          <w:szCs w:val="24"/>
        </w:rPr>
        <w:fldChar w:fldCharType="end"/>
      </w:r>
      <w:r w:rsidR="000C38A4" w:rsidRPr="002B3D8A">
        <w:rPr>
          <w:rFonts w:ascii="Arial" w:eastAsia="Calibri" w:hAnsi="Arial" w:cs="Arial"/>
          <w:color w:val="000000" w:themeColor="text1"/>
          <w:sz w:val="24"/>
          <w:szCs w:val="24"/>
        </w:rPr>
        <w:t xml:space="preserve"> </w:t>
      </w:r>
    </w:p>
    <w:p w14:paraId="4C709A28" w14:textId="59E189A7" w:rsidR="008C392A" w:rsidRPr="0063623D" w:rsidRDefault="000C38A4" w:rsidP="00616CDC">
      <w:pPr>
        <w:spacing w:line="360" w:lineRule="auto"/>
        <w:ind w:left="-284"/>
        <w:jc w:val="both"/>
        <w:rPr>
          <w:rFonts w:ascii="Arial" w:eastAsia="Calibri" w:hAnsi="Arial" w:cs="Arial"/>
          <w:color w:val="000000" w:themeColor="text1"/>
          <w:sz w:val="24"/>
          <w:szCs w:val="24"/>
        </w:rPr>
      </w:pPr>
      <w:r w:rsidRPr="0063623D">
        <w:rPr>
          <w:rFonts w:ascii="Arial" w:eastAsia="Calibri" w:hAnsi="Arial" w:cs="Arial"/>
          <w:b/>
          <w:i/>
          <w:color w:val="000000" w:themeColor="text1"/>
          <w:sz w:val="24"/>
          <w:szCs w:val="24"/>
        </w:rPr>
        <w:t xml:space="preserve">Trichodorus similis </w:t>
      </w:r>
    </w:p>
    <w:p w14:paraId="30A2DA53" w14:textId="1715B791" w:rsidR="008C392A" w:rsidRPr="002B3D8A" w:rsidRDefault="0006706D" w:rsidP="00616CDC">
      <w:pPr>
        <w:spacing w:line="360" w:lineRule="auto"/>
        <w:ind w:left="-284"/>
        <w:jc w:val="both"/>
        <w:rPr>
          <w:rFonts w:ascii="Arial" w:eastAsia="Calibri" w:hAnsi="Arial" w:cs="Arial"/>
          <w:color w:val="000000" w:themeColor="text1"/>
          <w:sz w:val="24"/>
          <w:szCs w:val="24"/>
        </w:rPr>
      </w:pPr>
      <w:r w:rsidRPr="005453EA">
        <w:rPr>
          <w:rFonts w:ascii="Arial" w:eastAsia="Calibri" w:hAnsi="Arial" w:cs="Arial"/>
          <w:i/>
          <w:color w:val="000000" w:themeColor="text1"/>
          <w:sz w:val="24"/>
          <w:szCs w:val="24"/>
        </w:rPr>
        <w:t>Trichodorus similis</w:t>
      </w:r>
      <w:r w:rsidRPr="0006706D">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has similar</w:t>
      </w:r>
      <w:r w:rsidRPr="002B3D8A">
        <w:rPr>
          <w:rFonts w:ascii="Arial" w:eastAsia="Calibri" w:hAnsi="Arial" w:cs="Arial"/>
          <w:color w:val="000000" w:themeColor="text1"/>
          <w:sz w:val="24"/>
          <w:szCs w:val="24"/>
        </w:rPr>
        <w:t xml:space="preserve"> morphological characteristics</w:t>
      </w:r>
      <w:r>
        <w:rPr>
          <w:rFonts w:ascii="Arial" w:eastAsia="Calibri" w:hAnsi="Arial" w:cs="Arial"/>
          <w:color w:val="000000" w:themeColor="text1"/>
          <w:sz w:val="24"/>
          <w:szCs w:val="24"/>
        </w:rPr>
        <w:t xml:space="preserve"> to</w:t>
      </w:r>
      <w:r w:rsidRPr="002B3D8A">
        <w:rPr>
          <w:rFonts w:ascii="Arial" w:eastAsia="Calibri" w:hAnsi="Arial" w:cs="Arial"/>
          <w:i/>
          <w:color w:val="000000" w:themeColor="text1"/>
          <w:sz w:val="24"/>
          <w:szCs w:val="24"/>
        </w:rPr>
        <w:t xml:space="preserve"> </w:t>
      </w:r>
      <w:r w:rsidR="000C38A4" w:rsidRPr="002B3D8A">
        <w:rPr>
          <w:rFonts w:ascii="Arial" w:eastAsia="Calibri" w:hAnsi="Arial" w:cs="Arial"/>
          <w:i/>
          <w:color w:val="000000" w:themeColor="text1"/>
          <w:sz w:val="24"/>
          <w:szCs w:val="24"/>
        </w:rPr>
        <w:t>T. primitivus</w:t>
      </w:r>
      <w:r w:rsidR="000C38A4" w:rsidRPr="002B3D8A">
        <w:rPr>
          <w:rFonts w:ascii="Arial" w:eastAsia="Calibri" w:hAnsi="Arial" w:cs="Arial"/>
          <w:color w:val="000000" w:themeColor="text1"/>
          <w:sz w:val="24"/>
          <w:szCs w:val="24"/>
        </w:rPr>
        <w:t xml:space="preserve">. It has been found to occur together with </w:t>
      </w:r>
      <w:r w:rsidR="000C38A4" w:rsidRPr="002B3D8A">
        <w:rPr>
          <w:rFonts w:ascii="Arial" w:eastAsia="Calibri" w:hAnsi="Arial" w:cs="Arial"/>
          <w:i/>
          <w:color w:val="000000" w:themeColor="text1"/>
          <w:sz w:val="24"/>
          <w:szCs w:val="24"/>
        </w:rPr>
        <w:t>Trichodorus primitivus</w:t>
      </w:r>
      <w:r w:rsidR="000C38A4" w:rsidRPr="002B3D8A">
        <w:rPr>
          <w:rFonts w:ascii="Arial" w:eastAsia="Calibri" w:hAnsi="Arial" w:cs="Arial"/>
          <w:color w:val="000000" w:themeColor="text1"/>
          <w:sz w:val="24"/>
          <w:szCs w:val="24"/>
        </w:rPr>
        <w:t xml:space="preserve"> and </w:t>
      </w:r>
      <w:r w:rsidR="001D1C84" w:rsidRPr="002B3D8A">
        <w:rPr>
          <w:rFonts w:ascii="Arial" w:eastAsia="Calibri" w:hAnsi="Arial" w:cs="Arial"/>
          <w:i/>
          <w:color w:val="000000" w:themeColor="text1"/>
          <w:sz w:val="24"/>
          <w:szCs w:val="24"/>
        </w:rPr>
        <w:t>Parat</w:t>
      </w:r>
      <w:r w:rsidR="000C38A4" w:rsidRPr="002B3D8A">
        <w:rPr>
          <w:rFonts w:ascii="Arial" w:eastAsia="Calibri" w:hAnsi="Arial" w:cs="Arial"/>
          <w:i/>
          <w:color w:val="000000" w:themeColor="text1"/>
          <w:sz w:val="24"/>
          <w:szCs w:val="24"/>
        </w:rPr>
        <w:t>richodorus pachydermus</w:t>
      </w:r>
      <w:r w:rsidR="001D1C84" w:rsidRPr="002B3D8A">
        <w:rPr>
          <w:rFonts w:ascii="Arial" w:eastAsia="Calibri" w:hAnsi="Arial" w:cs="Arial"/>
          <w:i/>
          <w:color w:val="000000" w:themeColor="text1"/>
          <w:sz w:val="24"/>
          <w:szCs w:val="24"/>
        </w:rPr>
        <w:t xml:space="preserve"> </w:t>
      </w:r>
      <w:r w:rsidR="001D1C84" w:rsidRPr="002B3D8A">
        <w:rPr>
          <w:rFonts w:ascii="Arial" w:eastAsia="Calibri" w:hAnsi="Arial" w:cs="Arial"/>
          <w:i/>
          <w:color w:val="000000" w:themeColor="text1"/>
          <w:sz w:val="24"/>
          <w:szCs w:val="24"/>
        </w:rPr>
        <w:fldChar w:fldCharType="begin" w:fldLock="1"/>
      </w:r>
      <w:r w:rsidR="00E13293">
        <w:rPr>
          <w:rFonts w:ascii="Arial" w:eastAsia="Calibri" w:hAnsi="Arial" w:cs="Arial"/>
          <w:i/>
          <w:color w:val="000000" w:themeColor="text1"/>
          <w:sz w:val="24"/>
          <w:szCs w:val="24"/>
        </w:rPr>
        <w:instrText>ADDIN CSL_CITATION {"citationItems":[{"id":"ITEM-1","itemData":{"author":[{"dropping-particle":"","family":"Whitehead","given":"A.G.","non-dropping-particle":"","parse-names":false,"suffix":""},{"dropping-particle":"","family":"Hooper","given":"D.J.","non-dropping-particle":"","parse-names":false,"suffix":""}],"container-title":"Ann. appl. Biol","id":"ITEM-1","issued":{"date-parts":[["1970"]]},"page":"339-350","title":"Needle nematodes (Longidorus spp.) and stubby-root nematodes ( Trichodorus spp.) harmful to sugar beet and other field crops in England","type":"article-journal"},"uris":["http://www.mendeley.com/documents/?uuid=e3a9ba67-b49f-4808-a0ea-7bff1763d6dd"]}],"mendeley":{"formattedCitation":"(Whitehead and Hooper, 1970)","plainTextFormattedCitation":"(Whitehead and Hooper, 1970)","previouslyFormattedCitation":"(Whitehead and Hooper, 1970)"},"properties":{"noteIndex":0},"schema":"https://github.com/citation-style-language/schema/raw/master/csl-citation.json"}</w:instrText>
      </w:r>
      <w:r w:rsidR="001D1C84" w:rsidRPr="002B3D8A">
        <w:rPr>
          <w:rFonts w:ascii="Arial" w:eastAsia="Calibri" w:hAnsi="Arial" w:cs="Arial"/>
          <w:i/>
          <w:color w:val="000000" w:themeColor="text1"/>
          <w:sz w:val="24"/>
          <w:szCs w:val="24"/>
        </w:rPr>
        <w:fldChar w:fldCharType="separate"/>
      </w:r>
      <w:r w:rsidR="00E13293" w:rsidRPr="00E13293">
        <w:rPr>
          <w:rFonts w:ascii="Arial" w:eastAsia="Calibri" w:hAnsi="Arial" w:cs="Arial"/>
          <w:noProof/>
          <w:color w:val="000000" w:themeColor="text1"/>
          <w:sz w:val="24"/>
          <w:szCs w:val="24"/>
        </w:rPr>
        <w:t>(Whitehead and Hooper, 1970)</w:t>
      </w:r>
      <w:r w:rsidR="001D1C84" w:rsidRPr="002B3D8A">
        <w:rPr>
          <w:rFonts w:ascii="Arial" w:eastAsia="Calibri" w:hAnsi="Arial" w:cs="Arial"/>
          <w:i/>
          <w:color w:val="000000" w:themeColor="text1"/>
          <w:sz w:val="24"/>
          <w:szCs w:val="24"/>
        </w:rPr>
        <w:fldChar w:fldCharType="end"/>
      </w:r>
      <w:r w:rsidR="000C38A4" w:rsidRPr="002B3D8A">
        <w:rPr>
          <w:rFonts w:ascii="Arial" w:eastAsia="Calibri" w:hAnsi="Arial" w:cs="Arial"/>
          <w:color w:val="000000" w:themeColor="text1"/>
          <w:sz w:val="24"/>
          <w:szCs w:val="24"/>
        </w:rPr>
        <w:t xml:space="preserve">. The males of </w:t>
      </w:r>
      <w:r w:rsidR="000004F6" w:rsidRPr="002B3D8A">
        <w:rPr>
          <w:rFonts w:ascii="Arial" w:eastAsia="Calibri" w:hAnsi="Arial" w:cs="Arial"/>
          <w:i/>
          <w:color w:val="000000" w:themeColor="text1"/>
          <w:sz w:val="24"/>
          <w:szCs w:val="24"/>
        </w:rPr>
        <w:t>T. similis</w:t>
      </w:r>
      <w:r w:rsidR="000C38A4" w:rsidRPr="002B3D8A">
        <w:rPr>
          <w:rFonts w:ascii="Arial" w:eastAsia="Calibri" w:hAnsi="Arial" w:cs="Arial"/>
          <w:color w:val="000000" w:themeColor="text1"/>
          <w:sz w:val="24"/>
          <w:szCs w:val="24"/>
        </w:rPr>
        <w:t xml:space="preserve"> can be differentiated from </w:t>
      </w:r>
      <w:r w:rsidR="000004F6" w:rsidRPr="002B3D8A">
        <w:rPr>
          <w:rFonts w:ascii="Arial" w:eastAsia="Calibri" w:hAnsi="Arial" w:cs="Arial"/>
          <w:i/>
          <w:color w:val="000000" w:themeColor="text1"/>
          <w:sz w:val="24"/>
          <w:szCs w:val="24"/>
        </w:rPr>
        <w:t>T. primitivus</w:t>
      </w:r>
      <w:r w:rsidR="000C38A4" w:rsidRPr="002B3D8A">
        <w:rPr>
          <w:rFonts w:ascii="Arial" w:eastAsia="Calibri" w:hAnsi="Arial" w:cs="Arial"/>
          <w:i/>
          <w:color w:val="000000" w:themeColor="text1"/>
          <w:sz w:val="24"/>
          <w:szCs w:val="24"/>
        </w:rPr>
        <w:t xml:space="preserve"> </w:t>
      </w:r>
      <w:r w:rsidR="000C38A4" w:rsidRPr="002B3D8A">
        <w:rPr>
          <w:rFonts w:ascii="Arial" w:eastAsia="Calibri" w:hAnsi="Arial" w:cs="Arial"/>
          <w:color w:val="000000" w:themeColor="text1"/>
          <w:sz w:val="24"/>
          <w:szCs w:val="24"/>
        </w:rPr>
        <w:t xml:space="preserve">by only two well developed supplementary </w:t>
      </w:r>
      <w:r w:rsidR="00CA7B12" w:rsidRPr="002B3D8A">
        <w:rPr>
          <w:rFonts w:ascii="Arial" w:eastAsia="Calibri" w:hAnsi="Arial" w:cs="Arial"/>
          <w:color w:val="000000" w:themeColor="text1"/>
          <w:sz w:val="24"/>
          <w:szCs w:val="24"/>
        </w:rPr>
        <w:t>papillae</w:t>
      </w:r>
      <w:r w:rsidR="000C38A4" w:rsidRPr="002B3D8A">
        <w:rPr>
          <w:rFonts w:ascii="Arial" w:eastAsia="Calibri" w:hAnsi="Arial" w:cs="Arial"/>
          <w:color w:val="000000" w:themeColor="text1"/>
          <w:sz w:val="24"/>
          <w:szCs w:val="24"/>
        </w:rPr>
        <w:t xml:space="preserve">, the spicules of </w:t>
      </w:r>
      <w:r w:rsidR="000004F6" w:rsidRPr="002B3D8A">
        <w:rPr>
          <w:rFonts w:ascii="Arial" w:eastAsia="Calibri" w:hAnsi="Arial" w:cs="Arial"/>
          <w:i/>
          <w:color w:val="000000" w:themeColor="text1"/>
          <w:sz w:val="24"/>
          <w:szCs w:val="24"/>
        </w:rPr>
        <w:t>T. similis</w:t>
      </w:r>
      <w:r w:rsidR="000C38A4" w:rsidRPr="002B3D8A">
        <w:rPr>
          <w:rFonts w:ascii="Arial" w:eastAsia="Calibri" w:hAnsi="Arial" w:cs="Arial"/>
          <w:i/>
          <w:color w:val="000000" w:themeColor="text1"/>
          <w:sz w:val="24"/>
          <w:szCs w:val="24"/>
        </w:rPr>
        <w:t xml:space="preserve"> </w:t>
      </w:r>
      <w:r w:rsidR="000C38A4" w:rsidRPr="002B3D8A">
        <w:rPr>
          <w:rFonts w:ascii="Arial" w:eastAsia="Calibri" w:hAnsi="Arial" w:cs="Arial"/>
          <w:color w:val="000000" w:themeColor="text1"/>
          <w:sz w:val="24"/>
          <w:szCs w:val="24"/>
        </w:rPr>
        <w:t xml:space="preserve">are more pronounced and muscular and the gubernaculum is dorsally orientated </w:t>
      </w:r>
      <w:r>
        <w:rPr>
          <w:rFonts w:ascii="Arial" w:eastAsia="Calibri" w:hAnsi="Arial" w:cs="Arial"/>
          <w:color w:val="000000" w:themeColor="text1"/>
          <w:sz w:val="24"/>
          <w:szCs w:val="24"/>
        </w:rPr>
        <w:t>and</w:t>
      </w:r>
      <w:r w:rsidRPr="002B3D8A">
        <w:rPr>
          <w:rFonts w:ascii="Arial" w:eastAsia="Calibri" w:hAnsi="Arial" w:cs="Arial"/>
          <w:color w:val="000000" w:themeColor="text1"/>
          <w:sz w:val="24"/>
          <w:szCs w:val="24"/>
        </w:rPr>
        <w:t xml:space="preserve"> </w:t>
      </w:r>
      <w:r w:rsidR="000C38A4" w:rsidRPr="002B3D8A">
        <w:rPr>
          <w:rFonts w:ascii="Arial" w:eastAsia="Calibri" w:hAnsi="Arial" w:cs="Arial"/>
          <w:color w:val="000000" w:themeColor="text1"/>
          <w:sz w:val="24"/>
          <w:szCs w:val="24"/>
        </w:rPr>
        <w:t xml:space="preserve">not in between spicules </w:t>
      </w:r>
      <w:r>
        <w:rPr>
          <w:rFonts w:ascii="Arial" w:eastAsia="Calibri" w:hAnsi="Arial" w:cs="Arial"/>
          <w:color w:val="000000" w:themeColor="text1"/>
          <w:sz w:val="24"/>
          <w:szCs w:val="24"/>
        </w:rPr>
        <w:t>like</w:t>
      </w:r>
      <w:r w:rsidR="000C38A4" w:rsidRPr="002B3D8A">
        <w:rPr>
          <w:rFonts w:ascii="Arial" w:eastAsia="Calibri" w:hAnsi="Arial" w:cs="Arial"/>
          <w:color w:val="000000" w:themeColor="text1"/>
          <w:sz w:val="24"/>
          <w:szCs w:val="24"/>
        </w:rPr>
        <w:t xml:space="preserve"> </w:t>
      </w:r>
      <w:r w:rsidR="000004F6" w:rsidRPr="002B3D8A">
        <w:rPr>
          <w:rFonts w:ascii="Arial" w:eastAsia="Calibri" w:hAnsi="Arial" w:cs="Arial"/>
          <w:i/>
          <w:color w:val="000000" w:themeColor="text1"/>
          <w:sz w:val="24"/>
          <w:szCs w:val="24"/>
        </w:rPr>
        <w:t>T. primitivus</w:t>
      </w:r>
      <w:r w:rsidR="000C38A4" w:rsidRPr="002B3D8A">
        <w:rPr>
          <w:rFonts w:ascii="Arial" w:eastAsia="Calibri" w:hAnsi="Arial" w:cs="Arial"/>
          <w:color w:val="000000" w:themeColor="text1"/>
          <w:sz w:val="24"/>
          <w:szCs w:val="24"/>
        </w:rPr>
        <w:t xml:space="preserve">. The onchiostyle of </w:t>
      </w:r>
      <w:r w:rsidR="000C38A4" w:rsidRPr="002B3D8A">
        <w:rPr>
          <w:rFonts w:ascii="Arial" w:eastAsia="Calibri" w:hAnsi="Arial" w:cs="Arial"/>
          <w:i/>
          <w:color w:val="000000" w:themeColor="text1"/>
          <w:sz w:val="24"/>
          <w:szCs w:val="24"/>
        </w:rPr>
        <w:t>T. similis</w:t>
      </w:r>
      <w:r w:rsidR="000C38A4" w:rsidRPr="002B3D8A">
        <w:rPr>
          <w:rFonts w:ascii="Arial" w:eastAsia="Calibri" w:hAnsi="Arial" w:cs="Arial"/>
          <w:color w:val="000000" w:themeColor="text1"/>
          <w:sz w:val="24"/>
          <w:szCs w:val="24"/>
        </w:rPr>
        <w:t xml:space="preserve"> is shorter than that of </w:t>
      </w:r>
      <w:r w:rsidR="000C38A4" w:rsidRPr="002B3D8A">
        <w:rPr>
          <w:rFonts w:ascii="Arial" w:eastAsia="Calibri" w:hAnsi="Arial" w:cs="Arial"/>
          <w:i/>
          <w:color w:val="000000" w:themeColor="text1"/>
          <w:sz w:val="24"/>
          <w:szCs w:val="24"/>
        </w:rPr>
        <w:t>T. primitivus</w:t>
      </w:r>
      <w:r w:rsidR="000C38A4" w:rsidRPr="002B3D8A">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meaning that</w:t>
      </w:r>
      <w:r w:rsidR="000C38A4" w:rsidRPr="002B3D8A">
        <w:rPr>
          <w:rFonts w:ascii="Arial" w:eastAsia="Calibri" w:hAnsi="Arial" w:cs="Arial"/>
          <w:color w:val="000000" w:themeColor="text1"/>
          <w:sz w:val="24"/>
          <w:szCs w:val="24"/>
        </w:rPr>
        <w:t xml:space="preserve"> the ventromedian papillae</w:t>
      </w:r>
      <w:r w:rsidR="005453EA">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occur</w:t>
      </w:r>
      <w:r w:rsidR="000C38A4" w:rsidRPr="002B3D8A">
        <w:rPr>
          <w:rFonts w:ascii="Arial" w:eastAsia="Calibri" w:hAnsi="Arial" w:cs="Arial"/>
          <w:color w:val="000000" w:themeColor="text1"/>
          <w:sz w:val="24"/>
          <w:szCs w:val="24"/>
        </w:rPr>
        <w:t xml:space="preserve"> more posteriorly </w:t>
      </w:r>
      <w:r>
        <w:rPr>
          <w:rFonts w:ascii="Arial" w:eastAsia="Calibri" w:hAnsi="Arial" w:cs="Arial"/>
          <w:color w:val="000000" w:themeColor="text1"/>
          <w:sz w:val="24"/>
          <w:szCs w:val="24"/>
        </w:rPr>
        <w:t>in relation</w:t>
      </w:r>
      <w:r w:rsidR="000C38A4" w:rsidRPr="002B3D8A">
        <w:rPr>
          <w:rFonts w:ascii="Arial" w:eastAsia="Calibri" w:hAnsi="Arial" w:cs="Arial"/>
          <w:color w:val="000000" w:themeColor="text1"/>
          <w:sz w:val="24"/>
          <w:szCs w:val="24"/>
        </w:rPr>
        <w:t xml:space="preserve"> to the onchiostyle. The females of </w:t>
      </w:r>
      <w:r w:rsidR="000C38A4" w:rsidRPr="002B3D8A">
        <w:rPr>
          <w:rFonts w:ascii="Arial" w:eastAsia="Calibri" w:hAnsi="Arial" w:cs="Arial"/>
          <w:i/>
          <w:color w:val="000000" w:themeColor="text1"/>
          <w:sz w:val="24"/>
          <w:szCs w:val="24"/>
        </w:rPr>
        <w:t xml:space="preserve">Trichodorus similis </w:t>
      </w:r>
      <w:r w:rsidR="000C38A4" w:rsidRPr="002B3D8A">
        <w:rPr>
          <w:rFonts w:ascii="Arial" w:eastAsia="Calibri" w:hAnsi="Arial" w:cs="Arial"/>
          <w:color w:val="000000" w:themeColor="text1"/>
          <w:sz w:val="24"/>
          <w:szCs w:val="24"/>
        </w:rPr>
        <w:t>can be distinguished from</w:t>
      </w:r>
      <w:r w:rsidR="000C38A4" w:rsidRPr="002B3D8A">
        <w:rPr>
          <w:rFonts w:ascii="Arial" w:eastAsia="Calibri" w:hAnsi="Arial" w:cs="Arial"/>
          <w:i/>
          <w:color w:val="000000" w:themeColor="text1"/>
          <w:sz w:val="24"/>
          <w:szCs w:val="24"/>
        </w:rPr>
        <w:t xml:space="preserve"> T. primivitus </w:t>
      </w:r>
      <w:r w:rsidR="000C38A4" w:rsidRPr="002B3D8A">
        <w:rPr>
          <w:rFonts w:ascii="Arial" w:eastAsia="Calibri" w:hAnsi="Arial" w:cs="Arial"/>
          <w:color w:val="000000" w:themeColor="text1"/>
          <w:sz w:val="24"/>
          <w:szCs w:val="24"/>
        </w:rPr>
        <w:t>by</w:t>
      </w:r>
      <w:r>
        <w:rPr>
          <w:rFonts w:ascii="Arial" w:eastAsia="Calibri" w:hAnsi="Arial" w:cs="Arial"/>
          <w:color w:val="000000" w:themeColor="text1"/>
          <w:sz w:val="24"/>
          <w:szCs w:val="24"/>
        </w:rPr>
        <w:t xml:space="preserve"> the</w:t>
      </w:r>
      <w:r w:rsidR="000C38A4" w:rsidRPr="002B3D8A">
        <w:rPr>
          <w:rFonts w:ascii="Arial" w:eastAsia="Calibri" w:hAnsi="Arial" w:cs="Arial"/>
          <w:color w:val="000000" w:themeColor="text1"/>
          <w:sz w:val="24"/>
          <w:szCs w:val="24"/>
        </w:rPr>
        <w:t xml:space="preserve"> presence of one pair of lateral hypodermal pores and</w:t>
      </w:r>
      <w:r>
        <w:rPr>
          <w:rFonts w:ascii="Arial" w:eastAsia="Calibri" w:hAnsi="Arial" w:cs="Arial"/>
          <w:color w:val="000000" w:themeColor="text1"/>
          <w:sz w:val="24"/>
          <w:szCs w:val="24"/>
        </w:rPr>
        <w:t xml:space="preserve"> the</w:t>
      </w:r>
      <w:r w:rsidR="000C38A4" w:rsidRPr="002B3D8A">
        <w:rPr>
          <w:rFonts w:ascii="Arial" w:eastAsia="Calibri" w:hAnsi="Arial" w:cs="Arial"/>
          <w:color w:val="000000" w:themeColor="text1"/>
          <w:sz w:val="24"/>
          <w:szCs w:val="24"/>
        </w:rPr>
        <w:t xml:space="preserve"> shape of cutinized ring around the vulva. </w:t>
      </w:r>
      <w:r w:rsidR="000C38A4" w:rsidRPr="002B3D8A">
        <w:rPr>
          <w:rFonts w:ascii="Arial" w:eastAsia="Calibri" w:hAnsi="Arial" w:cs="Arial"/>
          <w:color w:val="000000" w:themeColor="text1"/>
          <w:sz w:val="24"/>
          <w:szCs w:val="24"/>
        </w:rPr>
        <w:fldChar w:fldCharType="begin" w:fldLock="1"/>
      </w:r>
      <w:r w:rsidR="000C38A4" w:rsidRPr="002B3D8A">
        <w:rPr>
          <w:rFonts w:ascii="Arial" w:eastAsia="Calibri" w:hAnsi="Arial" w:cs="Arial"/>
          <w:color w:val="000000" w:themeColor="text1"/>
          <w:sz w:val="24"/>
          <w:szCs w:val="24"/>
        </w:rPr>
        <w:instrText>ADDIN CSL_CITATION {"citationItems":[{"id":"ITEM-1","itemData":{"DOI":"10.1163/187529257X00635","ISSN":"00282596","abstract":"Trichodorus primitivus (de Man 1880) is redescribed and ten new species of Trichodorus are described, including the species first reported to cause stubby-root disease in Florida, U.S.A. The species descriptions and illustrations present details of the morphology of both males and females and indicate the presence of two distinct species groups in the genus. The morphology of the onchiostyle is discussed and illustrated and evidence is presented to indicate that the onchiostyle in Trichodorus is not a hollow axial spear but is dorsal to the lumen of the esophagus. A key to the species is presented as an aid to identification. © 1957 BRILL.","author":[{"dropping-particle":"","family":"Allen","given":"M. W.","non-dropping-particle":"","parse-names":false,"suffix":""}],"container-title":"Nematologica","id":"ITEM-1","issue":"1","issued":{"date-parts":[["1957"]]},"page":"32-62","publisher":"Brill Academic Publishers","title":"A review of the nematode genus trichodorus with descriptions of ten new species","type":"article-journal","volume":"2"},"uris":["http://www.mendeley.com/documents/?uuid=76ea1b7c-1e94-33b9-b58f-2cd6acc974ec"]}],"mendeley":{"formattedCitation":"(Allen, 1957)","plainTextFormattedCitation":"(Allen, 1957)","previouslyFormattedCitation":"(Allen, 1957)"},"properties":{"noteIndex":0},"schema":"https://github.com/citation-style-language/schema/raw/master/csl-citation.json"}</w:instrText>
      </w:r>
      <w:r w:rsidR="000C38A4" w:rsidRPr="002B3D8A">
        <w:rPr>
          <w:rFonts w:ascii="Arial" w:eastAsia="Calibri" w:hAnsi="Arial" w:cs="Arial"/>
          <w:color w:val="000000" w:themeColor="text1"/>
          <w:sz w:val="24"/>
          <w:szCs w:val="24"/>
        </w:rPr>
        <w:fldChar w:fldCharType="separate"/>
      </w:r>
      <w:r w:rsidR="000C38A4" w:rsidRPr="002B3D8A">
        <w:rPr>
          <w:rFonts w:ascii="Arial" w:eastAsia="Calibri" w:hAnsi="Arial" w:cs="Arial"/>
          <w:noProof/>
          <w:color w:val="000000" w:themeColor="text1"/>
          <w:sz w:val="24"/>
          <w:szCs w:val="24"/>
        </w:rPr>
        <w:t>(Allen, 1957)</w:t>
      </w:r>
      <w:r w:rsidR="000C38A4" w:rsidRPr="002B3D8A">
        <w:rPr>
          <w:rFonts w:ascii="Arial" w:eastAsia="Calibri" w:hAnsi="Arial" w:cs="Arial"/>
          <w:color w:val="000000" w:themeColor="text1"/>
          <w:sz w:val="24"/>
          <w:szCs w:val="24"/>
        </w:rPr>
        <w:fldChar w:fldCharType="end"/>
      </w:r>
    </w:p>
    <w:p w14:paraId="1B3C3329" w14:textId="52DD5AE8" w:rsidR="003A449C" w:rsidRPr="0063623D" w:rsidRDefault="003A449C" w:rsidP="00616CDC">
      <w:pPr>
        <w:spacing w:line="360" w:lineRule="auto"/>
        <w:ind w:left="-284"/>
        <w:jc w:val="both"/>
        <w:rPr>
          <w:rFonts w:ascii="Arial" w:eastAsia="Calibri" w:hAnsi="Arial" w:cs="Arial"/>
          <w:b/>
          <w:i/>
          <w:color w:val="000000" w:themeColor="text1"/>
          <w:sz w:val="24"/>
          <w:szCs w:val="24"/>
        </w:rPr>
      </w:pPr>
      <w:r w:rsidRPr="0063623D">
        <w:rPr>
          <w:rFonts w:ascii="Arial" w:eastAsia="Calibri" w:hAnsi="Arial" w:cs="Arial"/>
          <w:b/>
          <w:i/>
          <w:color w:val="000000" w:themeColor="text1"/>
          <w:sz w:val="24"/>
          <w:szCs w:val="24"/>
        </w:rPr>
        <w:t xml:space="preserve">Paratrichodorus </w:t>
      </w:r>
      <w:r w:rsidR="008D3252">
        <w:rPr>
          <w:rFonts w:ascii="Arial" w:eastAsia="Calibri" w:hAnsi="Arial" w:cs="Arial"/>
          <w:b/>
          <w:i/>
          <w:color w:val="000000" w:themeColor="text1"/>
          <w:sz w:val="24"/>
          <w:szCs w:val="24"/>
        </w:rPr>
        <w:t>p</w:t>
      </w:r>
      <w:r w:rsidRPr="0063623D">
        <w:rPr>
          <w:rFonts w:ascii="Arial" w:eastAsia="Calibri" w:hAnsi="Arial" w:cs="Arial"/>
          <w:b/>
          <w:i/>
          <w:color w:val="000000" w:themeColor="text1"/>
          <w:sz w:val="24"/>
          <w:szCs w:val="24"/>
        </w:rPr>
        <w:t xml:space="preserve">achydermus </w:t>
      </w:r>
    </w:p>
    <w:p w14:paraId="035EDB26" w14:textId="2BE7C0E3" w:rsidR="007C5E19" w:rsidRDefault="0006706D" w:rsidP="00487AD5">
      <w:pPr>
        <w:spacing w:line="360" w:lineRule="auto"/>
        <w:ind w:left="-284"/>
        <w:contextualSpacing/>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The males of </w:t>
      </w:r>
      <w:r w:rsidR="003A449C" w:rsidRPr="002B3D8A">
        <w:rPr>
          <w:rFonts w:ascii="Arial" w:eastAsia="Calibri" w:hAnsi="Arial" w:cs="Arial"/>
          <w:i/>
          <w:color w:val="000000" w:themeColor="text1"/>
          <w:sz w:val="24"/>
          <w:szCs w:val="24"/>
        </w:rPr>
        <w:t>Paratrichodorus pachydermus</w:t>
      </w:r>
      <w:r w:rsidR="003A449C" w:rsidRPr="002B3D8A">
        <w:rPr>
          <w:rFonts w:ascii="Arial" w:eastAsia="Calibri" w:hAnsi="Arial" w:cs="Arial"/>
          <w:color w:val="000000" w:themeColor="text1"/>
          <w:sz w:val="24"/>
          <w:szCs w:val="24"/>
        </w:rPr>
        <w:t xml:space="preserve"> Seinhorst</w:t>
      </w:r>
      <w:r>
        <w:rPr>
          <w:rFonts w:ascii="Arial" w:eastAsia="Calibri" w:hAnsi="Arial" w:cs="Arial"/>
          <w:color w:val="000000" w:themeColor="text1"/>
          <w:sz w:val="24"/>
          <w:szCs w:val="24"/>
        </w:rPr>
        <w:t xml:space="preserve"> are</w:t>
      </w:r>
      <w:r w:rsidR="003A449C" w:rsidRPr="002B3D8A">
        <w:rPr>
          <w:rFonts w:ascii="Arial" w:eastAsia="Calibri" w:hAnsi="Arial" w:cs="Arial"/>
          <w:color w:val="000000" w:themeColor="text1"/>
          <w:sz w:val="24"/>
          <w:szCs w:val="24"/>
        </w:rPr>
        <w:t xml:space="preserve"> differentiated by presence of the bursa, the number and position of the supplements, where they possess three ventral supplementary papillae</w:t>
      </w:r>
      <w:r>
        <w:rPr>
          <w:rFonts w:ascii="Arial" w:eastAsia="Calibri" w:hAnsi="Arial" w:cs="Arial"/>
          <w:color w:val="000000" w:themeColor="text1"/>
          <w:sz w:val="24"/>
          <w:szCs w:val="24"/>
        </w:rPr>
        <w:t xml:space="preserve"> (VSP)</w:t>
      </w:r>
      <w:r w:rsidR="003A449C" w:rsidRPr="002B3D8A">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The first VSP is</w:t>
      </w:r>
      <w:r w:rsidRPr="002B3D8A">
        <w:rPr>
          <w:rFonts w:ascii="Arial" w:eastAsia="Calibri" w:hAnsi="Arial" w:cs="Arial"/>
          <w:color w:val="000000" w:themeColor="text1"/>
          <w:sz w:val="24"/>
          <w:szCs w:val="24"/>
        </w:rPr>
        <w:t xml:space="preserve"> </w:t>
      </w:r>
      <w:r w:rsidR="003A449C" w:rsidRPr="002B3D8A">
        <w:rPr>
          <w:rFonts w:ascii="Arial" w:eastAsia="Calibri" w:hAnsi="Arial" w:cs="Arial"/>
          <w:color w:val="000000" w:themeColor="text1"/>
          <w:sz w:val="24"/>
          <w:szCs w:val="24"/>
        </w:rPr>
        <w:t xml:space="preserve">just anterior to the distal ends of the spicules, </w:t>
      </w:r>
      <w:r>
        <w:rPr>
          <w:rFonts w:ascii="Arial" w:eastAsia="Calibri" w:hAnsi="Arial" w:cs="Arial"/>
          <w:color w:val="000000" w:themeColor="text1"/>
          <w:sz w:val="24"/>
          <w:szCs w:val="24"/>
        </w:rPr>
        <w:t>the</w:t>
      </w:r>
      <w:r w:rsidR="003A449C" w:rsidRPr="002B3D8A">
        <w:rPr>
          <w:rFonts w:ascii="Arial" w:eastAsia="Calibri" w:hAnsi="Arial" w:cs="Arial"/>
          <w:color w:val="000000" w:themeColor="text1"/>
          <w:sz w:val="24"/>
          <w:szCs w:val="24"/>
        </w:rPr>
        <w:t xml:space="preserve"> second</w:t>
      </w:r>
      <w:r>
        <w:rPr>
          <w:rFonts w:ascii="Arial" w:eastAsia="Calibri" w:hAnsi="Arial" w:cs="Arial"/>
          <w:color w:val="000000" w:themeColor="text1"/>
          <w:sz w:val="24"/>
          <w:szCs w:val="24"/>
        </w:rPr>
        <w:t xml:space="preserve"> is</w:t>
      </w:r>
      <w:r w:rsidR="003A449C" w:rsidRPr="002B3D8A">
        <w:rPr>
          <w:rFonts w:ascii="Arial" w:eastAsia="Calibri" w:hAnsi="Arial" w:cs="Arial"/>
          <w:color w:val="000000" w:themeColor="text1"/>
          <w:sz w:val="24"/>
          <w:szCs w:val="24"/>
        </w:rPr>
        <w:t xml:space="preserve"> at the anterior beginning of the bursa and the third</w:t>
      </w:r>
      <w:r>
        <w:rPr>
          <w:rFonts w:ascii="Arial" w:eastAsia="Calibri" w:hAnsi="Arial" w:cs="Arial"/>
          <w:color w:val="000000" w:themeColor="text1"/>
          <w:sz w:val="24"/>
          <w:szCs w:val="24"/>
        </w:rPr>
        <w:t xml:space="preserve"> is</w:t>
      </w:r>
      <w:r w:rsidR="003A449C" w:rsidRPr="002B3D8A">
        <w:rPr>
          <w:rFonts w:ascii="Arial" w:eastAsia="Calibri" w:hAnsi="Arial" w:cs="Arial"/>
          <w:color w:val="000000" w:themeColor="text1"/>
          <w:sz w:val="24"/>
          <w:szCs w:val="24"/>
        </w:rPr>
        <w:t xml:space="preserve"> about two body widths anterior to the second. Also, the presence of a ventral esophageal papilla </w:t>
      </w:r>
      <w:r w:rsidR="003A449C" w:rsidRPr="002B3D8A">
        <w:rPr>
          <w:rFonts w:ascii="Arial" w:eastAsia="Calibri" w:hAnsi="Arial" w:cs="Arial"/>
          <w:color w:val="000000" w:themeColor="text1"/>
          <w:sz w:val="24"/>
          <w:szCs w:val="24"/>
        </w:rPr>
        <w:lastRenderedPageBreak/>
        <w:t xml:space="preserve">also distinguishes the males. In females, the position of the excretory pore in females is also a distinguishing feature where the it opens at about the level of the anterior end of the expanded portion of the esophagus. The series of three lateral pores posterior to the vulva also distinguishes them. All these characteristics distinguish </w:t>
      </w:r>
      <w:r w:rsidR="003A449C" w:rsidRPr="005453EA">
        <w:rPr>
          <w:rFonts w:ascii="Arial" w:eastAsia="Calibri" w:hAnsi="Arial" w:cs="Arial"/>
          <w:i/>
          <w:color w:val="000000" w:themeColor="text1"/>
          <w:sz w:val="24"/>
          <w:szCs w:val="24"/>
        </w:rPr>
        <w:t>T. pachydermus</w:t>
      </w:r>
      <w:r w:rsidR="003A449C" w:rsidRPr="002B3D8A">
        <w:rPr>
          <w:rFonts w:ascii="Arial" w:eastAsia="Calibri" w:hAnsi="Arial" w:cs="Arial"/>
          <w:color w:val="000000" w:themeColor="text1"/>
          <w:sz w:val="24"/>
          <w:szCs w:val="24"/>
        </w:rPr>
        <w:t xml:space="preserve"> from its closest species. Females are characterized by the position of the excretory pore and the series of three lateral pores posterior to the vulva. These characters separate </w:t>
      </w:r>
      <w:r w:rsidR="003A449C" w:rsidRPr="002B3D8A">
        <w:rPr>
          <w:rFonts w:ascii="Arial" w:eastAsia="Calibri" w:hAnsi="Arial" w:cs="Arial"/>
          <w:i/>
          <w:color w:val="000000" w:themeColor="text1"/>
          <w:sz w:val="24"/>
          <w:szCs w:val="24"/>
        </w:rPr>
        <w:t>T. pachydermus</w:t>
      </w:r>
      <w:r w:rsidR="003A449C" w:rsidRPr="002B3D8A">
        <w:rPr>
          <w:rFonts w:ascii="Arial" w:eastAsia="Calibri" w:hAnsi="Arial" w:cs="Arial"/>
          <w:color w:val="000000" w:themeColor="text1"/>
          <w:sz w:val="24"/>
          <w:szCs w:val="24"/>
        </w:rPr>
        <w:t xml:space="preserve"> from males and females of which are the most closely related species </w:t>
      </w:r>
      <w:r w:rsidR="003A449C" w:rsidRPr="002B3D8A">
        <w:rPr>
          <w:rFonts w:ascii="Arial" w:eastAsia="Calibri" w:hAnsi="Arial" w:cs="Arial"/>
          <w:i/>
          <w:color w:val="000000" w:themeColor="text1"/>
          <w:sz w:val="24"/>
          <w:szCs w:val="24"/>
        </w:rPr>
        <w:t>T. porosus</w:t>
      </w:r>
      <w:r w:rsidR="003A449C" w:rsidRPr="002B3D8A">
        <w:rPr>
          <w:rFonts w:ascii="Arial" w:eastAsia="Calibri" w:hAnsi="Arial" w:cs="Arial"/>
          <w:color w:val="000000" w:themeColor="text1"/>
          <w:sz w:val="24"/>
          <w:szCs w:val="24"/>
        </w:rPr>
        <w:t>,</w:t>
      </w:r>
      <w:r w:rsidR="003A449C" w:rsidRPr="002B3D8A">
        <w:rPr>
          <w:rFonts w:ascii="Arial" w:eastAsia="Calibri" w:hAnsi="Arial" w:cs="Arial"/>
          <w:i/>
          <w:color w:val="000000" w:themeColor="text1"/>
          <w:sz w:val="24"/>
          <w:szCs w:val="24"/>
        </w:rPr>
        <w:t xml:space="preserve"> T. christiei</w:t>
      </w:r>
      <w:r w:rsidR="003A449C" w:rsidRPr="002B3D8A">
        <w:rPr>
          <w:rFonts w:ascii="Arial" w:eastAsia="Calibri" w:hAnsi="Arial" w:cs="Arial"/>
          <w:color w:val="000000" w:themeColor="text1"/>
          <w:sz w:val="24"/>
          <w:szCs w:val="24"/>
        </w:rPr>
        <w:t xml:space="preserve"> and </w:t>
      </w:r>
      <w:r w:rsidR="003A449C" w:rsidRPr="002B3D8A">
        <w:rPr>
          <w:rFonts w:ascii="Arial" w:eastAsia="Calibri" w:hAnsi="Arial" w:cs="Arial"/>
          <w:i/>
          <w:color w:val="000000" w:themeColor="text1"/>
          <w:sz w:val="24"/>
          <w:szCs w:val="24"/>
        </w:rPr>
        <w:t>T. atlanticus</w:t>
      </w:r>
      <w:r>
        <w:rPr>
          <w:rFonts w:ascii="Arial" w:eastAsia="Calibri" w:hAnsi="Arial" w:cs="Arial"/>
          <w:i/>
          <w:color w:val="000000" w:themeColor="text1"/>
          <w:sz w:val="24"/>
          <w:szCs w:val="24"/>
        </w:rPr>
        <w:t xml:space="preserve"> </w:t>
      </w:r>
      <w:r w:rsidR="003A449C" w:rsidRPr="002B3D8A">
        <w:rPr>
          <w:rFonts w:ascii="Arial" w:eastAsia="Calibri" w:hAnsi="Arial" w:cs="Arial"/>
          <w:color w:val="000000" w:themeColor="text1"/>
          <w:sz w:val="24"/>
          <w:szCs w:val="24"/>
          <w:lang w:val="en-US"/>
        </w:rPr>
        <w:fldChar w:fldCharType="begin" w:fldLock="1"/>
      </w:r>
      <w:r w:rsidR="003A449C" w:rsidRPr="002B3D8A">
        <w:rPr>
          <w:rFonts w:ascii="Arial" w:eastAsia="Calibri" w:hAnsi="Arial" w:cs="Arial"/>
          <w:color w:val="000000" w:themeColor="text1"/>
          <w:sz w:val="24"/>
          <w:szCs w:val="24"/>
        </w:rPr>
        <w:instrText>ADDIN CSL_CITATION {"citationItems":[{"id":"ITEM-1","itemData":{"DOI":"10.1163/187529257X00635","ISSN":"00282596","abstract":"Trichodorus primitivus (de Man 1880) is redescribed and ten new species of Trichodorus are described, including the species first reported to cause stubby-root disease in Florida, U.S.A. The species descriptions and illustrations present details of the morphology of both males and females and indicate the presence of two distinct species groups in the genus. The morphology of the onchiostyle is discussed and illustrated and evidence is presented to indicate that the onchiostyle in Trichodorus is not a hollow axial spear but is dorsal to the lumen of the esophagus. A key to the species is presented as an aid to identification. © 1957 BRILL.","author":[{"dropping-particle":"","family":"Allen","given":"M. W.","non-dropping-particle":"","parse-names":false,"suffix":""}],"container-title":"Nematologica","id":"ITEM-1","issue":"1","issued":{"date-parts":[["1957"]]},"page":"32-62","publisher":"Brill Academic Publishers","title":"A review of the nematode genus trichodorus with descriptions of ten new species","type":"article-journal","volume":"2"},"uris":["http://www.mendeley.com/documents/?uuid=76ea1b7c-1e94-33b9-b58f-2cd6acc974ec"]}],"mendeley":{"formattedCitation":"(Allen, 1957)","plainTextFormattedCitation":"(Allen, 1957)","previouslyFormattedCitation":"(Allen, 1957)"},"properties":{"noteIndex":0},"schema":"https://github.com/citation-style-language/schema/raw/master/csl-citation.json"}</w:instrText>
      </w:r>
      <w:r w:rsidR="003A449C" w:rsidRPr="002B3D8A">
        <w:rPr>
          <w:rFonts w:ascii="Arial" w:eastAsia="Calibri" w:hAnsi="Arial" w:cs="Arial"/>
          <w:color w:val="000000" w:themeColor="text1"/>
          <w:sz w:val="24"/>
          <w:szCs w:val="24"/>
          <w:lang w:val="en-US"/>
        </w:rPr>
        <w:fldChar w:fldCharType="separate"/>
      </w:r>
      <w:r w:rsidR="003A449C" w:rsidRPr="002B3D8A">
        <w:rPr>
          <w:rFonts w:ascii="Arial" w:eastAsia="Calibri" w:hAnsi="Arial" w:cs="Arial"/>
          <w:noProof/>
          <w:color w:val="000000" w:themeColor="text1"/>
          <w:sz w:val="24"/>
          <w:szCs w:val="24"/>
        </w:rPr>
        <w:t>(Allen, 1957)</w:t>
      </w:r>
      <w:r w:rsidR="003A449C" w:rsidRPr="002B3D8A">
        <w:rPr>
          <w:rFonts w:ascii="Arial" w:eastAsia="Calibri" w:hAnsi="Arial" w:cs="Arial"/>
          <w:color w:val="000000" w:themeColor="text1"/>
          <w:sz w:val="24"/>
          <w:szCs w:val="24"/>
        </w:rPr>
        <w:fldChar w:fldCharType="end"/>
      </w:r>
      <w:r>
        <w:rPr>
          <w:rFonts w:ascii="Arial" w:eastAsia="Calibri" w:hAnsi="Arial" w:cs="Arial"/>
          <w:color w:val="000000" w:themeColor="text1"/>
          <w:sz w:val="24"/>
          <w:szCs w:val="24"/>
        </w:rPr>
        <w:t>.</w:t>
      </w:r>
    </w:p>
    <w:p w14:paraId="1A445D6E" w14:textId="1046186C" w:rsidR="007C5E19" w:rsidRPr="00616CDC" w:rsidRDefault="007C5E19" w:rsidP="00616CDC">
      <w:pPr>
        <w:pStyle w:val="Heading3"/>
        <w:spacing w:line="360" w:lineRule="auto"/>
        <w:rPr>
          <w:rFonts w:ascii="Arial" w:eastAsia="Calibri" w:hAnsi="Arial" w:cs="Arial"/>
          <w:b/>
          <w:color w:val="000000" w:themeColor="text1"/>
        </w:rPr>
      </w:pPr>
      <w:bookmarkStart w:id="11" w:name="_Toc110341276"/>
      <w:r w:rsidRPr="00616CDC">
        <w:rPr>
          <w:rFonts w:ascii="Arial" w:eastAsia="Calibri" w:hAnsi="Arial" w:cs="Arial"/>
          <w:b/>
          <w:color w:val="000000" w:themeColor="text1"/>
          <w:sz w:val="24"/>
          <w:szCs w:val="24"/>
        </w:rPr>
        <w:t>.</w:t>
      </w:r>
      <w:r w:rsidR="005D6BA7" w:rsidRPr="00616CDC">
        <w:rPr>
          <w:rFonts w:ascii="Arial" w:eastAsia="Calibri" w:hAnsi="Arial" w:cs="Arial"/>
          <w:b/>
          <w:color w:val="000000" w:themeColor="text1"/>
          <w:sz w:val="24"/>
          <w:szCs w:val="24"/>
        </w:rPr>
        <w:t>1</w:t>
      </w:r>
      <w:r w:rsidRPr="00616CDC">
        <w:rPr>
          <w:rFonts w:ascii="Arial" w:eastAsia="Calibri" w:hAnsi="Arial" w:cs="Arial"/>
          <w:b/>
          <w:color w:val="000000" w:themeColor="text1"/>
          <w:sz w:val="24"/>
          <w:szCs w:val="24"/>
        </w:rPr>
        <w:t>.</w:t>
      </w:r>
      <w:r w:rsidR="005D6BA7" w:rsidRPr="00616CDC">
        <w:rPr>
          <w:rFonts w:ascii="Arial" w:eastAsia="Calibri" w:hAnsi="Arial" w:cs="Arial"/>
          <w:b/>
          <w:color w:val="000000" w:themeColor="text1"/>
          <w:sz w:val="24"/>
          <w:szCs w:val="24"/>
        </w:rPr>
        <w:t>2.</w:t>
      </w:r>
      <w:r w:rsidRPr="00616CDC">
        <w:rPr>
          <w:rFonts w:ascii="Arial" w:eastAsia="Calibri" w:hAnsi="Arial" w:cs="Arial"/>
          <w:b/>
          <w:color w:val="000000" w:themeColor="text1"/>
          <w:sz w:val="24"/>
          <w:szCs w:val="24"/>
        </w:rPr>
        <w:t>4 Life cycle</w:t>
      </w:r>
      <w:bookmarkEnd w:id="11"/>
      <w:r w:rsidRPr="00616CDC">
        <w:rPr>
          <w:rFonts w:ascii="Arial" w:eastAsia="Calibri" w:hAnsi="Arial" w:cs="Arial"/>
          <w:b/>
          <w:color w:val="000000" w:themeColor="text1"/>
          <w:sz w:val="24"/>
          <w:szCs w:val="24"/>
        </w:rPr>
        <w:t xml:space="preserve"> </w:t>
      </w:r>
    </w:p>
    <w:p w14:paraId="4BC10001" w14:textId="41B9A54C" w:rsidR="007C5E19" w:rsidRPr="002B3D8A" w:rsidRDefault="007C5E19" w:rsidP="00B4138B">
      <w:pPr>
        <w:spacing w:line="360" w:lineRule="auto"/>
        <w:ind w:left="-284"/>
        <w:jc w:val="both"/>
        <w:rPr>
          <w:rFonts w:ascii="Arial" w:hAnsi="Arial" w:cs="Arial"/>
          <w:color w:val="000000" w:themeColor="text1"/>
          <w:sz w:val="24"/>
          <w:szCs w:val="24"/>
        </w:rPr>
      </w:pPr>
      <w:r w:rsidRPr="002B3D8A">
        <w:rPr>
          <w:rFonts w:ascii="Arial" w:eastAsia="Calibri" w:hAnsi="Arial" w:cs="Arial"/>
          <w:color w:val="000000" w:themeColor="text1"/>
          <w:sz w:val="24"/>
          <w:szCs w:val="24"/>
        </w:rPr>
        <w:t xml:space="preserve">The lifecycle of nematodes in the family Trichodoridae involves moulting into four juvenile stages before maturity into a male/female adult. The eggs are laid by the female in the soil. Embryogenesis studies for </w:t>
      </w:r>
      <w:r w:rsidRPr="002B3D8A">
        <w:rPr>
          <w:rFonts w:ascii="Arial" w:eastAsia="Calibri" w:hAnsi="Arial" w:cs="Arial"/>
          <w:i/>
          <w:color w:val="000000" w:themeColor="text1"/>
          <w:sz w:val="24"/>
          <w:szCs w:val="24"/>
        </w:rPr>
        <w:t>Paratrichodorus christie</w:t>
      </w:r>
      <w:r w:rsidRPr="002B3D8A">
        <w:rPr>
          <w:rFonts w:ascii="Arial" w:eastAsia="Calibri" w:hAnsi="Arial" w:cs="Arial"/>
          <w:color w:val="000000" w:themeColor="text1"/>
          <w:sz w:val="24"/>
          <w:szCs w:val="24"/>
        </w:rPr>
        <w:t xml:space="preserve"> showed that the egg is laid in single cell stage and the first two cleavages are transverse and longitudinal. First juvenile stages were seen after 96 hours and emerged from the egg 100-120 hours after they were laid </w:t>
      </w:r>
      <w:r w:rsidRPr="002B3D8A">
        <w:rPr>
          <w:rFonts w:ascii="Arial" w:eastAsia="Calibri" w:hAnsi="Arial" w:cs="Arial"/>
          <w:color w:val="000000" w:themeColor="text1"/>
          <w:sz w:val="24"/>
          <w:szCs w:val="24"/>
        </w:rPr>
        <w:fldChar w:fldCharType="begin" w:fldLock="1"/>
      </w:r>
      <w:r w:rsidR="00200FF9">
        <w:rPr>
          <w:rFonts w:ascii="Arial" w:eastAsia="Calibri" w:hAnsi="Arial" w:cs="Arial"/>
          <w:color w:val="000000" w:themeColor="text1"/>
          <w:sz w:val="24"/>
          <w:szCs w:val="24"/>
        </w:rPr>
        <w:instrText>ADDIN CSL_CITATION {"citationItems":[{"id":"ITEM-1","itemData":{"DOI":"10.1139/z68-045","ISSN":"0008-4301","abstract":"Trichodorus christiei eggs were laid in the single cell stage. The first two cleavages were transverse to the longitudinal axis of the egg, forming four blastomeres of similar size. Metaphase chromosomes were approximately 3 μ in length. First-stage juveniles were recognizable after 96 hours, and emerged from the egg 100–120 hours after it was laid. Stomatal armature was well developed after 96 hours. The esophagus and intestine developed shortly before emergence.","author":[{"dropping-particle":"","family":"Bird","given":"G. W.","non-dropping-particle":"","parse-names":false,"suffix":""},{"dropping-particle":"","family":"Goodman","given":"R. M.","non-dropping-particle":"","parse-names":false,"suffix":""},{"dropping-particle":"","family":"Mai","given":"W. F.","non-dropping-particle":"","parse-names":false,"suffix":""}],"container-title":"Canadian Journal of Zoology","id":"ITEM-1","issue":"2","issued":{"date-parts":[["1968","3","1"]]},"page":"292-293","publisher":"Canadian Science Publishing","title":" Observations on the embryogenesis of Trichodorus christiei (Nematodea: Diphtherophoroidea) ","type":"article-journal","volume":"46"},"uris":["http://www.mendeley.com/documents/?uuid=2fcb3447-fa1b-3b70-92e8-8af4765cedcd"]}],"mendeley":{"formattedCitation":"(Bird, Goodman and Mai, 1968)","plainTextFormattedCitation":"(Bird, Goodman and Mai, 1968)","previouslyFormattedCitation":"(Bird, Goodman and Mai, 1968)"},"properties":{"noteIndex":0},"schema":"https://github.com/citation-style-language/schema/raw/master/csl-citation.json"}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A07F2C" w:rsidRPr="00A07F2C">
        <w:rPr>
          <w:rFonts w:ascii="Arial" w:eastAsia="Calibri" w:hAnsi="Arial" w:cs="Arial"/>
          <w:noProof/>
          <w:color w:val="000000" w:themeColor="text1"/>
          <w:sz w:val="24"/>
          <w:szCs w:val="24"/>
        </w:rPr>
        <w:t>(Bird, Goodman and Mai, 1968)</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The juvenile then hatches from the egg and undergoes four moults to become an adult. The lifecycle takes 3-7 weeks depending on prevailing temperatures and the species involved. Optimum temperature for reproduction and development ranges from </w:t>
      </w:r>
      <w:r w:rsidRPr="002B3D8A">
        <w:rPr>
          <w:rFonts w:ascii="Arial" w:hAnsi="Arial" w:cs="Arial"/>
          <w:color w:val="000000" w:themeColor="text1"/>
          <w:sz w:val="24"/>
          <w:szCs w:val="24"/>
        </w:rPr>
        <w:t xml:space="preserve">16-24°C depending on the species. The development of </w:t>
      </w:r>
      <w:r w:rsidRPr="002B3D8A">
        <w:rPr>
          <w:rFonts w:ascii="Arial" w:hAnsi="Arial" w:cs="Arial"/>
          <w:i/>
          <w:color w:val="000000" w:themeColor="text1"/>
          <w:sz w:val="24"/>
          <w:szCs w:val="24"/>
        </w:rPr>
        <w:t>Trichodorus</w:t>
      </w:r>
      <w:r w:rsidRPr="002B3D8A">
        <w:rPr>
          <w:rFonts w:ascii="Arial" w:hAnsi="Arial" w:cs="Arial"/>
          <w:color w:val="000000" w:themeColor="text1"/>
          <w:sz w:val="24"/>
          <w:szCs w:val="24"/>
        </w:rPr>
        <w:t xml:space="preserve"> spp was found to be inhibited at 35°C </w:t>
      </w:r>
      <w:r w:rsidRPr="002B3D8A">
        <w:rPr>
          <w:rFonts w:ascii="Arial" w:hAnsi="Arial" w:cs="Arial"/>
          <w:color w:val="000000" w:themeColor="text1"/>
          <w:sz w:val="24"/>
          <w:szCs w:val="24"/>
        </w:rPr>
        <w:fldChar w:fldCharType="begin" w:fldLock="1"/>
      </w:r>
      <w:r w:rsidR="00E13293">
        <w:rPr>
          <w:rFonts w:ascii="Arial" w:hAnsi="Arial" w:cs="Arial"/>
          <w:color w:val="000000" w:themeColor="text1"/>
          <w:sz w:val="24"/>
          <w:szCs w:val="24"/>
        </w:rPr>
        <w:instrText>ADDIN CSL_CITATION {"citationItems":[{"id":"ITEM-1","itemData":{"ISBN":"0031-949X","author":[{"dropping-particle":"","family":"Rohde","given":"R A","non-dropping-particle":"","parse-names":false,"suffix":""},{"dropping-particle":"","family":"Jenkins","given":"W R","non-dropping-particle":"","parse-names":false,"suffix":""}],"container-title":"Phytopathology","id":"ITEM-1","issue":"1","issued":{"date-parts":[["1957"]]},"page":"29","publisher":"AMER PHYTOPATHOLOGICAL SOC 3340 PILOT KNOB ROAD, ST PAUL, MN 55121","title":"Effect of temperature on the life cycle of stubby-root nematodes","type":"paper-conference","volume":"47"},"uris":["http://www.mendeley.com/documents/?uuid=5123e9e5-d822-4ce9-89cf-9080be28a6a1"]}],"mendeley":{"formattedCitation":"(Rohde and Jenkins, 1957)","plainTextFormattedCitation":"(Rohde and Jenkins, 1957)","previouslyFormattedCitation":"(Rohde and Jenkins, 1957)"},"properties":{"noteIndex":0},"schema":"https://github.com/citation-style-language/schema/raw/master/csl-citation.json"}</w:instrText>
      </w:r>
      <w:r w:rsidRPr="002B3D8A">
        <w:rPr>
          <w:rFonts w:ascii="Arial" w:hAnsi="Arial" w:cs="Arial"/>
          <w:color w:val="000000" w:themeColor="text1"/>
          <w:sz w:val="24"/>
          <w:szCs w:val="24"/>
        </w:rPr>
        <w:fldChar w:fldCharType="separate"/>
      </w:r>
      <w:r w:rsidR="00E13293" w:rsidRPr="00E13293">
        <w:rPr>
          <w:rFonts w:ascii="Arial" w:hAnsi="Arial" w:cs="Arial"/>
          <w:noProof/>
          <w:color w:val="000000" w:themeColor="text1"/>
          <w:sz w:val="24"/>
          <w:szCs w:val="24"/>
        </w:rPr>
        <w:t>(Rohde and Jenkins, 1957)</w:t>
      </w:r>
      <w:r w:rsidRPr="002B3D8A">
        <w:rPr>
          <w:rFonts w:ascii="Arial" w:hAnsi="Arial" w:cs="Arial"/>
          <w:color w:val="000000" w:themeColor="text1"/>
          <w:sz w:val="24"/>
          <w:szCs w:val="24"/>
        </w:rPr>
        <w:fldChar w:fldCharType="end"/>
      </w:r>
      <w:r w:rsidRPr="002B3D8A">
        <w:rPr>
          <w:rFonts w:ascii="Arial" w:hAnsi="Arial" w:cs="Arial"/>
          <w:color w:val="000000" w:themeColor="text1"/>
          <w:sz w:val="24"/>
          <w:szCs w:val="24"/>
        </w:rPr>
        <w:t xml:space="preserve">. The optimum temperature for </w:t>
      </w:r>
      <w:r w:rsidRPr="002B3D8A">
        <w:rPr>
          <w:rFonts w:ascii="Arial" w:hAnsi="Arial" w:cs="Arial"/>
          <w:i/>
          <w:color w:val="000000" w:themeColor="text1"/>
          <w:sz w:val="24"/>
          <w:szCs w:val="24"/>
        </w:rPr>
        <w:t>Paratrichodorus christie</w:t>
      </w:r>
      <w:r w:rsidRPr="002B3D8A">
        <w:rPr>
          <w:rFonts w:ascii="Arial" w:hAnsi="Arial" w:cs="Arial"/>
          <w:color w:val="000000" w:themeColor="text1"/>
          <w:sz w:val="24"/>
          <w:szCs w:val="24"/>
        </w:rPr>
        <w:t xml:space="preserve"> was found to be 22°C and completed its lifecycle 21-27 days, </w:t>
      </w:r>
      <w:r w:rsidRPr="002B3D8A">
        <w:rPr>
          <w:rFonts w:ascii="Arial" w:hAnsi="Arial" w:cs="Arial"/>
          <w:color w:val="000000" w:themeColor="text1"/>
          <w:sz w:val="24"/>
          <w:szCs w:val="24"/>
        </w:rPr>
        <w:fldChar w:fldCharType="begin" w:fldLock="1"/>
      </w:r>
      <w:r w:rsidR="00E13293">
        <w:rPr>
          <w:rFonts w:ascii="Arial" w:hAnsi="Arial" w:cs="Arial"/>
          <w:color w:val="000000" w:themeColor="text1"/>
          <w:sz w:val="24"/>
          <w:szCs w:val="24"/>
        </w:rPr>
        <w:instrText>ADDIN CSL_CITATION {"citationItems":[{"id":"ITEM-1","itemData":{"DOI":"10.1007/978-1-4684-0841-6_25","author":[{"dropping-particle":"","family":"Winfield","given":"A. L.","non-dropping-particle":"","parse-names":false,"suffix":""},{"dropping-particle":"","family":"Cooke","given":"D. A.","non-dropping-particle":"","parse-names":false,"suffix":""}],"container-title":"Nematode Vectors of Plant Viruses","id":"ITEM-1","issue":"81","issued":{"date-parts":[["1975"]]},"page":"309-341","title":"The Ecology of Trichodorus","type":"article-journal"},"uris":["http://www.mendeley.com/documents/?uuid=19b7aa37-b8dc-4943-9f00-a313747111cf"]}],"mendeley":{"formattedCitation":"(Winfield and Cooke, 1975)","plainTextFormattedCitation":"(Winfield and Cooke, 1975)","previouslyFormattedCitation":"(Winfield and Cooke, 1975)"},"properties":{"noteIndex":0},"schema":"https://github.com/citation-style-language/schema/raw/master/csl-citation.json"}</w:instrText>
      </w:r>
      <w:r w:rsidRPr="002B3D8A">
        <w:rPr>
          <w:rFonts w:ascii="Arial" w:hAnsi="Arial" w:cs="Arial"/>
          <w:color w:val="000000" w:themeColor="text1"/>
          <w:sz w:val="24"/>
          <w:szCs w:val="24"/>
        </w:rPr>
        <w:fldChar w:fldCharType="separate"/>
      </w:r>
      <w:r w:rsidR="00E13293" w:rsidRPr="00E13293">
        <w:rPr>
          <w:rFonts w:ascii="Arial" w:hAnsi="Arial" w:cs="Arial"/>
          <w:noProof/>
          <w:color w:val="000000" w:themeColor="text1"/>
          <w:sz w:val="24"/>
          <w:szCs w:val="24"/>
        </w:rPr>
        <w:t>(Winfield and Cooke, 1975)</w:t>
      </w:r>
      <w:r w:rsidRPr="002B3D8A">
        <w:rPr>
          <w:rFonts w:ascii="Arial" w:hAnsi="Arial" w:cs="Arial"/>
          <w:color w:val="000000" w:themeColor="text1"/>
          <w:sz w:val="24"/>
          <w:szCs w:val="24"/>
        </w:rPr>
        <w:fldChar w:fldCharType="end"/>
      </w:r>
      <w:r w:rsidRPr="002B3D8A">
        <w:rPr>
          <w:rFonts w:ascii="Arial" w:hAnsi="Arial" w:cs="Arial"/>
          <w:color w:val="000000" w:themeColor="text1"/>
          <w:sz w:val="24"/>
          <w:szCs w:val="24"/>
        </w:rPr>
        <w:t xml:space="preserve">, and at 30°C it was able to complete the life cycle in 16-17 days. On the other hand, optimum temperature for </w:t>
      </w:r>
      <w:r w:rsidRPr="002B3D8A">
        <w:rPr>
          <w:rFonts w:ascii="Arial" w:hAnsi="Arial" w:cs="Arial"/>
          <w:i/>
          <w:color w:val="000000" w:themeColor="text1"/>
          <w:sz w:val="24"/>
          <w:szCs w:val="24"/>
        </w:rPr>
        <w:t>Paratrichodorus porosus</w:t>
      </w:r>
      <w:r w:rsidRPr="002B3D8A">
        <w:rPr>
          <w:rFonts w:ascii="Arial" w:hAnsi="Arial" w:cs="Arial"/>
          <w:color w:val="000000" w:themeColor="text1"/>
          <w:sz w:val="24"/>
          <w:szCs w:val="24"/>
        </w:rPr>
        <w:t xml:space="preserve">, was found to be 24°C and </w:t>
      </w:r>
      <w:r w:rsidRPr="002B3D8A">
        <w:rPr>
          <w:rFonts w:ascii="Arial" w:hAnsi="Arial" w:cs="Arial"/>
          <w:i/>
          <w:color w:val="000000" w:themeColor="text1"/>
          <w:sz w:val="24"/>
          <w:szCs w:val="24"/>
        </w:rPr>
        <w:t>Paratrichodorus allius</w:t>
      </w:r>
      <w:r w:rsidRPr="002B3D8A">
        <w:rPr>
          <w:rFonts w:ascii="Arial" w:hAnsi="Arial" w:cs="Arial"/>
          <w:color w:val="000000" w:themeColor="text1"/>
          <w:sz w:val="24"/>
          <w:szCs w:val="24"/>
        </w:rPr>
        <w:t xml:space="preserve"> took 17-18 days at 27°C </w:t>
      </w:r>
      <w:r w:rsidRPr="002B3D8A">
        <w:rPr>
          <w:rFonts w:ascii="Arial" w:hAnsi="Arial" w:cs="Arial"/>
          <w:color w:val="000000" w:themeColor="text1"/>
          <w:sz w:val="24"/>
          <w:szCs w:val="24"/>
        </w:rPr>
        <w:fldChar w:fldCharType="begin" w:fldLock="1"/>
      </w:r>
      <w:r w:rsidR="00200FF9">
        <w:rPr>
          <w:rFonts w:ascii="Arial" w:hAnsi="Arial" w:cs="Arial"/>
          <w:color w:val="000000" w:themeColor="text1"/>
          <w:sz w:val="24"/>
          <w:szCs w:val="24"/>
        </w:rPr>
        <w:instrText>ADDIN CSL_CITATION {"citationItems":[{"id":"ITEM-1","itemData":{"DOI":"10.46429/jaupr.v54i2.11098","ISSN":"0041-994X","abstract":"Populations of T. allius increased to levels nine times higher in Glurk tobacco plants infected with California tobacco rattle virus than in healthy plants of the same variety and age. Populations of T. christiei increased with applications of Hoagland's nutrient solution diluted up to 50-percent concentration, whereas population densities were low at the highest concentration (100 percent), and in water alone. Trichodorus allius did not seem to be affected to a large extent by similar applications of Hoagland's nutrient solution. Soil type influenced populations of T. allius; lighter soils were conducive to development of higher populations while soil, coarse sand, and white quartz sand used separately were not favorable for reproduction. Temperature proved to be one of the most important ecological factors in nematode reproduction. The optimum temperatures for the reproduction of each species was as follows: T. christiei, 16° to 24° C; T. porosus, 24° C; and. T allius, 21° to 24° C. Extremes of temperatures at which the different species could reproduce also varied. Populations of T. christiei were affected by an undetermined disease or condition which seemed to slow movement but did not have any apparent effect on rate of reproduction. Host ranges of three species of Trichodorus were studied. All three nematode species seemed to be polyphagous because 90 percent, 90 percent and 95 percent of the plant species tested were hosts of T. christiei, T. porosus, and T. allius, respectively. Twenty-five plant species were tested for T. porosus, 50 for T. christiei and 38 for T. allius. A method is described for keeping populations of T. allius alive in water for extended periods of time.","author":[{"dropping-particle":"","family":"Ayala","given":"Alejandro","non-dropping-particle":"","parse-names":false,"suffix":""},{"dropping-particle":"","family":"Allen","given":"M. W.","non-dropping-particle":"","parse-names":false,"suffix":""},{"dropping-particle":"","family":"Noffsinger","given":"E. M.","non-dropping-particle":"","parse-names":false,"suffix":""}],"container-title":"The Journal of Agriculture of the University of Puerto Rico","id":"ITEM-1","issue":"9","issued":{"date-parts":[["1969"]]},"page":"341-369","title":"Host Range, Biology, and Factors Affecting Survival and Reproduction of the Stubby Root Nematode","type":"article-journal","volume":"54"},"uris":["http://www.mendeley.com/documents/?uuid=f20ddf7a-3335-4e00-bb93-c8e2c1b18b6d"]}],"mendeley":{"formattedCitation":"(Ayala, Allen and Noffsinger, 1969)","plainTextFormattedCitation":"(Ayala, Allen and Noffsinger, 1969)","previouslyFormattedCitation":"(Ayala, Allen and Noffsinger, 1969)"},"properties":{"noteIndex":0},"schema":"https://github.com/citation-style-language/schema/raw/master/csl-citation.json"}</w:instrText>
      </w:r>
      <w:r w:rsidRPr="002B3D8A">
        <w:rPr>
          <w:rFonts w:ascii="Arial" w:hAnsi="Arial" w:cs="Arial"/>
          <w:color w:val="000000" w:themeColor="text1"/>
          <w:sz w:val="24"/>
          <w:szCs w:val="24"/>
        </w:rPr>
        <w:fldChar w:fldCharType="separate"/>
      </w:r>
      <w:r w:rsidR="00A07F2C" w:rsidRPr="00A07F2C">
        <w:rPr>
          <w:rFonts w:ascii="Arial" w:hAnsi="Arial" w:cs="Arial"/>
          <w:noProof/>
          <w:color w:val="000000" w:themeColor="text1"/>
          <w:sz w:val="24"/>
          <w:szCs w:val="24"/>
        </w:rPr>
        <w:t>(Ayala, Allen and Noffsinger, 1969)</w:t>
      </w:r>
      <w:r w:rsidRPr="002B3D8A">
        <w:rPr>
          <w:rFonts w:ascii="Arial" w:hAnsi="Arial" w:cs="Arial"/>
          <w:color w:val="000000" w:themeColor="text1"/>
          <w:sz w:val="24"/>
          <w:szCs w:val="24"/>
        </w:rPr>
        <w:fldChar w:fldCharType="end"/>
      </w:r>
      <w:r w:rsidRPr="002B3D8A">
        <w:rPr>
          <w:rFonts w:ascii="Arial" w:hAnsi="Arial" w:cs="Arial"/>
          <w:color w:val="000000" w:themeColor="text1"/>
          <w:sz w:val="24"/>
          <w:szCs w:val="24"/>
        </w:rPr>
        <w:t xml:space="preserve">. Influence of host plant in reproduction was shown in a study where </w:t>
      </w:r>
      <w:r w:rsidRPr="002B3D8A">
        <w:rPr>
          <w:rFonts w:ascii="Arial" w:hAnsi="Arial" w:cs="Arial"/>
          <w:i/>
          <w:color w:val="000000" w:themeColor="text1"/>
          <w:sz w:val="24"/>
          <w:szCs w:val="24"/>
        </w:rPr>
        <w:t>P. porosus</w:t>
      </w:r>
      <w:r w:rsidRPr="002B3D8A">
        <w:rPr>
          <w:rFonts w:ascii="Arial" w:hAnsi="Arial" w:cs="Arial"/>
          <w:color w:val="000000" w:themeColor="text1"/>
          <w:sz w:val="24"/>
          <w:szCs w:val="24"/>
        </w:rPr>
        <w:t xml:space="preserve"> and </w:t>
      </w:r>
      <w:r w:rsidRPr="002B3D8A">
        <w:rPr>
          <w:rFonts w:ascii="Arial" w:hAnsi="Arial" w:cs="Arial"/>
          <w:i/>
          <w:color w:val="000000" w:themeColor="text1"/>
          <w:sz w:val="24"/>
          <w:szCs w:val="24"/>
        </w:rPr>
        <w:t>P. christiei</w:t>
      </w:r>
      <w:r w:rsidRPr="002B3D8A">
        <w:rPr>
          <w:rFonts w:ascii="Arial" w:hAnsi="Arial" w:cs="Arial"/>
          <w:color w:val="000000" w:themeColor="text1"/>
          <w:sz w:val="24"/>
          <w:szCs w:val="24"/>
        </w:rPr>
        <w:t xml:space="preserve"> were able to reproduce on maize at all temperatures tested between 12-29°C and (18-35°C) under glass house conditions, although the optimum temperature was 24°C </w:t>
      </w:r>
      <w:r w:rsidRPr="002B3D8A">
        <w:rPr>
          <w:rFonts w:ascii="Arial" w:hAnsi="Arial" w:cs="Arial"/>
          <w:color w:val="000000" w:themeColor="text1"/>
          <w:sz w:val="24"/>
          <w:szCs w:val="24"/>
        </w:rPr>
        <w:fldChar w:fldCharType="begin" w:fldLock="1"/>
      </w:r>
      <w:r w:rsidR="00200FF9">
        <w:rPr>
          <w:rFonts w:ascii="Arial" w:hAnsi="Arial" w:cs="Arial"/>
          <w:color w:val="000000" w:themeColor="text1"/>
          <w:sz w:val="24"/>
          <w:szCs w:val="24"/>
        </w:rPr>
        <w:instrText>ADDIN CSL_CITATION {"citationItems":[{"id":"ITEM-1","itemData":{"DOI":"10.46429/jaupr.v54i2.11098","ISSN":"0041-994X","abstract":"Populations of T. allius increased to levels nine times higher in Glurk tobacco plants infected with California tobacco rattle virus than in healthy plants of the same variety and age. Populations of T. christiei increased with applications of Hoagland's nutrient solution diluted up to 50-percent concentration, whereas population densities were low at the highest concentration (100 percent), and in water alone. Trichodorus allius did not seem to be affected to a large extent by similar applications of Hoagland's nutrient solution. Soil type influenced populations of T. allius; lighter soils were conducive to development of higher populations while soil, coarse sand, and white quartz sand used separately were not favorable for reproduction. Temperature proved to be one of the most important ecological factors in nematode reproduction. The optimum temperatures for the reproduction of each species was as follows: T. christiei, 16° to 24° C; T. porosus, 24° C; and. T allius, 21° to 24° C. Extremes of temperatures at which the different species could reproduce also varied. Populations of T. christiei were affected by an undetermined disease or condition which seemed to slow movement but did not have any apparent effect on rate of reproduction. Host ranges of three species of Trichodorus were studied. All three nematode species seemed to be polyphagous because 90 percent, 90 percent and 95 percent of the plant species tested were hosts of T. christiei, T. porosus, and T. allius, respectively. Twenty-five plant species were tested for T. porosus, 50 for T. christiei and 38 for T. allius. A method is described for keeping populations of T. allius alive in water for extended periods of time.","author":[{"dropping-particle":"","family":"Ayala","given":"Alejandro","non-dropping-particle":"","parse-names":false,"suffix":""},{"dropping-particle":"","family":"Allen","given":"M. W.","non-dropping-particle":"","parse-names":false,"suffix":""},{"dropping-particle":"","family":"Noffsinger","given":"E. M.","non-dropping-particle":"","parse-names":false,"suffix":""}],"container-title":"The Journal of Agriculture of the University of Puerto Rico","id":"ITEM-1","issue":"9","issued":{"date-parts":[["1969"]]},"page":"341-369","title":"Host Range, Biology, and Factors Affecting Survival and Reproduction of the Stubby Root Nematode","type":"article-journal","volume":"54"},"uris":["http://www.mendeley.com/documents/?uuid=f20ddf7a-3335-4e00-bb93-c8e2c1b18b6d"]}],"mendeley":{"formattedCitation":"(Ayala, Allen and Noffsinger, 1969)","plainTextFormattedCitation":"(Ayala, Allen and Noffsinger, 1969)","previouslyFormattedCitation":"(Ayala, Allen and Noffsinger, 1969)"},"properties":{"noteIndex":0},"schema":"https://github.com/citation-style-language/schema/raw/master/csl-citation.json"}</w:instrText>
      </w:r>
      <w:r w:rsidRPr="002B3D8A">
        <w:rPr>
          <w:rFonts w:ascii="Arial" w:hAnsi="Arial" w:cs="Arial"/>
          <w:color w:val="000000" w:themeColor="text1"/>
          <w:sz w:val="24"/>
          <w:szCs w:val="24"/>
        </w:rPr>
        <w:fldChar w:fldCharType="separate"/>
      </w:r>
      <w:r w:rsidR="00A07F2C" w:rsidRPr="00A07F2C">
        <w:rPr>
          <w:rFonts w:ascii="Arial" w:hAnsi="Arial" w:cs="Arial"/>
          <w:noProof/>
          <w:color w:val="000000" w:themeColor="text1"/>
          <w:sz w:val="24"/>
          <w:szCs w:val="24"/>
        </w:rPr>
        <w:t>(Ayala, Allen and Noffsinger, 1969)</w:t>
      </w:r>
      <w:r w:rsidRPr="002B3D8A">
        <w:rPr>
          <w:rFonts w:ascii="Arial" w:hAnsi="Arial" w:cs="Arial"/>
          <w:color w:val="000000" w:themeColor="text1"/>
          <w:sz w:val="24"/>
          <w:szCs w:val="24"/>
        </w:rPr>
        <w:fldChar w:fldCharType="end"/>
      </w:r>
      <w:r w:rsidRPr="002B3D8A">
        <w:rPr>
          <w:rFonts w:ascii="Arial" w:hAnsi="Arial" w:cs="Arial"/>
          <w:color w:val="000000" w:themeColor="text1"/>
          <w:sz w:val="24"/>
          <w:szCs w:val="24"/>
        </w:rPr>
        <w:t>.</w:t>
      </w:r>
      <w:r w:rsidRPr="002B3D8A">
        <w:rPr>
          <w:rFonts w:ascii="Arial" w:eastAsia="Calibri" w:hAnsi="Arial" w:cs="Arial"/>
          <w:color w:val="000000" w:themeColor="text1"/>
          <w:sz w:val="24"/>
          <w:szCs w:val="24"/>
        </w:rPr>
        <w:t xml:space="preserve"> </w:t>
      </w:r>
      <w:r w:rsidRPr="002B3D8A">
        <w:rPr>
          <w:rFonts w:ascii="Arial" w:hAnsi="Arial" w:cs="Arial"/>
          <w:color w:val="000000" w:themeColor="text1"/>
          <w:sz w:val="24"/>
          <w:szCs w:val="24"/>
        </w:rPr>
        <w:t>The overall length of the life cycle of</w:t>
      </w:r>
      <w:r w:rsidRPr="002B3D8A">
        <w:rPr>
          <w:rFonts w:ascii="Arial" w:hAnsi="Arial" w:cs="Arial"/>
          <w:i/>
          <w:color w:val="000000" w:themeColor="text1"/>
          <w:sz w:val="24"/>
          <w:szCs w:val="24"/>
        </w:rPr>
        <w:t xml:space="preserve"> Trichodorus viruliferous</w:t>
      </w:r>
      <w:r w:rsidRPr="002B3D8A">
        <w:rPr>
          <w:rFonts w:ascii="Arial" w:hAnsi="Arial" w:cs="Arial"/>
          <w:color w:val="000000" w:themeColor="text1"/>
          <w:sz w:val="24"/>
          <w:szCs w:val="24"/>
        </w:rPr>
        <w:t xml:space="preserve"> was observed in laboratory experiments using apple seedlings grown in cylindrical tubes where 30 gravid females and 20 males were inoculated. Eggs and juveniles were first observed 5 and 19 days respectively after inoculation. After 35 days, the medium size juveniles were more predominant. The first adults appeared after 45 days </w:t>
      </w:r>
      <w:r w:rsidRPr="002B3D8A">
        <w:rPr>
          <w:rFonts w:ascii="Arial" w:hAnsi="Arial" w:cs="Arial"/>
          <w:color w:val="000000" w:themeColor="text1"/>
          <w:sz w:val="24"/>
          <w:szCs w:val="24"/>
          <w:lang w:val="en-US"/>
        </w:rPr>
        <w:fldChar w:fldCharType="begin" w:fldLock="1"/>
      </w:r>
      <w:r w:rsidR="00E13293">
        <w:rPr>
          <w:rFonts w:ascii="Arial" w:hAnsi="Arial" w:cs="Arial"/>
          <w:color w:val="000000" w:themeColor="text1"/>
          <w:sz w:val="24"/>
          <w:szCs w:val="24"/>
        </w:rPr>
        <w:instrText>ADDIN CSL_CITATION {"citationItems":[{"id":"ITEM-1","itemData":{"ISBN":"9788578110796","ISSN":"1098-6596","PMID":"25246403","abstract":"Records of the occurrence of actively breeding female Trichodorus viruliferus in an orchard population, sampled at random, or in colonies aggregated near the tips of large, extending apple roots, showed that breeding continued throughout the year in both sites, but that the proportion with developed oocytes was consistently higher near the root tips (80% mean) than in the random samples (18% mean). It is concluded that root tip colonies constitute the main breeding site of T. viruliferus on mature apple trees. Laboratory studies of the life cycle indicate that larval develop- ment is too slow to account for the observed rapid population increase in apple root tip colonies of T. viruliferus. This phenomenon must therefore be regarded as a form of aggregation whose mechanism remains unknown","author":[{"dropping-particle":"","family":"Pitcher","given":"R. S.","non-dropping-particle":"","parse-names":false,"suffix":""},{"dropping-particle":"","family":"Mcnamara","given":"D. G.","non-dropping-particle":"","parse-names":false,"suffix":""}],"container-title":"Nematologica","id":"ITEM-1","issued":{"date-parts":[["1970"]]},"page":"99-106","title":"THE EFFECT OF NUTRITION AND SEASON OF YEAR ON THE REPRODUCTION OF TRICHODORUS VIRULIFERUS","type":"article-journal","volume":"16"},"uris":["http://www.mendeley.com/documents/?uuid=6e30dfd1-5b8b-4c03-93bd-f3711677d696"]}],"mendeley":{"formattedCitation":"(Pitcher and Mcnamara, 1970)","plainTextFormattedCitation":"(Pitcher and Mcnamara, 1970)","previouslyFormattedCitation":"(Pitcher and Mcnamara, 1970)"},"properties":{"noteIndex":0},"schema":"https://github.com/citation-style-language/schema/raw/master/csl-citation.json"}</w:instrText>
      </w:r>
      <w:r w:rsidRPr="002B3D8A">
        <w:rPr>
          <w:rFonts w:ascii="Arial" w:hAnsi="Arial" w:cs="Arial"/>
          <w:color w:val="000000" w:themeColor="text1"/>
          <w:sz w:val="24"/>
          <w:szCs w:val="24"/>
          <w:lang w:val="en-US"/>
        </w:rPr>
        <w:fldChar w:fldCharType="separate"/>
      </w:r>
      <w:r w:rsidR="00E13293" w:rsidRPr="00E13293">
        <w:rPr>
          <w:rFonts w:ascii="Arial" w:hAnsi="Arial" w:cs="Arial"/>
          <w:noProof/>
          <w:color w:val="000000" w:themeColor="text1"/>
          <w:sz w:val="24"/>
          <w:szCs w:val="24"/>
        </w:rPr>
        <w:t>(Pitcher and Mcnamara, 1970)</w:t>
      </w:r>
      <w:r w:rsidRPr="002B3D8A">
        <w:rPr>
          <w:rFonts w:ascii="Arial" w:hAnsi="Arial" w:cs="Arial"/>
          <w:color w:val="000000" w:themeColor="text1"/>
          <w:sz w:val="24"/>
          <w:szCs w:val="24"/>
        </w:rPr>
        <w:fldChar w:fldCharType="end"/>
      </w:r>
      <w:r w:rsidRPr="002B3D8A">
        <w:rPr>
          <w:rFonts w:ascii="Arial" w:hAnsi="Arial" w:cs="Arial"/>
          <w:color w:val="000000" w:themeColor="text1"/>
          <w:sz w:val="24"/>
          <w:szCs w:val="24"/>
        </w:rPr>
        <w:t xml:space="preserve">. The proportion of actively breeding females with developed oocytes of </w:t>
      </w:r>
      <w:r w:rsidRPr="002B3D8A">
        <w:rPr>
          <w:rFonts w:ascii="Arial" w:hAnsi="Arial" w:cs="Arial"/>
          <w:i/>
          <w:color w:val="000000" w:themeColor="text1"/>
          <w:sz w:val="24"/>
          <w:szCs w:val="24"/>
        </w:rPr>
        <w:t>T viruliferous</w:t>
      </w:r>
      <w:r w:rsidRPr="002B3D8A">
        <w:rPr>
          <w:rFonts w:ascii="Arial" w:hAnsi="Arial" w:cs="Arial"/>
          <w:color w:val="000000" w:themeColor="text1"/>
          <w:sz w:val="24"/>
          <w:szCs w:val="24"/>
        </w:rPr>
        <w:t xml:space="preserve"> </w:t>
      </w:r>
      <w:r w:rsidRPr="002B3D8A">
        <w:rPr>
          <w:rFonts w:ascii="Arial" w:hAnsi="Arial" w:cs="Arial"/>
          <w:color w:val="000000" w:themeColor="text1"/>
          <w:sz w:val="24"/>
          <w:szCs w:val="24"/>
        </w:rPr>
        <w:lastRenderedPageBreak/>
        <w:t xml:space="preserve">increased rapidly on inoculation experiments with apple seedlings, this was however not the case of </w:t>
      </w:r>
      <w:r w:rsidRPr="002B3D8A">
        <w:rPr>
          <w:rFonts w:ascii="Arial" w:hAnsi="Arial" w:cs="Arial"/>
          <w:i/>
          <w:color w:val="000000" w:themeColor="text1"/>
          <w:sz w:val="24"/>
          <w:szCs w:val="24"/>
        </w:rPr>
        <w:t>T viruliferous</w:t>
      </w:r>
      <w:r w:rsidRPr="002B3D8A">
        <w:rPr>
          <w:rFonts w:ascii="Arial" w:hAnsi="Arial" w:cs="Arial"/>
          <w:color w:val="000000" w:themeColor="text1"/>
          <w:sz w:val="24"/>
          <w:szCs w:val="24"/>
        </w:rPr>
        <w:t xml:space="preserve"> from field soil samples collected from</w:t>
      </w:r>
      <w:r>
        <w:rPr>
          <w:rFonts w:ascii="Arial" w:hAnsi="Arial" w:cs="Arial"/>
          <w:color w:val="000000" w:themeColor="text1"/>
          <w:sz w:val="24"/>
          <w:szCs w:val="24"/>
        </w:rPr>
        <w:t xml:space="preserve"> a</w:t>
      </w:r>
      <w:r w:rsidRPr="002B3D8A">
        <w:rPr>
          <w:rFonts w:ascii="Arial" w:hAnsi="Arial" w:cs="Arial"/>
          <w:color w:val="000000" w:themeColor="text1"/>
          <w:sz w:val="24"/>
          <w:szCs w:val="24"/>
        </w:rPr>
        <w:t xml:space="preserve"> mature apple orchard, which</w:t>
      </w:r>
      <w:r>
        <w:rPr>
          <w:rFonts w:ascii="Arial" w:hAnsi="Arial" w:cs="Arial"/>
          <w:color w:val="000000" w:themeColor="text1"/>
          <w:sz w:val="24"/>
          <w:szCs w:val="24"/>
        </w:rPr>
        <w:t xml:space="preserve"> was</w:t>
      </w:r>
      <w:r w:rsidRPr="002B3D8A">
        <w:rPr>
          <w:rFonts w:ascii="Arial" w:hAnsi="Arial" w:cs="Arial"/>
          <w:color w:val="000000" w:themeColor="text1"/>
          <w:sz w:val="24"/>
          <w:szCs w:val="24"/>
        </w:rPr>
        <w:t xml:space="preserve"> mostly composed of non-breeding females with undeveloped oocytes. Comparisons made between the roots of apple seedlings used in laboratory experiments and roots of established apples in orchards, showed that the fine fibrous root system found in young apple roots provided a more efficient substrate than the fine feeder roots found in mature apple trees </w:t>
      </w:r>
      <w:r w:rsidRPr="002B3D8A">
        <w:rPr>
          <w:rFonts w:ascii="Arial" w:hAnsi="Arial" w:cs="Arial"/>
          <w:color w:val="000000" w:themeColor="text1"/>
          <w:sz w:val="24"/>
          <w:szCs w:val="24"/>
          <w:lang w:val="en-US"/>
        </w:rPr>
        <w:fldChar w:fldCharType="begin" w:fldLock="1"/>
      </w:r>
      <w:r w:rsidR="00E13293">
        <w:rPr>
          <w:rFonts w:ascii="Arial" w:hAnsi="Arial" w:cs="Arial"/>
          <w:color w:val="000000" w:themeColor="text1"/>
          <w:sz w:val="24"/>
          <w:szCs w:val="24"/>
        </w:rPr>
        <w:instrText>ADDIN CSL_CITATION {"citationItems":[{"id":"ITEM-1","itemData":{"ISBN":"9788578110796","ISSN":"1098-6596","PMID":"25246403","abstract":"Records of the occurrence of actively breeding female Trichodorus viruliferus in an orchard population, sampled at random, or in colonies aggregated near the tips of large, extending apple roots, showed that breeding continued throughout the year in both sites, but that the proportion with developed oocytes was consistently higher near the root tips (80% mean) than in the random samples (18% mean). It is concluded that root tip colonies constitute the main breeding site of T. viruliferus on mature apple trees. Laboratory studies of the life cycle indicate that larval develop- ment is too slow to account for the observed rapid population increase in apple root tip colonies of T. viruliferus. This phenomenon must therefore be regarded as a form of aggregation whose mechanism remains unknown","author":[{"dropping-particle":"","family":"Pitcher","given":"R. S.","non-dropping-particle":"","parse-names":false,"suffix":""},{"dropping-particle":"","family":"Mcnamara","given":"D. G.","non-dropping-particle":"","parse-names":false,"suffix":""}],"container-title":"Nematologica","id":"ITEM-1","issued":{"date-parts":[["1970"]]},"page":"99-106","title":"THE EFFECT OF NUTRITION AND SEASON OF YEAR ON THE REPRODUCTION OF TRICHODORUS VIRULIFERUS","type":"article-journal","volume":"16"},"uris":["http://www.mendeley.com/documents/?uuid=6e30dfd1-5b8b-4c03-93bd-f3711677d696"]}],"mendeley":{"formattedCitation":"(Pitcher and Mcnamara, 1970)","plainTextFormattedCitation":"(Pitcher and Mcnamara, 1970)","previouslyFormattedCitation":"(Pitcher and Mcnamara, 1970)"},"properties":{"noteIndex":0},"schema":"https://github.com/citation-style-language/schema/raw/master/csl-citation.json"}</w:instrText>
      </w:r>
      <w:r w:rsidRPr="002B3D8A">
        <w:rPr>
          <w:rFonts w:ascii="Arial" w:hAnsi="Arial" w:cs="Arial"/>
          <w:color w:val="000000" w:themeColor="text1"/>
          <w:sz w:val="24"/>
          <w:szCs w:val="24"/>
          <w:lang w:val="en-US"/>
        </w:rPr>
        <w:fldChar w:fldCharType="separate"/>
      </w:r>
      <w:r w:rsidR="00E13293" w:rsidRPr="00E13293">
        <w:rPr>
          <w:rFonts w:ascii="Arial" w:hAnsi="Arial" w:cs="Arial"/>
          <w:noProof/>
          <w:color w:val="000000" w:themeColor="text1"/>
          <w:sz w:val="24"/>
          <w:szCs w:val="24"/>
        </w:rPr>
        <w:t>(Pitcher and Mcnamara, 1970)</w:t>
      </w:r>
      <w:r w:rsidRPr="002B3D8A">
        <w:rPr>
          <w:rFonts w:ascii="Arial" w:hAnsi="Arial" w:cs="Arial"/>
          <w:color w:val="000000" w:themeColor="text1"/>
          <w:sz w:val="24"/>
          <w:szCs w:val="24"/>
        </w:rPr>
        <w:fldChar w:fldCharType="end"/>
      </w:r>
      <w:r w:rsidRPr="002B3D8A">
        <w:rPr>
          <w:rFonts w:ascii="Arial" w:hAnsi="Arial" w:cs="Arial"/>
          <w:color w:val="000000" w:themeColor="text1"/>
          <w:sz w:val="24"/>
          <w:szCs w:val="24"/>
        </w:rPr>
        <w:t xml:space="preserve">. Similar experiment showed that populations increase of </w:t>
      </w:r>
      <w:r w:rsidRPr="002B3D8A">
        <w:rPr>
          <w:rFonts w:ascii="Arial" w:hAnsi="Arial" w:cs="Arial"/>
          <w:i/>
          <w:color w:val="000000" w:themeColor="text1"/>
          <w:sz w:val="24"/>
          <w:szCs w:val="24"/>
        </w:rPr>
        <w:t>Paratrichodorus christie</w:t>
      </w:r>
      <w:r w:rsidRPr="002B3D8A">
        <w:rPr>
          <w:rFonts w:ascii="Arial" w:hAnsi="Arial" w:cs="Arial"/>
          <w:color w:val="000000" w:themeColor="text1"/>
          <w:sz w:val="24"/>
          <w:szCs w:val="24"/>
        </w:rPr>
        <w:t xml:space="preserve"> followed a sigmoid growth pattern when grown in pots with </w:t>
      </w:r>
      <w:r w:rsidRPr="002B3D8A">
        <w:rPr>
          <w:rFonts w:ascii="Arial" w:hAnsi="Arial" w:cs="Arial"/>
          <w:i/>
          <w:color w:val="000000" w:themeColor="text1"/>
          <w:sz w:val="24"/>
          <w:szCs w:val="24"/>
        </w:rPr>
        <w:t>Lactuca sativa</w:t>
      </w:r>
      <w:r w:rsidRPr="002B3D8A">
        <w:rPr>
          <w:rFonts w:ascii="Arial" w:hAnsi="Arial" w:cs="Arial"/>
          <w:color w:val="000000" w:themeColor="text1"/>
          <w:sz w:val="24"/>
          <w:szCs w:val="24"/>
        </w:rPr>
        <w:t xml:space="preserve"> seedlings where populations increased from </w:t>
      </w:r>
      <w:r w:rsidR="00BF7D78">
        <w:rPr>
          <w:rFonts w:ascii="Arial" w:hAnsi="Arial" w:cs="Arial"/>
          <w:noProof/>
          <w:color w:val="000000" w:themeColor="text1"/>
          <w:sz w:val="24"/>
          <w:szCs w:val="24"/>
        </w:rPr>
        <w:drawing>
          <wp:anchor distT="0" distB="0" distL="114300" distR="114300" simplePos="0" relativeHeight="251658245" behindDoc="0" locked="0" layoutInCell="1" allowOverlap="1" wp14:anchorId="24BC422F" wp14:editId="3E4AB6F7">
            <wp:simplePos x="0" y="0"/>
            <wp:positionH relativeFrom="column">
              <wp:posOffset>85725</wp:posOffset>
            </wp:positionH>
            <wp:positionV relativeFrom="margin">
              <wp:posOffset>2724150</wp:posOffset>
            </wp:positionV>
            <wp:extent cx="4600575" cy="4942698"/>
            <wp:effectExtent l="0" t="0" r="0" b="0"/>
            <wp:wrapNone/>
            <wp:docPr id="12" name="Picture 12" descr="Diagram&#10;&#10;Description automatically generated"/>
            <wp:cNvGraphicFramePr xmlns:a="http://schemas.openxmlformats.org/drawingml/2006/main">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25249" cy="4969207"/>
                    </a:xfrm>
                    <a:prstGeom prst="rect">
                      <a:avLst/>
                    </a:prstGeom>
                  </pic:spPr>
                </pic:pic>
              </a:graphicData>
            </a:graphic>
            <wp14:sizeRelH relativeFrom="margin">
              <wp14:pctWidth>0</wp14:pctWidth>
            </wp14:sizeRelH>
            <wp14:sizeRelV relativeFrom="margin">
              <wp14:pctHeight>0</wp14:pctHeight>
            </wp14:sizeRelV>
          </wp:anchor>
        </w:drawing>
      </w:r>
      <w:r w:rsidRPr="002B3D8A">
        <w:rPr>
          <w:rFonts w:ascii="Arial" w:hAnsi="Arial" w:cs="Arial"/>
          <w:color w:val="000000" w:themeColor="text1"/>
          <w:sz w:val="24"/>
          <w:szCs w:val="24"/>
        </w:rPr>
        <w:t>6,107/1 after 45</w:t>
      </w:r>
      <w:r>
        <w:rPr>
          <w:rFonts w:ascii="Arial" w:hAnsi="Arial" w:cs="Arial"/>
          <w:color w:val="000000" w:themeColor="text1"/>
          <w:sz w:val="24"/>
          <w:szCs w:val="24"/>
        </w:rPr>
        <w:t xml:space="preserve"> </w:t>
      </w:r>
      <w:r w:rsidRPr="002B3D8A">
        <w:rPr>
          <w:rFonts w:ascii="Arial" w:hAnsi="Arial" w:cs="Arial"/>
          <w:color w:val="000000" w:themeColor="text1"/>
          <w:sz w:val="24"/>
          <w:szCs w:val="24"/>
        </w:rPr>
        <w:t xml:space="preserve">days to 12,533/1 after 90 days </w:t>
      </w:r>
      <w:r w:rsidRPr="002B3D8A">
        <w:rPr>
          <w:rFonts w:ascii="Arial" w:hAnsi="Arial" w:cs="Arial"/>
          <w:color w:val="000000" w:themeColor="text1"/>
          <w:sz w:val="24"/>
          <w:szCs w:val="24"/>
        </w:rPr>
        <w:fldChar w:fldCharType="begin" w:fldLock="1"/>
      </w:r>
      <w:r w:rsidR="00200FF9">
        <w:rPr>
          <w:rFonts w:ascii="Arial" w:hAnsi="Arial" w:cs="Arial"/>
          <w:color w:val="000000" w:themeColor="text1"/>
          <w:sz w:val="24"/>
          <w:szCs w:val="24"/>
        </w:rPr>
        <w:instrText>ADDIN CSL_CITATION {"citationItems":[{"id":"ITEM-1","itemData":{"DOI":"10.1139/z68-045","ISSN":"0008-4301","abstract":"Trichodorus christiei eggs were laid in the single cell stage. The first two cleavages were transverse to the longitudinal axis of the egg, forming four blastomeres of similar size. Metaphase chromosomes were approximately 3 μ in length. First-stage juveniles were recognizable after 96 hours, and emerged from the egg 100–120 hours after it was laid. Stomatal armature was well developed after 96 hours. The esophagus and intestine developed shortly before emergence.","author":[{"dropping-particle":"","family":"Bird","given":"G. W.","non-dropping-particle":"","parse-names":false,"suffix":""},{"dropping-particle":"","family":"Goodman","given":"R. M.","non-dropping-particle":"","parse-names":false,"suffix":""},{"dropping-particle":"","family":"Mai","given":"W. F.","non-dropping-particle":"","parse-names":false,"suffix":""}],"container-title":"Canadian Journal of Zoology","id":"ITEM-1","issue":"2","issued":{"date-parts":[["1968","3","1"]]},"page":"292-293","publisher":"Canadian Science Publishing","title":" Observations on the embryogenesis of Trichodorus christiei (Nematodea: Diphtherophoroidea) ","type":"article-journal","volume":"46"},"uris":["http://www.mendeley.com/documents/?uuid=2fcb3447-fa1b-3b70-92e8-8af4765cedcd"]}],"mendeley":{"formattedCitation":"(Bird, Goodman and Mai, 1968)","plainTextFormattedCitation":"(Bird, Goodman and Mai, 1968)","previouslyFormattedCitation":"(Bird, Goodman and Mai, 1968)"},"properties":{"noteIndex":0},"schema":"https://github.com/citation-style-language/schema/raw/master/csl-citation.json"}</w:instrText>
      </w:r>
      <w:r w:rsidRPr="002B3D8A">
        <w:rPr>
          <w:rFonts w:ascii="Arial" w:hAnsi="Arial" w:cs="Arial"/>
          <w:color w:val="000000" w:themeColor="text1"/>
          <w:sz w:val="24"/>
          <w:szCs w:val="24"/>
        </w:rPr>
        <w:fldChar w:fldCharType="separate"/>
      </w:r>
      <w:r w:rsidR="00A07F2C" w:rsidRPr="00A07F2C">
        <w:rPr>
          <w:rFonts w:ascii="Arial" w:hAnsi="Arial" w:cs="Arial"/>
          <w:noProof/>
          <w:color w:val="000000" w:themeColor="text1"/>
          <w:sz w:val="24"/>
          <w:szCs w:val="24"/>
        </w:rPr>
        <w:t>(Bird, Goodman and Mai, 1968)</w:t>
      </w:r>
      <w:r w:rsidRPr="002B3D8A">
        <w:rPr>
          <w:rFonts w:ascii="Arial" w:hAnsi="Arial" w:cs="Arial"/>
          <w:color w:val="000000" w:themeColor="text1"/>
          <w:sz w:val="24"/>
          <w:szCs w:val="24"/>
        </w:rPr>
        <w:fldChar w:fldCharType="end"/>
      </w:r>
    </w:p>
    <w:p w14:paraId="462A054C" w14:textId="6A0E4D55" w:rsidR="007C5E19" w:rsidRDefault="007C5E19" w:rsidP="007C5E19">
      <w:pPr>
        <w:spacing w:line="360" w:lineRule="auto"/>
        <w:jc w:val="both"/>
        <w:rPr>
          <w:rFonts w:ascii="Arial" w:eastAsia="Calibri" w:hAnsi="Arial" w:cs="Arial"/>
          <w:color w:val="000000" w:themeColor="text1"/>
          <w:sz w:val="24"/>
          <w:szCs w:val="24"/>
        </w:rPr>
      </w:pPr>
    </w:p>
    <w:p w14:paraId="4C010594" w14:textId="1DB73FFC" w:rsidR="009E64F4" w:rsidRDefault="009E64F4" w:rsidP="007C5E19">
      <w:pPr>
        <w:spacing w:line="360" w:lineRule="auto"/>
        <w:jc w:val="both"/>
        <w:rPr>
          <w:rFonts w:ascii="Arial" w:eastAsia="Calibri" w:hAnsi="Arial" w:cs="Arial"/>
          <w:color w:val="000000" w:themeColor="text1"/>
          <w:sz w:val="24"/>
          <w:szCs w:val="24"/>
        </w:rPr>
      </w:pPr>
    </w:p>
    <w:p w14:paraId="5131F1D1" w14:textId="425CCF58" w:rsidR="009E64F4" w:rsidRDefault="009E64F4" w:rsidP="007C5E19">
      <w:pPr>
        <w:spacing w:line="360" w:lineRule="auto"/>
        <w:jc w:val="both"/>
        <w:rPr>
          <w:rFonts w:ascii="Arial" w:eastAsia="Calibri" w:hAnsi="Arial" w:cs="Arial"/>
          <w:color w:val="000000" w:themeColor="text1"/>
          <w:sz w:val="24"/>
          <w:szCs w:val="24"/>
        </w:rPr>
      </w:pPr>
    </w:p>
    <w:p w14:paraId="09F7805A" w14:textId="232B5453" w:rsidR="009E64F4" w:rsidRDefault="009E64F4" w:rsidP="007C5E19">
      <w:pPr>
        <w:spacing w:line="360" w:lineRule="auto"/>
        <w:jc w:val="both"/>
        <w:rPr>
          <w:rFonts w:ascii="Arial" w:eastAsia="Calibri" w:hAnsi="Arial" w:cs="Arial"/>
          <w:color w:val="000000" w:themeColor="text1"/>
          <w:sz w:val="24"/>
          <w:szCs w:val="24"/>
        </w:rPr>
      </w:pPr>
    </w:p>
    <w:p w14:paraId="2C8869A3" w14:textId="61DE10A9" w:rsidR="009E64F4" w:rsidRDefault="009E64F4" w:rsidP="007C5E19">
      <w:pPr>
        <w:spacing w:line="360" w:lineRule="auto"/>
        <w:jc w:val="both"/>
        <w:rPr>
          <w:rFonts w:ascii="Arial" w:eastAsia="Calibri" w:hAnsi="Arial" w:cs="Arial"/>
          <w:color w:val="000000" w:themeColor="text1"/>
          <w:sz w:val="24"/>
          <w:szCs w:val="24"/>
        </w:rPr>
      </w:pPr>
    </w:p>
    <w:p w14:paraId="4E6CE158" w14:textId="05A9D73B" w:rsidR="009E64F4" w:rsidRDefault="009E64F4" w:rsidP="007C5E19">
      <w:pPr>
        <w:spacing w:line="360" w:lineRule="auto"/>
        <w:jc w:val="both"/>
        <w:rPr>
          <w:rFonts w:ascii="Arial" w:eastAsia="Calibri" w:hAnsi="Arial" w:cs="Arial"/>
          <w:color w:val="000000" w:themeColor="text1"/>
          <w:sz w:val="24"/>
          <w:szCs w:val="24"/>
        </w:rPr>
      </w:pPr>
    </w:p>
    <w:p w14:paraId="5FB2B558" w14:textId="00FBCF16" w:rsidR="009E64F4" w:rsidRDefault="009E64F4" w:rsidP="007C5E19">
      <w:pPr>
        <w:spacing w:line="360" w:lineRule="auto"/>
        <w:jc w:val="both"/>
        <w:rPr>
          <w:rFonts w:ascii="Arial" w:eastAsia="Calibri" w:hAnsi="Arial" w:cs="Arial"/>
          <w:color w:val="000000" w:themeColor="text1"/>
          <w:sz w:val="24"/>
          <w:szCs w:val="24"/>
        </w:rPr>
      </w:pPr>
    </w:p>
    <w:p w14:paraId="5744402E" w14:textId="77777777" w:rsidR="009E64F4" w:rsidRPr="002B3D8A" w:rsidRDefault="009E64F4" w:rsidP="007C5E19">
      <w:pPr>
        <w:spacing w:line="360" w:lineRule="auto"/>
        <w:jc w:val="both"/>
        <w:rPr>
          <w:rFonts w:ascii="Arial" w:eastAsia="Calibri" w:hAnsi="Arial" w:cs="Arial"/>
          <w:color w:val="000000" w:themeColor="text1"/>
          <w:sz w:val="24"/>
          <w:szCs w:val="24"/>
        </w:rPr>
      </w:pPr>
    </w:p>
    <w:p w14:paraId="2ADB9A39" w14:textId="77777777" w:rsidR="00487AD5" w:rsidRDefault="00487AD5" w:rsidP="00F02735">
      <w:pPr>
        <w:rPr>
          <w:rFonts w:ascii="Arial" w:hAnsi="Arial" w:cs="Arial"/>
          <w:color w:val="000000" w:themeColor="text1"/>
          <w:sz w:val="24"/>
          <w:szCs w:val="24"/>
        </w:rPr>
      </w:pPr>
    </w:p>
    <w:p w14:paraId="0D413762" w14:textId="77777777" w:rsidR="00487AD5" w:rsidRDefault="00487AD5" w:rsidP="00F02735">
      <w:pPr>
        <w:rPr>
          <w:rFonts w:ascii="Arial" w:hAnsi="Arial" w:cs="Arial"/>
          <w:color w:val="000000" w:themeColor="text1"/>
          <w:sz w:val="24"/>
          <w:szCs w:val="24"/>
        </w:rPr>
      </w:pPr>
    </w:p>
    <w:p w14:paraId="685F5268" w14:textId="77777777" w:rsidR="00487AD5" w:rsidRDefault="00487AD5" w:rsidP="00F02735">
      <w:pPr>
        <w:rPr>
          <w:rFonts w:ascii="Arial" w:hAnsi="Arial" w:cs="Arial"/>
          <w:color w:val="000000" w:themeColor="text1"/>
          <w:sz w:val="24"/>
          <w:szCs w:val="24"/>
        </w:rPr>
      </w:pPr>
    </w:p>
    <w:p w14:paraId="225CBD76" w14:textId="77777777" w:rsidR="00487AD5" w:rsidRDefault="00487AD5" w:rsidP="00F02735">
      <w:pPr>
        <w:rPr>
          <w:rFonts w:ascii="Arial" w:hAnsi="Arial" w:cs="Arial"/>
          <w:color w:val="000000" w:themeColor="text1"/>
          <w:sz w:val="24"/>
          <w:szCs w:val="24"/>
        </w:rPr>
      </w:pPr>
    </w:p>
    <w:p w14:paraId="065C6DAD" w14:textId="77777777" w:rsidR="00487AD5" w:rsidRDefault="00487AD5" w:rsidP="00F02735">
      <w:pPr>
        <w:rPr>
          <w:rFonts w:ascii="Arial" w:hAnsi="Arial" w:cs="Arial"/>
          <w:color w:val="000000" w:themeColor="text1"/>
          <w:sz w:val="24"/>
          <w:szCs w:val="24"/>
        </w:rPr>
      </w:pPr>
    </w:p>
    <w:p w14:paraId="6DC6ECBF" w14:textId="77777777" w:rsidR="00487AD5" w:rsidRDefault="00487AD5" w:rsidP="00F02735">
      <w:pPr>
        <w:rPr>
          <w:rFonts w:ascii="Arial" w:hAnsi="Arial" w:cs="Arial"/>
          <w:color w:val="000000" w:themeColor="text1"/>
          <w:sz w:val="24"/>
          <w:szCs w:val="24"/>
        </w:rPr>
      </w:pPr>
    </w:p>
    <w:p w14:paraId="4E5DD927" w14:textId="77777777" w:rsidR="00487AD5" w:rsidRDefault="00487AD5" w:rsidP="00F02735">
      <w:pPr>
        <w:rPr>
          <w:rFonts w:ascii="Arial" w:hAnsi="Arial" w:cs="Arial"/>
          <w:color w:val="000000" w:themeColor="text1"/>
          <w:sz w:val="24"/>
          <w:szCs w:val="24"/>
        </w:rPr>
      </w:pPr>
    </w:p>
    <w:p w14:paraId="025A43D1" w14:textId="7D7C9F92" w:rsidR="00487AD5" w:rsidRDefault="007C5E19" w:rsidP="00F02735">
      <w:pPr>
        <w:rPr>
          <w:rFonts w:ascii="Arial" w:hAnsi="Arial" w:cs="Arial"/>
          <w:color w:val="000000" w:themeColor="text1"/>
          <w:sz w:val="24"/>
          <w:szCs w:val="24"/>
        </w:rPr>
        <w:sectPr w:rsidR="00487AD5" w:rsidSect="00B27D90">
          <w:pgSz w:w="11906" w:h="16838"/>
          <w:pgMar w:top="1440" w:right="1440" w:bottom="1440" w:left="1440" w:header="708" w:footer="708" w:gutter="0"/>
          <w:cols w:space="708"/>
          <w:docGrid w:linePitch="360"/>
        </w:sectPr>
      </w:pPr>
      <w:bookmarkStart w:id="12" w:name="_Toc110342104"/>
      <w:r w:rsidRPr="002B3D8A">
        <w:rPr>
          <w:rFonts w:ascii="Arial" w:hAnsi="Arial" w:cs="Arial"/>
          <w:color w:val="000000" w:themeColor="text1"/>
          <w:sz w:val="24"/>
          <w:szCs w:val="24"/>
        </w:rPr>
        <w:t xml:space="preserve">Figure </w:t>
      </w:r>
      <w:r w:rsidRPr="002B3D8A">
        <w:rPr>
          <w:rFonts w:ascii="Arial" w:hAnsi="Arial" w:cs="Arial"/>
          <w:color w:val="000000" w:themeColor="text1"/>
          <w:sz w:val="24"/>
          <w:szCs w:val="24"/>
        </w:rPr>
        <w:fldChar w:fldCharType="begin"/>
      </w:r>
      <w:r w:rsidRPr="002B3D8A">
        <w:rPr>
          <w:rFonts w:ascii="Arial" w:hAnsi="Arial" w:cs="Arial"/>
          <w:color w:val="000000" w:themeColor="text1"/>
          <w:sz w:val="24"/>
          <w:szCs w:val="24"/>
        </w:rPr>
        <w:instrText xml:space="preserve"> SEQ Figure \* ARABIC </w:instrText>
      </w:r>
      <w:r w:rsidRPr="002B3D8A">
        <w:rPr>
          <w:rFonts w:ascii="Arial" w:hAnsi="Arial" w:cs="Arial"/>
          <w:color w:val="000000" w:themeColor="text1"/>
          <w:sz w:val="24"/>
          <w:szCs w:val="24"/>
        </w:rPr>
        <w:fldChar w:fldCharType="separate"/>
      </w:r>
      <w:r w:rsidR="00C10D2B">
        <w:rPr>
          <w:rFonts w:ascii="Arial" w:hAnsi="Arial" w:cs="Arial"/>
          <w:noProof/>
          <w:color w:val="000000" w:themeColor="text1"/>
          <w:sz w:val="24"/>
          <w:szCs w:val="24"/>
        </w:rPr>
        <w:t>1</w:t>
      </w:r>
      <w:r w:rsidRPr="002B3D8A">
        <w:rPr>
          <w:rFonts w:ascii="Arial" w:hAnsi="Arial" w:cs="Arial"/>
          <w:color w:val="000000" w:themeColor="text1"/>
          <w:sz w:val="24"/>
          <w:szCs w:val="24"/>
        </w:rPr>
        <w:fldChar w:fldCharType="end"/>
      </w:r>
      <w:r w:rsidRPr="002B3D8A">
        <w:rPr>
          <w:rFonts w:ascii="Arial" w:hAnsi="Arial" w:cs="Arial"/>
          <w:b/>
          <w:i/>
          <w:color w:val="000000" w:themeColor="text1"/>
          <w:sz w:val="24"/>
          <w:szCs w:val="24"/>
        </w:rPr>
        <w:t xml:space="preserve">: </w:t>
      </w:r>
      <w:r>
        <w:rPr>
          <w:rFonts w:ascii="Arial" w:hAnsi="Arial" w:cs="Arial"/>
          <w:color w:val="000000" w:themeColor="text1"/>
          <w:sz w:val="24"/>
          <w:szCs w:val="24"/>
        </w:rPr>
        <w:t>The</w:t>
      </w:r>
      <w:r w:rsidRPr="002B3D8A">
        <w:rPr>
          <w:rFonts w:ascii="Arial" w:hAnsi="Arial" w:cs="Arial"/>
          <w:color w:val="000000" w:themeColor="text1"/>
          <w:sz w:val="24"/>
          <w:szCs w:val="24"/>
        </w:rPr>
        <w:t xml:space="preserve"> lifecycle of the stubby root nematode. source: </w:t>
      </w:r>
      <w:r w:rsidRPr="002B3D8A">
        <w:rPr>
          <w:rFonts w:ascii="Arial" w:hAnsi="Arial" w:cs="Arial"/>
          <w:color w:val="000000" w:themeColor="text1"/>
          <w:sz w:val="24"/>
          <w:szCs w:val="24"/>
        </w:rPr>
        <w:fldChar w:fldCharType="begin" w:fldLock="1"/>
      </w:r>
      <w:r w:rsidR="00E13293">
        <w:rPr>
          <w:rFonts w:ascii="Arial" w:hAnsi="Arial" w:cs="Arial"/>
          <w:color w:val="000000" w:themeColor="text1"/>
          <w:sz w:val="24"/>
          <w:szCs w:val="24"/>
        </w:rPr>
        <w:instrText>ADDIN CSL_CITATION {"citationItems":[{"id":"ITEM-1","itemData":{"ISBN":"0642578354","author":[{"dropping-particle":"","family":"Graham Stirling","given":"by","non-dropping-particle":"","parse-names":false,"suffix":""},{"dropping-particle":"","family":"Nicol","given":"Julie","non-dropping-particle":"","parse-names":false,"suffix":""}],"id":"ITEM-1","issued":{"date-parts":[["2002"]]},"title":"Advisory Services for Nematode Pests Operational Guidelines A report for the Rural Industries Research and Development Corporation","type":"report"},"uris":["http://www.mendeley.com/documents/?uuid=a9e0d781-e681-3e37-96dd-b3029fcc5166"]}],"mendeley":{"formattedCitation":"(Graham Stirling and Nicol, 2002)","manualFormatting":"(graham stirling &amp; nicol, 2002)","plainTextFormattedCitation":"(Graham Stirling and Nicol, 2002)","previouslyFormattedCitation":"(Graham Stirling and Nicol, 2002)"},"properties":{"noteIndex":0},"schema":"https://github.com/citation-style-language/schema/raw/master/csl-citation.json"}</w:instrText>
      </w:r>
      <w:r w:rsidRPr="002B3D8A">
        <w:rPr>
          <w:rFonts w:ascii="Arial" w:hAnsi="Arial" w:cs="Arial"/>
          <w:color w:val="000000" w:themeColor="text1"/>
          <w:sz w:val="24"/>
          <w:szCs w:val="24"/>
        </w:rPr>
        <w:fldChar w:fldCharType="separate"/>
      </w:r>
      <w:r w:rsidRPr="002B3D8A">
        <w:rPr>
          <w:rFonts w:ascii="Arial" w:hAnsi="Arial" w:cs="Arial"/>
          <w:noProof/>
          <w:color w:val="000000" w:themeColor="text1"/>
          <w:sz w:val="24"/>
          <w:szCs w:val="24"/>
        </w:rPr>
        <w:t>(graham stirling &amp; nicol, 2002)</w:t>
      </w:r>
      <w:bookmarkEnd w:id="12"/>
      <w:r w:rsidRPr="002B3D8A">
        <w:rPr>
          <w:rFonts w:ascii="Arial" w:hAnsi="Arial" w:cs="Arial"/>
          <w:color w:val="000000" w:themeColor="text1"/>
          <w:sz w:val="24"/>
          <w:szCs w:val="24"/>
        </w:rPr>
        <w:fldChar w:fldCharType="end"/>
      </w:r>
    </w:p>
    <w:p w14:paraId="737607D1" w14:textId="156DB6A8" w:rsidR="00EE5200" w:rsidRPr="002B3D8A" w:rsidRDefault="003A449C" w:rsidP="0063623D">
      <w:pPr>
        <w:pStyle w:val="Heading3"/>
        <w:spacing w:line="360" w:lineRule="auto"/>
        <w:rPr>
          <w:rFonts w:ascii="Arial" w:eastAsia="Calibri" w:hAnsi="Arial" w:cs="Arial"/>
          <w:b/>
          <w:color w:val="000000" w:themeColor="text1"/>
          <w:sz w:val="24"/>
          <w:szCs w:val="24"/>
        </w:rPr>
      </w:pPr>
      <w:bookmarkStart w:id="13" w:name="_Toc110341277"/>
      <w:r w:rsidRPr="002B3D8A">
        <w:rPr>
          <w:rFonts w:ascii="Arial" w:eastAsia="Calibri" w:hAnsi="Arial" w:cs="Arial"/>
          <w:b/>
          <w:color w:val="000000" w:themeColor="text1"/>
          <w:sz w:val="24"/>
          <w:szCs w:val="24"/>
        </w:rPr>
        <w:lastRenderedPageBreak/>
        <w:t>1.</w:t>
      </w:r>
      <w:r w:rsidR="001A0616" w:rsidRPr="002B3D8A">
        <w:rPr>
          <w:rFonts w:ascii="Arial" w:eastAsia="Calibri" w:hAnsi="Arial" w:cs="Arial"/>
          <w:b/>
          <w:color w:val="000000" w:themeColor="text1"/>
          <w:sz w:val="24"/>
          <w:szCs w:val="24"/>
        </w:rPr>
        <w:t>2.</w:t>
      </w:r>
      <w:r w:rsidR="00B4138B">
        <w:rPr>
          <w:rFonts w:ascii="Arial" w:eastAsia="Calibri" w:hAnsi="Arial" w:cs="Arial"/>
          <w:b/>
          <w:color w:val="000000" w:themeColor="text1"/>
          <w:sz w:val="24"/>
          <w:szCs w:val="24"/>
        </w:rPr>
        <w:t>5</w:t>
      </w:r>
      <w:r w:rsidRPr="002B3D8A">
        <w:rPr>
          <w:rFonts w:ascii="Arial" w:eastAsia="Calibri" w:hAnsi="Arial" w:cs="Arial"/>
          <w:b/>
          <w:color w:val="000000" w:themeColor="text1"/>
          <w:sz w:val="24"/>
          <w:szCs w:val="24"/>
        </w:rPr>
        <w:t xml:space="preserve"> </w:t>
      </w:r>
      <w:r w:rsidR="00EE5200" w:rsidRPr="002B3D8A">
        <w:rPr>
          <w:rFonts w:ascii="Arial" w:eastAsia="Calibri" w:hAnsi="Arial" w:cs="Arial"/>
          <w:b/>
          <w:color w:val="000000" w:themeColor="text1"/>
          <w:sz w:val="24"/>
          <w:szCs w:val="24"/>
        </w:rPr>
        <w:t>Ecology</w:t>
      </w:r>
      <w:r w:rsidR="004F0CD4" w:rsidRPr="002B3D8A">
        <w:rPr>
          <w:rFonts w:ascii="Arial" w:eastAsia="Calibri" w:hAnsi="Arial" w:cs="Arial"/>
          <w:b/>
          <w:color w:val="000000" w:themeColor="text1"/>
          <w:sz w:val="24"/>
          <w:szCs w:val="24"/>
        </w:rPr>
        <w:t xml:space="preserve">, </w:t>
      </w:r>
      <w:r w:rsidR="00EE5200" w:rsidRPr="002B3D8A">
        <w:rPr>
          <w:rFonts w:ascii="Arial" w:eastAsia="Calibri" w:hAnsi="Arial" w:cs="Arial"/>
          <w:b/>
          <w:color w:val="000000" w:themeColor="text1"/>
          <w:sz w:val="24"/>
          <w:szCs w:val="24"/>
        </w:rPr>
        <w:t xml:space="preserve">Survival </w:t>
      </w:r>
      <w:r w:rsidR="004F0CD4" w:rsidRPr="002B3D8A">
        <w:rPr>
          <w:rFonts w:ascii="Arial" w:eastAsia="Calibri" w:hAnsi="Arial" w:cs="Arial"/>
          <w:b/>
          <w:color w:val="000000" w:themeColor="text1"/>
          <w:sz w:val="24"/>
          <w:szCs w:val="24"/>
        </w:rPr>
        <w:t>and damage</w:t>
      </w:r>
      <w:bookmarkEnd w:id="13"/>
      <w:r w:rsidR="004F0CD4" w:rsidRPr="002B3D8A">
        <w:rPr>
          <w:rFonts w:ascii="Arial" w:eastAsia="Calibri" w:hAnsi="Arial" w:cs="Arial"/>
          <w:b/>
          <w:color w:val="000000" w:themeColor="text1"/>
          <w:sz w:val="24"/>
          <w:szCs w:val="24"/>
        </w:rPr>
        <w:t xml:space="preserve"> </w:t>
      </w:r>
    </w:p>
    <w:p w14:paraId="6C04EBDE" w14:textId="18AAF5A9" w:rsidR="00EE5200" w:rsidRPr="002B3D8A" w:rsidRDefault="00AA6D77" w:rsidP="0063623D">
      <w:pPr>
        <w:pStyle w:val="Heading4"/>
        <w:spacing w:line="360" w:lineRule="auto"/>
        <w:rPr>
          <w:rFonts w:ascii="Arial" w:eastAsia="Calibri" w:hAnsi="Arial" w:cs="Arial"/>
          <w:color w:val="000000" w:themeColor="text1"/>
        </w:rPr>
      </w:pPr>
      <w:r w:rsidRPr="002B3D8A">
        <w:rPr>
          <w:rFonts w:ascii="Arial" w:eastAsia="Calibri" w:hAnsi="Arial" w:cs="Arial"/>
          <w:b/>
          <w:color w:val="000000" w:themeColor="text1"/>
        </w:rPr>
        <w:t>1.</w:t>
      </w:r>
      <w:r w:rsidR="001A0616" w:rsidRPr="002B3D8A">
        <w:rPr>
          <w:rFonts w:ascii="Arial" w:eastAsia="Calibri" w:hAnsi="Arial" w:cs="Arial"/>
          <w:b/>
          <w:color w:val="000000" w:themeColor="text1"/>
        </w:rPr>
        <w:t>2</w:t>
      </w:r>
      <w:r w:rsidRPr="002B3D8A">
        <w:rPr>
          <w:rFonts w:ascii="Arial" w:eastAsia="Calibri" w:hAnsi="Arial" w:cs="Arial"/>
          <w:b/>
          <w:color w:val="000000" w:themeColor="text1"/>
        </w:rPr>
        <w:t>.</w:t>
      </w:r>
      <w:r w:rsidR="00F52458">
        <w:rPr>
          <w:rFonts w:ascii="Arial" w:eastAsia="Calibri" w:hAnsi="Arial" w:cs="Arial"/>
          <w:b/>
          <w:color w:val="000000" w:themeColor="text1"/>
        </w:rPr>
        <w:t>5</w:t>
      </w:r>
      <w:r w:rsidR="001A0616" w:rsidRPr="002B3D8A">
        <w:rPr>
          <w:rFonts w:ascii="Arial" w:eastAsia="Calibri" w:hAnsi="Arial" w:cs="Arial"/>
          <w:b/>
          <w:color w:val="000000" w:themeColor="text1"/>
        </w:rPr>
        <w:t>.1</w:t>
      </w:r>
      <w:r w:rsidR="00EE5200" w:rsidRPr="002B3D8A">
        <w:rPr>
          <w:rFonts w:ascii="Arial" w:eastAsia="Calibri" w:hAnsi="Arial" w:cs="Arial"/>
          <w:b/>
          <w:color w:val="000000" w:themeColor="text1"/>
        </w:rPr>
        <w:t xml:space="preserve"> </w:t>
      </w:r>
      <w:r w:rsidR="0079771E" w:rsidRPr="002B3D8A">
        <w:rPr>
          <w:rFonts w:ascii="Arial" w:eastAsia="Calibri" w:hAnsi="Arial" w:cs="Arial"/>
          <w:b/>
          <w:color w:val="000000" w:themeColor="text1"/>
        </w:rPr>
        <w:t>Ecology</w:t>
      </w:r>
      <w:r w:rsidR="0079771E" w:rsidRPr="002B3D8A">
        <w:rPr>
          <w:rFonts w:ascii="Arial" w:eastAsia="Calibri" w:hAnsi="Arial" w:cs="Arial"/>
          <w:color w:val="000000" w:themeColor="text1"/>
        </w:rPr>
        <w:t xml:space="preserve"> </w:t>
      </w:r>
    </w:p>
    <w:p w14:paraId="2FFF9666" w14:textId="50D27E8A" w:rsidR="00B27D90" w:rsidRPr="002B3D8A" w:rsidRDefault="51036E6F" w:rsidP="00616CDC">
      <w:pPr>
        <w:spacing w:line="360" w:lineRule="auto"/>
        <w:ind w:left="-284"/>
        <w:jc w:val="both"/>
        <w:rPr>
          <w:rFonts w:ascii="Arial" w:eastAsia="Calibri" w:hAnsi="Arial" w:cs="Arial"/>
          <w:color w:val="000000" w:themeColor="text1"/>
          <w:sz w:val="24"/>
          <w:szCs w:val="24"/>
        </w:rPr>
      </w:pPr>
      <w:r w:rsidRPr="51036E6F">
        <w:rPr>
          <w:rFonts w:ascii="Arial" w:eastAsia="Calibri" w:hAnsi="Arial" w:cs="Arial"/>
          <w:color w:val="000000" w:themeColor="text1"/>
          <w:sz w:val="24"/>
          <w:szCs w:val="24"/>
        </w:rPr>
        <w:t xml:space="preserve">Nematodes in the family Trichodoridae, mostly inhabit sandy soils. The clay particles and silt are said to inhibit movement of trichodorids, hence they occur and thrive in sandy soils </w:t>
      </w:r>
      <w:r w:rsidR="00323300" w:rsidRPr="51036E6F">
        <w:rPr>
          <w:rFonts w:ascii="Arial" w:eastAsia="Calibri" w:hAnsi="Arial" w:cs="Arial"/>
          <w:color w:val="000000" w:themeColor="text1"/>
          <w:sz w:val="24"/>
          <w:szCs w:val="24"/>
        </w:rPr>
        <w:fldChar w:fldCharType="begin" w:fldLock="1"/>
      </w:r>
      <w:r w:rsidR="00323300" w:rsidRPr="51036E6F">
        <w:rPr>
          <w:rFonts w:ascii="Arial" w:eastAsia="Calibri" w:hAnsi="Arial" w:cs="Arial"/>
          <w:color w:val="000000" w:themeColor="text1"/>
          <w:sz w:val="24"/>
          <w:szCs w:val="24"/>
        </w:rPr>
        <w:instrText>ADDIN CSL_CITATION {"citationItems":[{"id":"ITEM-1","itemData":{"DOI":"10.1007/978-1-4684-0841-6_25","author":[{"dropping-particle":"","family":"Winfield","given":"A. L.","non-dropping-particle":"","parse-names":false,"suffix":""},{"dropping-particle":"","family":"Cooke","given":"D. A.","non-dropping-particle":"","parse-names":false,"suffix":""}],"container-title":"Nematode Vectors of Plant Viruses","id":"ITEM-1","issue":"81","issued":{"date-parts":[["1975"]]},"page":"309-341","title":"The Ecology of Trichodorus","type":"article-journal"},"uris":["http://www.mendeley.com/documents/?uuid=19b7aa37-b8dc-4943-9f00-a313747111cf"]}],"mendeley":{"formattedCitation":"(Winfield and Cooke, 1975)","plainTextFormattedCitation":"(Winfield and Cooke, 1975)","previouslyFormattedCitation":"(Winfield and Cooke, 1975)"},"properties":{"noteIndex":0},"schema":"https://github.com/citation-style-language/schema/raw/master/csl-citation.json"}</w:instrText>
      </w:r>
      <w:r w:rsidR="00323300" w:rsidRPr="51036E6F">
        <w:rPr>
          <w:rFonts w:ascii="Arial" w:eastAsia="Calibri" w:hAnsi="Arial" w:cs="Arial"/>
          <w:color w:val="000000" w:themeColor="text1"/>
          <w:sz w:val="24"/>
          <w:szCs w:val="24"/>
        </w:rPr>
        <w:fldChar w:fldCharType="separate"/>
      </w:r>
      <w:r w:rsidRPr="51036E6F">
        <w:rPr>
          <w:rFonts w:ascii="Arial" w:eastAsia="Calibri" w:hAnsi="Arial" w:cs="Arial"/>
          <w:noProof/>
          <w:color w:val="000000" w:themeColor="text1"/>
          <w:sz w:val="24"/>
          <w:szCs w:val="24"/>
        </w:rPr>
        <w:t>(Winfield and Cooke, 1975)</w:t>
      </w:r>
      <w:r w:rsidR="00323300" w:rsidRPr="51036E6F">
        <w:rPr>
          <w:rFonts w:ascii="Arial" w:eastAsia="Calibri" w:hAnsi="Arial" w:cs="Arial"/>
          <w:color w:val="000000" w:themeColor="text1"/>
          <w:sz w:val="24"/>
          <w:szCs w:val="24"/>
        </w:rPr>
        <w:fldChar w:fldCharType="end"/>
      </w:r>
      <w:r w:rsidRPr="51036E6F">
        <w:rPr>
          <w:rFonts w:ascii="Arial" w:eastAsia="Calibri" w:hAnsi="Arial" w:cs="Arial"/>
          <w:color w:val="000000" w:themeColor="text1"/>
          <w:sz w:val="24"/>
          <w:szCs w:val="24"/>
        </w:rPr>
        <w:t xml:space="preserve">. The ability of the nematode to move is dependent on the size of the soil pore as well as the free path i.e. the distance a nematode can move without distraction; this is mostly important for long nematodes like longidorids. For shorter nematodes like trichodorids, the body diameter is key as the nematodes are plump, which explains the relationship between the adult body diameter and the occurrence and thriving in course sandy soils where the pore size allows the nematode to effectively move </w:t>
      </w:r>
      <w:r w:rsidR="00323300" w:rsidRPr="51036E6F">
        <w:rPr>
          <w:rFonts w:ascii="Arial" w:eastAsia="Calibri" w:hAnsi="Arial" w:cs="Arial"/>
          <w:color w:val="000000" w:themeColor="text1"/>
          <w:sz w:val="24"/>
          <w:szCs w:val="24"/>
        </w:rPr>
        <w:fldChar w:fldCharType="begin" w:fldLock="1"/>
      </w:r>
      <w:r w:rsidR="00323300" w:rsidRPr="51036E6F">
        <w:rPr>
          <w:rFonts w:ascii="Arial" w:eastAsia="Calibri" w:hAnsi="Arial" w:cs="Arial"/>
          <w:color w:val="000000" w:themeColor="text1"/>
          <w:sz w:val="24"/>
          <w:szCs w:val="24"/>
        </w:rPr>
        <w:instrText>ADDIN CSL_CITATION {"citationItems":[{"id":"ITEM-1","itemData":{"DOI":"10.1007/978-1-4684-0841-6_25","author":[{"dropping-particle":"","family":"Winfield","given":"A. L.","non-dropping-particle":"","parse-names":false,"suffix":""},{"dropping-particle":"","family":"Cooke","given":"D. A.","non-dropping-particle":"","parse-names":false,"suffix":""}],"container-title":"Nematode Vectors of Plant Viruses","id":"ITEM-1","issue":"81","issued":{"date-parts":[["1975"]]},"page":"309-341","title":"The Ecology of Trichodorus","type":"article-journal"},"uris":["http://www.mendeley.com/documents/?uuid=19b7aa37-b8dc-4943-9f00-a313747111cf"]}],"mendeley":{"formattedCitation":"(Winfield and Cooke, 1975)","plainTextFormattedCitation":"(Winfield and Cooke, 1975)","previouslyFormattedCitation":"(Winfield and Cooke, 1975)"},"properties":{"noteIndex":0},"schema":"https://github.com/citation-style-language/schema/raw/master/csl-citation.json"}</w:instrText>
      </w:r>
      <w:r w:rsidR="00323300" w:rsidRPr="51036E6F">
        <w:rPr>
          <w:rFonts w:ascii="Arial" w:eastAsia="Calibri" w:hAnsi="Arial" w:cs="Arial"/>
          <w:color w:val="000000" w:themeColor="text1"/>
          <w:sz w:val="24"/>
          <w:szCs w:val="24"/>
        </w:rPr>
        <w:fldChar w:fldCharType="separate"/>
      </w:r>
      <w:r w:rsidRPr="51036E6F">
        <w:rPr>
          <w:rFonts w:ascii="Arial" w:eastAsia="Calibri" w:hAnsi="Arial" w:cs="Arial"/>
          <w:noProof/>
          <w:color w:val="000000" w:themeColor="text1"/>
          <w:sz w:val="24"/>
          <w:szCs w:val="24"/>
        </w:rPr>
        <w:t>(Winfield and Cooke, 1975)</w:t>
      </w:r>
      <w:r w:rsidR="00323300" w:rsidRPr="51036E6F">
        <w:rPr>
          <w:rFonts w:ascii="Arial" w:eastAsia="Calibri" w:hAnsi="Arial" w:cs="Arial"/>
          <w:color w:val="000000" w:themeColor="text1"/>
          <w:sz w:val="24"/>
          <w:szCs w:val="24"/>
        </w:rPr>
        <w:fldChar w:fldCharType="end"/>
      </w:r>
      <w:r w:rsidRPr="51036E6F">
        <w:rPr>
          <w:rFonts w:ascii="Arial" w:eastAsia="Calibri" w:hAnsi="Arial" w:cs="Arial"/>
          <w:color w:val="000000" w:themeColor="text1"/>
          <w:sz w:val="24"/>
          <w:szCs w:val="24"/>
        </w:rPr>
        <w:t xml:space="preserve">. The juveniles of </w:t>
      </w:r>
      <w:r w:rsidRPr="51036E6F">
        <w:rPr>
          <w:rFonts w:ascii="Arial" w:eastAsia="Calibri" w:hAnsi="Arial" w:cs="Arial"/>
          <w:i/>
          <w:iCs/>
          <w:color w:val="000000" w:themeColor="text1"/>
          <w:sz w:val="24"/>
          <w:szCs w:val="24"/>
        </w:rPr>
        <w:t xml:space="preserve">Heterodera </w:t>
      </w:r>
      <w:r w:rsidRPr="51036E6F">
        <w:rPr>
          <w:rFonts w:ascii="Arial" w:eastAsia="Calibri" w:hAnsi="Arial" w:cs="Arial"/>
          <w:color w:val="000000" w:themeColor="text1"/>
          <w:sz w:val="24"/>
          <w:szCs w:val="24"/>
        </w:rPr>
        <w:t xml:space="preserve">and </w:t>
      </w:r>
      <w:r w:rsidRPr="51036E6F">
        <w:rPr>
          <w:rFonts w:ascii="Arial" w:eastAsia="Calibri" w:hAnsi="Arial" w:cs="Arial"/>
          <w:i/>
          <w:iCs/>
          <w:color w:val="000000" w:themeColor="text1"/>
          <w:sz w:val="24"/>
          <w:szCs w:val="24"/>
        </w:rPr>
        <w:t>Trichodorus</w:t>
      </w:r>
      <w:r w:rsidRPr="51036E6F">
        <w:rPr>
          <w:rFonts w:ascii="Arial" w:eastAsia="Calibri" w:hAnsi="Arial" w:cs="Arial"/>
          <w:color w:val="000000" w:themeColor="text1"/>
          <w:sz w:val="24"/>
          <w:szCs w:val="24"/>
        </w:rPr>
        <w:t xml:space="preserve"> and the early juvenile stages of </w:t>
      </w:r>
      <w:r w:rsidRPr="51036E6F">
        <w:rPr>
          <w:rFonts w:ascii="Arial" w:eastAsia="Calibri" w:hAnsi="Arial" w:cs="Arial"/>
          <w:i/>
          <w:iCs/>
          <w:color w:val="000000" w:themeColor="text1"/>
          <w:sz w:val="24"/>
          <w:szCs w:val="24"/>
        </w:rPr>
        <w:t>Longidorus</w:t>
      </w:r>
      <w:r w:rsidRPr="51036E6F">
        <w:rPr>
          <w:rFonts w:ascii="Arial" w:eastAsia="Calibri" w:hAnsi="Arial" w:cs="Arial"/>
          <w:color w:val="000000" w:themeColor="text1"/>
          <w:sz w:val="24"/>
          <w:szCs w:val="24"/>
        </w:rPr>
        <w:t xml:space="preserve"> average 20 µm in diameter and are therefore unable to penetrate densely packed soils consisting only of clay, silt or the finer fractions of fine sand with particle diameters less than 50 µm </w:t>
      </w:r>
      <w:r w:rsidR="00323300" w:rsidRPr="51036E6F">
        <w:rPr>
          <w:rFonts w:ascii="Arial" w:eastAsia="Calibri" w:hAnsi="Arial" w:cs="Arial"/>
          <w:color w:val="000000" w:themeColor="text1"/>
          <w:sz w:val="24"/>
          <w:szCs w:val="24"/>
          <w:lang w:val="en-US"/>
        </w:rPr>
        <w:fldChar w:fldCharType="begin" w:fldLock="1"/>
      </w:r>
      <w:r w:rsidR="00323300" w:rsidRPr="51036E6F">
        <w:rPr>
          <w:rFonts w:ascii="Arial" w:eastAsia="Calibri" w:hAnsi="Arial" w:cs="Arial"/>
          <w:color w:val="000000" w:themeColor="text1"/>
          <w:sz w:val="24"/>
          <w:szCs w:val="24"/>
        </w:rPr>
        <w:instrText>ADDIN CSL_CITATION {"citationItems":[{"id":"ITEM-1","itemData":{"DOI":"10.1016/0038-0717(69)90006-6","ISSN":"00380717","abstract":"In soils space and moisture are critical factors determining their suitability for nematodes which are confined to existing spaces. Although they may squeeze through necks with diameters somewhat smaller than their own, the diameter of the necks determine whether passage is possible. The mean free path that can be traversed before encountering blind ends or impassable necks is probably also important especially for long nematodes. Studies of artificial soils composed of uniform spheres have little relevance to the penetration of soil spaces by nematodes but they suggest that, except in coarse soils, nematodes cannot penetrate the spaces between particles but are confined to those between aggregates. In an unfilled woodland soil containing much clay, Xiphinema diversicaudatum were seen in macropores between impenetrable aggregates. The amount of usable space in the soil was estimated from the moisture characteristic of samples taken down the profile. At 2, 6,18 and 30 cm, 13, 8, 6 and 5 per cent of the soil volume was available and the decrease with depth corresponded with increasing amounts of clay. Helerodera spp. occurred in fine and coarse-textured soils but Trichodorus and Lonfidorus spp. occurred significantly only in soils with 80 per cent or more of coarse particles (fine and coarse sand). Tillage increases the amount of space available to nematodes even in fine soils with much clay. Weathering and later cultivations may break down aggregates and decrease available space. Some tilled soils with weak aggregates contain particles of such shapes and sizes that they readily compact to a system with few interconnecting pores of a size through which nematodes can pass. Coarse sandy soils are unstable and tend to compact but even when partly compacted provide space for Trichodorus and Longidorus spp. to move. Whereas ectoparasitic nematodes live entirely in the soil, endoparasitic ones soon leave it to enter plant-roots where they are unaffected by soil moisture. As coarse soils soon drain and as nematodes can only function when structural moisture forces are small, rainfall is probably important to ectoparasitic species. In sugar beet crops stunted by ectoparasitic nematodes the summation of nematode activity is probably related to cumulative rainfall. Dry spells in May and early June probably immobilize nematodes long enough to enable stunted root systems to recover after which plants begin to grow. H. schachtii was unable to multiply in Cantley soil …","author":[{"dropping-particle":"","family":"Jones","given":"F. G.W.","non-dropping-particle":"","parse-names":false,"suffix":""},{"dropping-particle":"","family":"Larbey","given":"D. W.","non-dropping-particle":"","parse-names":false,"suffix":""},{"dropping-particle":"","family":"Parrott","given":"Diana M.","non-dropping-particle":"","parse-names":false,"suffix":""}],"container-title":"Soil Biology and Biochemistry","id":"ITEM-1","issue":"2","issued":{"date-parts":[["1969"]]},"title":"The influence of soil structure and moisture on nematodes, especially xiphinema, longidorus, trichodorus and heterodera spp.","type":"article-journal","volume":"1"},"uris":["http://www.mendeley.com/documents/?uuid=58948e36-6e46-45ba-b6c6-b73181e2b5f6"]}],"mendeley":{"formattedCitation":"(Jones, Larbey and Parrott, 1969)","plainTextFormattedCitation":"(Jones, Larbey and Parrott, 1969)","previouslyFormattedCitation":"(Jones, Larbey and Parrott, 1969)"},"properties":{"noteIndex":0},"schema":"https://github.com/citation-style-language/schema/raw/master/csl-citation.json"}</w:instrText>
      </w:r>
      <w:r w:rsidR="00323300" w:rsidRPr="51036E6F">
        <w:rPr>
          <w:rFonts w:ascii="Arial" w:eastAsia="Calibri" w:hAnsi="Arial" w:cs="Arial"/>
          <w:color w:val="000000" w:themeColor="text1"/>
          <w:sz w:val="24"/>
          <w:szCs w:val="24"/>
          <w:lang w:val="en-US"/>
        </w:rPr>
        <w:fldChar w:fldCharType="separate"/>
      </w:r>
      <w:r w:rsidRPr="51036E6F">
        <w:rPr>
          <w:rFonts w:ascii="Arial" w:eastAsia="Calibri" w:hAnsi="Arial" w:cs="Arial"/>
          <w:noProof/>
          <w:color w:val="000000" w:themeColor="text1"/>
          <w:sz w:val="24"/>
          <w:szCs w:val="24"/>
        </w:rPr>
        <w:t>(Jones, Larbey and Parrott, 1969)</w:t>
      </w:r>
      <w:r w:rsidR="00323300" w:rsidRPr="51036E6F">
        <w:rPr>
          <w:rFonts w:ascii="Arial" w:eastAsia="Calibri" w:hAnsi="Arial" w:cs="Arial"/>
          <w:color w:val="000000" w:themeColor="text1"/>
          <w:sz w:val="24"/>
          <w:szCs w:val="24"/>
        </w:rPr>
        <w:fldChar w:fldCharType="end"/>
      </w:r>
      <w:r w:rsidRPr="51036E6F">
        <w:rPr>
          <w:rFonts w:ascii="Arial" w:eastAsia="Calibri" w:hAnsi="Arial" w:cs="Arial"/>
          <w:color w:val="000000" w:themeColor="text1"/>
          <w:sz w:val="24"/>
          <w:szCs w:val="24"/>
        </w:rPr>
        <w:t xml:space="preserve">. Evidence of the nematodes’ ability to move in sandy soils with greater pre-spaces was shown in experiments conducted using four different grades of sand. Movement was best in the 200-400µ sand fraction and slightly less in the 100-200 µ and 400-800 µ fractions; the least movement was in the 800-1400 µ fraction </w:t>
      </w:r>
      <w:r w:rsidR="00323300" w:rsidRPr="51036E6F">
        <w:rPr>
          <w:rFonts w:ascii="Arial" w:eastAsia="Calibri" w:hAnsi="Arial" w:cs="Arial"/>
          <w:color w:val="000000" w:themeColor="text1"/>
          <w:sz w:val="24"/>
          <w:szCs w:val="24"/>
          <w:lang w:val="en-US"/>
        </w:rPr>
        <w:fldChar w:fldCharType="begin" w:fldLock="1"/>
      </w:r>
      <w:r w:rsidR="00323300" w:rsidRPr="51036E6F">
        <w:rPr>
          <w:rFonts w:ascii="Arial" w:eastAsia="Calibri" w:hAnsi="Arial" w:cs="Arial"/>
          <w:color w:val="000000" w:themeColor="text1"/>
          <w:sz w:val="24"/>
          <w:szCs w:val="24"/>
        </w:rPr>
        <w:instrText>ADDIN CSL_CITATION {"citationItems":[{"id":"ITEM-1","itemData":{"DOI":"10.1007/978-1-4684-0841-6_25","author":[{"dropping-particle":"","family":"Winfield","given":"A. L.","non-dropping-particle":"","parse-names":false,"suffix":""},{"dropping-particle":"","family":"Cooke","given":"D. A.","non-dropping-particle":"","parse-names":false,"suffix":""}],"container-title":"Nematode Vectors of Plant Viruses","id":"ITEM-1","issue":"81","issued":{"date-parts":[["1975"]]},"page":"309-341","title":"The Ecology of Trichodorus","type":"article-journal"},"uris":["http://www.mendeley.com/documents/?uuid=19b7aa37-b8dc-4943-9f00-a313747111cf"]}],"mendeley":{"formattedCitation":"(Winfield and Cooke, 1975)","plainTextFormattedCitation":"(Winfield and Cooke, 1975)","previouslyFormattedCitation":"(Winfield and Cooke, 1975)"},"properties":{"noteIndex":0},"schema":"https://github.com/citation-style-language/schema/raw/master/csl-citation.json"}</w:instrText>
      </w:r>
      <w:r w:rsidR="00323300" w:rsidRPr="51036E6F">
        <w:rPr>
          <w:rFonts w:ascii="Arial" w:eastAsia="Calibri" w:hAnsi="Arial" w:cs="Arial"/>
          <w:color w:val="000000" w:themeColor="text1"/>
          <w:sz w:val="24"/>
          <w:szCs w:val="24"/>
          <w:lang w:val="en-US"/>
        </w:rPr>
        <w:fldChar w:fldCharType="separate"/>
      </w:r>
      <w:r w:rsidRPr="51036E6F">
        <w:rPr>
          <w:rFonts w:ascii="Arial" w:eastAsia="Calibri" w:hAnsi="Arial" w:cs="Arial"/>
          <w:noProof/>
          <w:color w:val="000000" w:themeColor="text1"/>
          <w:sz w:val="24"/>
          <w:szCs w:val="24"/>
        </w:rPr>
        <w:t>(Winfield and Cooke, 1975)</w:t>
      </w:r>
      <w:r w:rsidR="00323300" w:rsidRPr="51036E6F">
        <w:rPr>
          <w:rFonts w:ascii="Arial" w:eastAsia="Calibri" w:hAnsi="Arial" w:cs="Arial"/>
          <w:color w:val="000000" w:themeColor="text1"/>
          <w:sz w:val="24"/>
          <w:szCs w:val="24"/>
        </w:rPr>
        <w:fldChar w:fldCharType="end"/>
      </w:r>
      <w:r w:rsidRPr="51036E6F">
        <w:rPr>
          <w:rFonts w:ascii="Arial" w:eastAsia="Calibri" w:hAnsi="Arial" w:cs="Arial"/>
          <w:color w:val="000000" w:themeColor="text1"/>
          <w:sz w:val="24"/>
          <w:szCs w:val="24"/>
        </w:rPr>
        <w:t xml:space="preserve">. Mechanical analysis of ten soils obtained from East Anglia in which </w:t>
      </w:r>
      <w:r w:rsidRPr="51036E6F">
        <w:rPr>
          <w:rFonts w:ascii="Arial" w:eastAsia="Calibri" w:hAnsi="Arial" w:cs="Arial"/>
          <w:i/>
          <w:iCs/>
          <w:color w:val="000000" w:themeColor="text1"/>
          <w:sz w:val="24"/>
          <w:szCs w:val="24"/>
        </w:rPr>
        <w:t>Trichodorus</w:t>
      </w:r>
      <w:r w:rsidRPr="51036E6F">
        <w:rPr>
          <w:rFonts w:ascii="Arial" w:eastAsia="Calibri" w:hAnsi="Arial" w:cs="Arial"/>
          <w:color w:val="000000" w:themeColor="text1"/>
          <w:sz w:val="24"/>
          <w:szCs w:val="24"/>
        </w:rPr>
        <w:t xml:space="preserve"> nematodes were found to be abundant, had a profile of 32-60% coarse sand, 22-42% fine sand, 6-12% silt and 7-12% clay. The organic matter content was low, and the free calcium carbonate was between 1.8 and 4.6%. Soil with fine texture and a high proportion of silt and clay had no </w:t>
      </w:r>
      <w:r w:rsidRPr="51036E6F">
        <w:rPr>
          <w:rFonts w:ascii="Arial" w:eastAsia="Calibri" w:hAnsi="Arial" w:cs="Arial"/>
          <w:i/>
          <w:iCs/>
          <w:color w:val="000000" w:themeColor="text1"/>
          <w:sz w:val="24"/>
          <w:szCs w:val="24"/>
        </w:rPr>
        <w:t xml:space="preserve">Trichodorus </w:t>
      </w:r>
      <w:r w:rsidRPr="51036E6F">
        <w:rPr>
          <w:rFonts w:ascii="Arial" w:eastAsia="Calibri" w:hAnsi="Arial" w:cs="Arial"/>
          <w:color w:val="000000" w:themeColor="text1"/>
          <w:sz w:val="24"/>
          <w:szCs w:val="24"/>
        </w:rPr>
        <w:t xml:space="preserve">spp. </w:t>
      </w:r>
      <w:r w:rsidR="00323300" w:rsidRPr="51036E6F">
        <w:rPr>
          <w:rFonts w:ascii="Arial" w:eastAsia="Calibri" w:hAnsi="Arial" w:cs="Arial"/>
          <w:color w:val="000000" w:themeColor="text1"/>
          <w:sz w:val="24"/>
          <w:szCs w:val="24"/>
        </w:rPr>
        <w:fldChar w:fldCharType="begin" w:fldLock="1"/>
      </w:r>
      <w:r w:rsidR="00323300" w:rsidRPr="51036E6F">
        <w:rPr>
          <w:rFonts w:ascii="Arial" w:eastAsia="Calibri" w:hAnsi="Arial" w:cs="Arial"/>
          <w:color w:val="000000" w:themeColor="text1"/>
          <w:sz w:val="24"/>
          <w:szCs w:val="24"/>
        </w:rPr>
        <w:instrText>ADDIN CSL_CITATION {"citationItems":[{"id":"ITEM-1","itemData":{"DOI":"10.1016/0038-0717(69)90006-6","ISSN":"00380717","abstract":"In soils space and moisture are critical factors determining their suitability for nematodes which are confined to existing spaces. Although they may squeeze through necks with diameters somewhat smaller than their own, the diameter of the necks determine whether passage is possible. The mean free path that can be traversed before encountering blind ends or impassable necks is probably also important especially for long nematodes. Studies of artificial soils composed of uniform spheres have little relevance to the penetration of soil spaces by nematodes but they suggest that, except in coarse soils, nematodes cannot penetrate the spaces between particles but are confined to those between aggregates. In an unfilled woodland soil containing much clay, Xiphinema diversicaudatum were seen in macropores between impenetrable aggregates. The amount of usable space in the soil was estimated from the moisture characteristic of samples taken down the profile. At 2, 6,18 and 30 cm, 13, 8, 6 and 5 per cent of the soil volume was available and the decrease with depth corresponded with increasing amounts of clay. Helerodera spp. occurred in fine and coarse-textured soils but Trichodorus and Lonfidorus spp. occurred significantly only in soils with 80 per cent or more of coarse particles (fine and coarse sand). Tillage increases the amount of space available to nematodes even in fine soils with much clay. Weathering and later cultivations may break down aggregates and decrease available space. Some tilled soils with weak aggregates contain particles of such shapes and sizes that they readily compact to a system with few interconnecting pores of a size through which nematodes can pass. Coarse sandy soils are unstable and tend to compact but even when partly compacted provide space for Trichodorus and Longidorus spp. to move. Whereas ectoparasitic nematodes live entirely in the soil, endoparasitic ones soon leave it to enter plant-roots where they are unaffected by soil moisture. As coarse soils soon drain and as nematodes can only function when structural moisture forces are small, rainfall is probably important to ectoparasitic species. In sugar beet crops stunted by ectoparasitic nematodes the summation of nematode activity is probably related to cumulative rainfall. Dry spells in May and early June probably immobilize nematodes long enough to enable stunted root systems to recover after which plants begin to grow. H. schachtii was unable to multiply in Cantley soil …","author":[{"dropping-particle":"","family":"Jones","given":"F. G.W.","non-dropping-particle":"","parse-names":false,"suffix":""},{"dropping-particle":"","family":"Larbey","given":"D. W.","non-dropping-particle":"","parse-names":false,"suffix":""},{"dropping-particle":"","family":"Parrott","given":"Diana M.","non-dropping-particle":"","parse-names":false,"suffix":""}],"container-title":"Soil Biology and Biochemistry","id":"ITEM-1","issue":"2","issued":{"date-parts":[["1969"]]},"title":"The influence of soil structure and moisture on nematodes, especially xiphinema, longidorus, trichodorus and heterodera spp.","type":"article-journal","volume":"1"},"uris":["http://www.mendeley.com/documents/?uuid=58948e36-6e46-45ba-b6c6-b73181e2b5f6"]}],"mendeley":{"formattedCitation":"(Jones, Larbey and Parrott, 1969)","plainTextFormattedCitation":"(Jones, Larbey and Parrott, 1969)","previouslyFormattedCitation":"(Jones, Larbey and Parrott, 1969)"},"properties":{"noteIndex":0},"schema":"https://github.com/citation-style-language/schema/raw/master/csl-citation.json"}</w:instrText>
      </w:r>
      <w:r w:rsidR="00323300" w:rsidRPr="51036E6F">
        <w:rPr>
          <w:rFonts w:ascii="Arial" w:eastAsia="Calibri" w:hAnsi="Arial" w:cs="Arial"/>
          <w:color w:val="000000" w:themeColor="text1"/>
          <w:sz w:val="24"/>
          <w:szCs w:val="24"/>
        </w:rPr>
        <w:fldChar w:fldCharType="separate"/>
      </w:r>
      <w:r w:rsidRPr="51036E6F">
        <w:rPr>
          <w:rFonts w:ascii="Arial" w:eastAsia="Calibri" w:hAnsi="Arial" w:cs="Arial"/>
          <w:noProof/>
          <w:color w:val="000000" w:themeColor="text1"/>
          <w:sz w:val="24"/>
          <w:szCs w:val="24"/>
        </w:rPr>
        <w:t>(Jones, Larbey and Parrott, 1969)</w:t>
      </w:r>
      <w:r w:rsidR="00323300" w:rsidRPr="51036E6F">
        <w:rPr>
          <w:rFonts w:ascii="Arial" w:eastAsia="Calibri" w:hAnsi="Arial" w:cs="Arial"/>
          <w:color w:val="000000" w:themeColor="text1"/>
          <w:sz w:val="24"/>
          <w:szCs w:val="24"/>
        </w:rPr>
        <w:fldChar w:fldCharType="end"/>
      </w:r>
      <w:r w:rsidRPr="51036E6F">
        <w:rPr>
          <w:rFonts w:ascii="Arial" w:eastAsia="Calibri" w:hAnsi="Arial" w:cs="Arial"/>
          <w:color w:val="000000" w:themeColor="text1"/>
          <w:sz w:val="24"/>
          <w:szCs w:val="24"/>
        </w:rPr>
        <w:t xml:space="preserve">. In a survey conducted to determine distribution of trichodorids in the British Isles, trichodorids were mainly found (50% of infested sites) in soils with a sand fraction greater than 80% and a less than 10% silt. The remainder of the sites with trichodorids had sandy loamy soils. No trichodorids were obtained in clay or silt soils </w:t>
      </w:r>
      <w:r w:rsidR="00323300" w:rsidRPr="51036E6F">
        <w:rPr>
          <w:rFonts w:ascii="Arial" w:eastAsia="Calibri" w:hAnsi="Arial" w:cs="Arial"/>
          <w:color w:val="000000" w:themeColor="text1"/>
          <w:sz w:val="24"/>
          <w:szCs w:val="24"/>
        </w:rPr>
        <w:fldChar w:fldCharType="begin" w:fldLock="1"/>
      </w:r>
      <w:r w:rsidR="00323300" w:rsidRPr="51036E6F">
        <w:rPr>
          <w:rFonts w:ascii="Arial" w:eastAsia="Calibri" w:hAnsi="Arial" w:cs="Arial"/>
          <w:color w:val="000000" w:themeColor="text1"/>
          <w:sz w:val="24"/>
          <w:szCs w:val="24"/>
        </w:rPr>
        <w:instrText>ADDIN CSL_CITATION {"citationItems":[{"id":"ITEM-1","itemData":{"DOI":"10.1111/j.1744-7348.1976.tb01780.x","ISSN":"17447348","abstract":"This survey describes the distribution of trichodorid nematodes in Great Britain. Twelve species were recorded, including the newly described species Trichodorus hooperi Loof, 1973 and the first British record of T. sparsus Szczygiel, 1968. In the survey 3614 samples and records were analysed using the Statistical Package for Social Sciences computer programme. Seven hundred and ninety</w:instrText>
      </w:r>
      <w:r w:rsidR="00323300" w:rsidRPr="51036E6F">
        <w:rPr>
          <w:rFonts w:ascii="Cambria Math" w:eastAsia="Calibri" w:hAnsi="Cambria Math" w:cs="Cambria Math"/>
          <w:color w:val="000000" w:themeColor="text1"/>
          <w:sz w:val="24"/>
          <w:szCs w:val="24"/>
        </w:rPr>
        <w:instrText>‐</w:instrText>
      </w:r>
      <w:r w:rsidR="00323300" w:rsidRPr="51036E6F">
        <w:rPr>
          <w:rFonts w:ascii="Arial" w:eastAsia="Calibri" w:hAnsi="Arial" w:cs="Arial"/>
          <w:color w:val="000000" w:themeColor="text1"/>
          <w:sz w:val="24"/>
          <w:szCs w:val="24"/>
        </w:rPr>
        <w:instrText>two positive sites, containing 971 trichodorid populations, were located. Outline maps show the geographical distribution of each species. T. primitivus de Man, 1880 was the most commonly found species and had a cosmopolitan distribution. Paratrichodorus pachy</w:instrText>
      </w:r>
      <w:r w:rsidR="00323300" w:rsidRPr="51036E6F">
        <w:rPr>
          <w:rFonts w:ascii="Cambria Math" w:eastAsia="Calibri" w:hAnsi="Cambria Math" w:cs="Cambria Math"/>
          <w:color w:val="000000" w:themeColor="text1"/>
          <w:sz w:val="24"/>
          <w:szCs w:val="24"/>
        </w:rPr>
        <w:instrText>‐</w:instrText>
      </w:r>
      <w:r w:rsidR="00323300" w:rsidRPr="51036E6F">
        <w:rPr>
          <w:rFonts w:ascii="Arial" w:eastAsia="Calibri" w:hAnsi="Arial" w:cs="Arial"/>
          <w:color w:val="000000" w:themeColor="text1"/>
          <w:sz w:val="24"/>
          <w:szCs w:val="24"/>
        </w:rPr>
        <w:instrText>dermus Seinhorst, 1954 was the next most prevalent and occurred mostly in eastern England and Scotland. Populations of the other ten species were more restricted in both number and distribution. The distribution of trichodorid spp. with respect to altitude, soil type, pH and primary vegetation was tested using chi</w:instrText>
      </w:r>
      <w:r w:rsidR="00323300" w:rsidRPr="51036E6F">
        <w:rPr>
          <w:rFonts w:ascii="Cambria Math" w:eastAsia="Calibri" w:hAnsi="Cambria Math" w:cs="Cambria Math"/>
          <w:color w:val="000000" w:themeColor="text1"/>
          <w:sz w:val="24"/>
          <w:szCs w:val="24"/>
        </w:rPr>
        <w:instrText>‐</w:instrText>
      </w:r>
      <w:r w:rsidR="00323300" w:rsidRPr="51036E6F">
        <w:rPr>
          <w:rFonts w:ascii="Arial" w:eastAsia="Calibri" w:hAnsi="Arial" w:cs="Arial"/>
          <w:color w:val="000000" w:themeColor="text1"/>
          <w:sz w:val="24"/>
          <w:szCs w:val="24"/>
        </w:rPr>
        <w:instrText>squared contingency tests. A significant relationship between nematodes and environmental factors was found in all cases examined. However, interactions were found between several environmental factors and further tests were applied to study the independence of the species distributions with respect to these interactions. Copyright © 1976, Wiley Blackwell. All rights reserved","author":[{"dropping-particle":"","family":"Alphey","given":"T. J.W.","non-dropping-particle":"","parse-names":false,"suffix":""},{"dropping-particle":"","family":"Boag","given":"B.","non-dropping-particle":"","parse-names":false,"suffix":""}],"container-title":"Annals of Applied Biology","id":"ITEM-1","issue":"3","issued":{"date-parts":[["1976"]]},"page":"371-381","title":"Distribution of trichodorid nematodes in Great Britain","type":"article-journal","volume":"84"},"uris":["http://www.mendeley.com/documents/?uuid=e0936ad2-ed9a-3964-b9a2-6618f1fad6bd"]}],"mendeley":{"formattedCitation":"(Alphey and Boag, 1976)","plainTextFormattedCitation":"(Alphey and Boag, 1976)","previouslyFormattedCitation":"(Alphey and Boag, 1976)"},"properties":{"noteIndex":0},"schema":"https://github.com/citation-style-language/schema/raw/master/csl-citation.json"}</w:instrText>
      </w:r>
      <w:r w:rsidR="00323300" w:rsidRPr="51036E6F">
        <w:rPr>
          <w:rFonts w:ascii="Arial" w:eastAsia="Calibri" w:hAnsi="Arial" w:cs="Arial"/>
          <w:color w:val="000000" w:themeColor="text1"/>
          <w:sz w:val="24"/>
          <w:szCs w:val="24"/>
        </w:rPr>
        <w:fldChar w:fldCharType="separate"/>
      </w:r>
      <w:r w:rsidRPr="51036E6F">
        <w:rPr>
          <w:rFonts w:ascii="Arial" w:eastAsia="Calibri" w:hAnsi="Arial" w:cs="Arial"/>
          <w:noProof/>
          <w:color w:val="000000" w:themeColor="text1"/>
          <w:sz w:val="24"/>
          <w:szCs w:val="24"/>
        </w:rPr>
        <w:t>(Alphey and Boag, 1976)</w:t>
      </w:r>
      <w:r w:rsidR="00323300" w:rsidRPr="51036E6F">
        <w:rPr>
          <w:rFonts w:ascii="Arial" w:eastAsia="Calibri" w:hAnsi="Arial" w:cs="Arial"/>
          <w:color w:val="000000" w:themeColor="text1"/>
          <w:sz w:val="24"/>
          <w:szCs w:val="24"/>
        </w:rPr>
        <w:fldChar w:fldCharType="end"/>
      </w:r>
      <w:r w:rsidRPr="51036E6F">
        <w:rPr>
          <w:rFonts w:ascii="Arial" w:eastAsia="Calibri" w:hAnsi="Arial" w:cs="Arial"/>
          <w:color w:val="000000" w:themeColor="text1"/>
          <w:sz w:val="24"/>
          <w:szCs w:val="24"/>
        </w:rPr>
        <w:t xml:space="preserve">. </w:t>
      </w:r>
      <w:bookmarkStart w:id="14" w:name="_Hlk63159627"/>
      <w:r w:rsidRPr="51036E6F">
        <w:rPr>
          <w:rFonts w:ascii="Arial" w:eastAsia="Calibri" w:hAnsi="Arial" w:cs="Arial"/>
          <w:color w:val="000000" w:themeColor="text1"/>
          <w:sz w:val="24"/>
          <w:szCs w:val="24"/>
        </w:rPr>
        <w:t xml:space="preserve">In 98 fields with light sandy soils from eastern England </w:t>
      </w:r>
      <w:r w:rsidRPr="51036E6F">
        <w:rPr>
          <w:rFonts w:ascii="Arial" w:eastAsia="Calibri" w:hAnsi="Arial" w:cs="Arial"/>
          <w:i/>
          <w:iCs/>
          <w:color w:val="000000" w:themeColor="text1"/>
          <w:sz w:val="24"/>
          <w:szCs w:val="24"/>
        </w:rPr>
        <w:t>P. pachydermus</w:t>
      </w:r>
      <w:r w:rsidRPr="51036E6F">
        <w:rPr>
          <w:rFonts w:ascii="Arial" w:eastAsia="Calibri" w:hAnsi="Arial" w:cs="Arial"/>
          <w:color w:val="000000" w:themeColor="text1"/>
          <w:sz w:val="24"/>
          <w:szCs w:val="24"/>
        </w:rPr>
        <w:t xml:space="preserve"> Seinhorst occurred in thirty-five, </w:t>
      </w:r>
      <w:r w:rsidRPr="51036E6F">
        <w:rPr>
          <w:rFonts w:ascii="Arial" w:eastAsia="Calibri" w:hAnsi="Arial" w:cs="Arial"/>
          <w:i/>
          <w:iCs/>
          <w:color w:val="000000" w:themeColor="text1"/>
          <w:sz w:val="24"/>
          <w:szCs w:val="24"/>
        </w:rPr>
        <w:t>T. primitivus</w:t>
      </w:r>
      <w:r w:rsidRPr="51036E6F">
        <w:rPr>
          <w:rFonts w:ascii="Arial" w:eastAsia="Calibri" w:hAnsi="Arial" w:cs="Arial"/>
          <w:color w:val="000000" w:themeColor="text1"/>
          <w:sz w:val="24"/>
          <w:szCs w:val="24"/>
        </w:rPr>
        <w:t xml:space="preserve"> (de Man) in twenty-nine, </w:t>
      </w:r>
      <w:r w:rsidRPr="51036E6F">
        <w:rPr>
          <w:rFonts w:ascii="Arial" w:eastAsia="Calibri" w:hAnsi="Arial" w:cs="Arial"/>
          <w:i/>
          <w:iCs/>
          <w:color w:val="000000" w:themeColor="text1"/>
          <w:sz w:val="24"/>
          <w:szCs w:val="24"/>
        </w:rPr>
        <w:t>T. viruliferus</w:t>
      </w:r>
      <w:r w:rsidRPr="51036E6F">
        <w:rPr>
          <w:rFonts w:ascii="Arial" w:eastAsia="Calibri" w:hAnsi="Arial" w:cs="Arial"/>
          <w:color w:val="000000" w:themeColor="text1"/>
          <w:sz w:val="24"/>
          <w:szCs w:val="24"/>
        </w:rPr>
        <w:t xml:space="preserve"> Hooper in thirteen, </w:t>
      </w:r>
      <w:r w:rsidRPr="51036E6F">
        <w:rPr>
          <w:rFonts w:ascii="Arial" w:eastAsia="Calibri" w:hAnsi="Arial" w:cs="Arial"/>
          <w:i/>
          <w:iCs/>
          <w:color w:val="000000" w:themeColor="text1"/>
          <w:sz w:val="24"/>
          <w:szCs w:val="24"/>
        </w:rPr>
        <w:t>T. similis</w:t>
      </w:r>
      <w:r w:rsidRPr="51036E6F">
        <w:rPr>
          <w:rFonts w:ascii="Arial" w:eastAsia="Calibri" w:hAnsi="Arial" w:cs="Arial"/>
          <w:color w:val="000000" w:themeColor="text1"/>
          <w:sz w:val="24"/>
          <w:szCs w:val="24"/>
        </w:rPr>
        <w:t xml:space="preserve"> Seinhorst in nine, </w:t>
      </w:r>
      <w:r w:rsidRPr="51036E6F">
        <w:rPr>
          <w:rFonts w:ascii="Arial" w:eastAsia="Calibri" w:hAnsi="Arial" w:cs="Arial"/>
          <w:i/>
          <w:iCs/>
          <w:color w:val="000000" w:themeColor="text1"/>
          <w:sz w:val="24"/>
          <w:szCs w:val="24"/>
        </w:rPr>
        <w:t>T. cylindricus</w:t>
      </w:r>
      <w:r w:rsidRPr="51036E6F">
        <w:rPr>
          <w:rFonts w:ascii="Arial" w:eastAsia="Calibri" w:hAnsi="Arial" w:cs="Arial"/>
          <w:color w:val="000000" w:themeColor="text1"/>
          <w:sz w:val="24"/>
          <w:szCs w:val="24"/>
        </w:rPr>
        <w:t xml:space="preserve"> in eight and </w:t>
      </w:r>
      <w:r w:rsidRPr="51036E6F">
        <w:rPr>
          <w:rFonts w:ascii="Arial" w:eastAsia="Calibri" w:hAnsi="Arial" w:cs="Arial"/>
          <w:i/>
          <w:iCs/>
          <w:color w:val="000000" w:themeColor="text1"/>
          <w:sz w:val="24"/>
          <w:szCs w:val="24"/>
        </w:rPr>
        <w:t>T. teres</w:t>
      </w:r>
      <w:r w:rsidRPr="51036E6F">
        <w:rPr>
          <w:rFonts w:ascii="Arial" w:eastAsia="Calibri" w:hAnsi="Arial" w:cs="Arial"/>
          <w:color w:val="000000" w:themeColor="text1"/>
          <w:sz w:val="24"/>
          <w:szCs w:val="24"/>
        </w:rPr>
        <w:t xml:space="preserve"> Hooper and </w:t>
      </w:r>
      <w:r w:rsidRPr="51036E6F">
        <w:rPr>
          <w:rFonts w:ascii="Arial" w:eastAsia="Calibri" w:hAnsi="Arial" w:cs="Arial"/>
          <w:i/>
          <w:iCs/>
          <w:color w:val="000000" w:themeColor="text1"/>
          <w:sz w:val="24"/>
          <w:szCs w:val="24"/>
        </w:rPr>
        <w:t>T. anemones</w:t>
      </w:r>
      <w:r w:rsidRPr="51036E6F">
        <w:rPr>
          <w:rFonts w:ascii="Arial" w:eastAsia="Calibri" w:hAnsi="Arial" w:cs="Arial"/>
          <w:color w:val="000000" w:themeColor="text1"/>
          <w:sz w:val="24"/>
          <w:szCs w:val="24"/>
        </w:rPr>
        <w:t xml:space="preserve"> in two each, showing the wide distribution of </w:t>
      </w:r>
      <w:r w:rsidRPr="51036E6F">
        <w:rPr>
          <w:rFonts w:ascii="Arial" w:eastAsia="Calibri" w:hAnsi="Arial" w:cs="Arial"/>
          <w:i/>
          <w:iCs/>
          <w:color w:val="000000" w:themeColor="text1"/>
          <w:sz w:val="24"/>
          <w:szCs w:val="24"/>
        </w:rPr>
        <w:t>Trichodorus</w:t>
      </w:r>
      <w:r w:rsidRPr="51036E6F">
        <w:rPr>
          <w:rFonts w:ascii="Arial" w:eastAsia="Calibri" w:hAnsi="Arial" w:cs="Arial"/>
          <w:color w:val="000000" w:themeColor="text1"/>
          <w:sz w:val="24"/>
          <w:szCs w:val="24"/>
        </w:rPr>
        <w:t xml:space="preserve"> spp in sandy soils </w:t>
      </w:r>
      <w:r w:rsidR="00323300" w:rsidRPr="51036E6F">
        <w:rPr>
          <w:rFonts w:ascii="Arial" w:eastAsia="Calibri" w:hAnsi="Arial" w:cs="Arial"/>
          <w:color w:val="000000" w:themeColor="text1"/>
          <w:sz w:val="24"/>
          <w:szCs w:val="24"/>
        </w:rPr>
        <w:fldChar w:fldCharType="begin" w:fldLock="1"/>
      </w:r>
      <w:r w:rsidR="00323300" w:rsidRPr="51036E6F">
        <w:rPr>
          <w:rFonts w:ascii="Arial" w:eastAsia="Calibri" w:hAnsi="Arial" w:cs="Arial"/>
          <w:color w:val="000000" w:themeColor="text1"/>
          <w:sz w:val="24"/>
          <w:szCs w:val="24"/>
        </w:rPr>
        <w:instrText>ADDIN CSL_CITATION {"citationItems":[{"id":"ITEM-1","itemData":{"author":[{"dropping-particle":"","family":"Whitehead","given":"A.G.","non-dropping-particle":"","parse-names":false,"suffix":""},{"dropping-particle":"","family":"Hooper","given":"D.J.","non-dropping-particle":"","parse-names":false,"suffix":""}],"container-title":"Ann. appl. Biol","id":"ITEM-1","issued":{"date-parts":[["1970"]]},"page":"339-350","title":"Needle nematodes (Longidorus spp.) and stubby-root nematodes ( Trichodorus spp.) harmful to sugar beet and other field crops in England","type":"article-journal"},"uris":["http://www.mendeley.com/documents/?uuid=e3a9ba67-b49f-4808-a0ea-7bff1763d6dd"]}],"mendeley":{"formattedCitation":"(Whitehead and Hooper, 1970)","plainTextFormattedCitation":"(Whitehead and Hooper, 1970)","previouslyFormattedCitation":"(Whitehead and Hooper, 1970)"},"properties":{"noteIndex":0},"schema":"https://github.com/citation-style-language/schema/raw/master/csl-citation.json"}</w:instrText>
      </w:r>
      <w:r w:rsidR="00323300" w:rsidRPr="51036E6F">
        <w:rPr>
          <w:rFonts w:ascii="Arial" w:eastAsia="Calibri" w:hAnsi="Arial" w:cs="Arial"/>
          <w:color w:val="000000" w:themeColor="text1"/>
          <w:sz w:val="24"/>
          <w:szCs w:val="24"/>
        </w:rPr>
        <w:fldChar w:fldCharType="separate"/>
      </w:r>
      <w:r w:rsidRPr="51036E6F">
        <w:rPr>
          <w:rFonts w:ascii="Arial" w:eastAsia="Calibri" w:hAnsi="Arial" w:cs="Arial"/>
          <w:noProof/>
          <w:color w:val="000000" w:themeColor="text1"/>
          <w:sz w:val="24"/>
          <w:szCs w:val="24"/>
        </w:rPr>
        <w:t>(Whitehead and Hooper, 1970)</w:t>
      </w:r>
      <w:r w:rsidR="00323300" w:rsidRPr="51036E6F">
        <w:rPr>
          <w:rFonts w:ascii="Arial" w:eastAsia="Calibri" w:hAnsi="Arial" w:cs="Arial"/>
          <w:color w:val="000000" w:themeColor="text1"/>
          <w:sz w:val="24"/>
          <w:szCs w:val="24"/>
        </w:rPr>
        <w:fldChar w:fldCharType="end"/>
      </w:r>
      <w:r w:rsidRPr="51036E6F">
        <w:rPr>
          <w:rFonts w:ascii="Arial" w:eastAsia="Calibri" w:hAnsi="Arial" w:cs="Arial"/>
          <w:color w:val="000000" w:themeColor="text1"/>
          <w:sz w:val="24"/>
          <w:szCs w:val="24"/>
        </w:rPr>
        <w:t>,.</w:t>
      </w:r>
      <w:bookmarkEnd w:id="14"/>
      <w:r w:rsidRPr="51036E6F">
        <w:rPr>
          <w:rFonts w:ascii="Arial" w:eastAsia="Calibri" w:hAnsi="Arial" w:cs="Arial"/>
          <w:color w:val="000000" w:themeColor="text1"/>
          <w:sz w:val="24"/>
          <w:szCs w:val="24"/>
        </w:rPr>
        <w:t xml:space="preserve"> </w:t>
      </w:r>
      <w:r w:rsidRPr="51036E6F">
        <w:rPr>
          <w:rFonts w:ascii="Arial" w:eastAsia="Calibri" w:hAnsi="Arial" w:cs="Arial"/>
          <w:i/>
          <w:iCs/>
          <w:color w:val="000000" w:themeColor="text1"/>
          <w:sz w:val="24"/>
          <w:szCs w:val="24"/>
        </w:rPr>
        <w:t>Trichodorus velatus</w:t>
      </w:r>
      <w:r w:rsidRPr="51036E6F">
        <w:rPr>
          <w:rFonts w:ascii="Arial" w:eastAsia="Calibri" w:hAnsi="Arial" w:cs="Arial"/>
          <w:color w:val="000000" w:themeColor="text1"/>
          <w:sz w:val="24"/>
          <w:szCs w:val="24"/>
        </w:rPr>
        <w:t xml:space="preserve"> was isolated from sandy soils with Sitka spruce seedlings and herbaceous plants while </w:t>
      </w:r>
      <w:r w:rsidRPr="51036E6F">
        <w:rPr>
          <w:rFonts w:ascii="Arial" w:eastAsia="Calibri" w:hAnsi="Arial" w:cs="Arial"/>
          <w:i/>
          <w:iCs/>
          <w:color w:val="000000" w:themeColor="text1"/>
          <w:sz w:val="24"/>
          <w:szCs w:val="24"/>
        </w:rPr>
        <w:t>Trichodorus variopapillatus</w:t>
      </w:r>
      <w:r w:rsidRPr="51036E6F">
        <w:rPr>
          <w:rFonts w:ascii="Arial" w:eastAsia="Calibri" w:hAnsi="Arial" w:cs="Arial"/>
          <w:color w:val="000000" w:themeColor="text1"/>
          <w:sz w:val="24"/>
          <w:szCs w:val="24"/>
        </w:rPr>
        <w:t xml:space="preserve"> was </w:t>
      </w:r>
      <w:r w:rsidRPr="51036E6F">
        <w:rPr>
          <w:rFonts w:ascii="Arial" w:eastAsia="Calibri" w:hAnsi="Arial" w:cs="Arial"/>
          <w:color w:val="000000" w:themeColor="text1"/>
          <w:sz w:val="24"/>
          <w:szCs w:val="24"/>
        </w:rPr>
        <w:lastRenderedPageBreak/>
        <w:t>isolated from woodland moist sandy soil, planted with elder (</w:t>
      </w:r>
      <w:r w:rsidRPr="51036E6F">
        <w:rPr>
          <w:rFonts w:ascii="Arial" w:eastAsia="Calibri" w:hAnsi="Arial" w:cs="Arial"/>
          <w:i/>
          <w:iCs/>
          <w:color w:val="000000" w:themeColor="text1"/>
          <w:sz w:val="24"/>
          <w:szCs w:val="24"/>
        </w:rPr>
        <w:t>Sambucus nigra</w:t>
      </w:r>
      <w:r w:rsidRPr="51036E6F">
        <w:rPr>
          <w:rFonts w:ascii="Arial" w:eastAsia="Calibri" w:hAnsi="Arial" w:cs="Arial"/>
          <w:color w:val="000000" w:themeColor="text1"/>
          <w:sz w:val="24"/>
          <w:szCs w:val="24"/>
        </w:rPr>
        <w:t xml:space="preserve"> L.).</w:t>
      </w:r>
      <w:r w:rsidRPr="51036E6F">
        <w:rPr>
          <w:rFonts w:ascii="Arial" w:eastAsia="Calibri" w:hAnsi="Arial" w:cs="Arial"/>
          <w:i/>
          <w:iCs/>
          <w:color w:val="000000" w:themeColor="text1"/>
          <w:sz w:val="24"/>
          <w:szCs w:val="24"/>
        </w:rPr>
        <w:t xml:space="preserve"> T. hooperi </w:t>
      </w:r>
      <w:r w:rsidRPr="51036E6F">
        <w:rPr>
          <w:rFonts w:ascii="Arial" w:eastAsia="Calibri" w:hAnsi="Arial" w:cs="Arial"/>
          <w:color w:val="000000" w:themeColor="text1"/>
          <w:sz w:val="24"/>
          <w:szCs w:val="24"/>
        </w:rPr>
        <w:t xml:space="preserve">was isolated from sandy loam soils in mixed conifer woodland with herbaceous undergrowth </w:t>
      </w:r>
      <w:r w:rsidR="00323300" w:rsidRPr="51036E6F">
        <w:rPr>
          <w:rFonts w:ascii="Arial" w:eastAsia="Calibri" w:hAnsi="Arial" w:cs="Arial"/>
          <w:color w:val="000000" w:themeColor="text1"/>
          <w:sz w:val="24"/>
          <w:szCs w:val="24"/>
        </w:rPr>
        <w:fldChar w:fldCharType="begin" w:fldLock="1"/>
      </w:r>
      <w:r w:rsidR="00323300" w:rsidRPr="51036E6F">
        <w:rPr>
          <w:rFonts w:ascii="Arial" w:eastAsia="Calibri" w:hAnsi="Arial" w:cs="Arial"/>
          <w:color w:val="000000" w:themeColor="text1"/>
          <w:sz w:val="24"/>
          <w:szCs w:val="24"/>
        </w:rPr>
        <w:instrText>ADDIN CSL_CITATION {"citationItems":[{"id":"ITEM-1","itemData":{"abstract":"Comparison of type material of Trichodorus aerequalis Allen, 1957 and of T. sparsus Szczygiel, 1968 showed that these species can be distinguished by the spicules being setose in the latter and smooth in the former species, and by the shape of the male tail. The difference in arrangement of the ventral cervical pores in the male, which is suggested by the original descriptions, is non-existent. No clear-cut differences were found between females. Variation in these two species appears to be greater than in other Trichodorus species. A population from Plymouth, South England, shows aberrant characters: smooth, almost straight spicules; females with only one pair of lateral cuticular pores. This population is considered to represent a separate species, here described as T. hooperi","author":[{"dropping-particle":"","family":"Loof","given":"P.A.A.","non-dropping-particle":"","parse-names":false,"suffix":""}],"container-title":"Nematologica","id":"ITEM-1","issued":{"date-parts":[["1973"]]},"page":"49-61","title":"Taxonomy of the Trichodorus aequalis complex (Diphtherophorina)","type":"article-journal","volume":"19"},"uris":["http://www.mendeley.com/documents/?uuid=b17091cd-2cf0-45be-8198-0c949671cced"]}],"mendeley":{"formattedCitation":"(Loof, 1973)","plainTextFormattedCitation":"(Loof, 1973)","previouslyFormattedCitation":"(Loof, 1973)"},"properties":{"noteIndex":0},"schema":"https://github.com/citation-style-language/schema/raw/master/csl-citation.json"}</w:instrText>
      </w:r>
      <w:r w:rsidR="00323300" w:rsidRPr="51036E6F">
        <w:rPr>
          <w:rFonts w:ascii="Arial" w:eastAsia="Calibri" w:hAnsi="Arial" w:cs="Arial"/>
          <w:color w:val="000000" w:themeColor="text1"/>
          <w:sz w:val="24"/>
          <w:szCs w:val="24"/>
        </w:rPr>
        <w:fldChar w:fldCharType="separate"/>
      </w:r>
      <w:r w:rsidRPr="51036E6F">
        <w:rPr>
          <w:rFonts w:ascii="Arial" w:eastAsia="Calibri" w:hAnsi="Arial" w:cs="Arial"/>
          <w:noProof/>
          <w:color w:val="000000" w:themeColor="text1"/>
          <w:sz w:val="24"/>
          <w:szCs w:val="24"/>
        </w:rPr>
        <w:t>(Loof, 1973)</w:t>
      </w:r>
      <w:r w:rsidR="00323300" w:rsidRPr="51036E6F">
        <w:rPr>
          <w:rFonts w:ascii="Arial" w:eastAsia="Calibri" w:hAnsi="Arial" w:cs="Arial"/>
          <w:color w:val="000000" w:themeColor="text1"/>
          <w:sz w:val="24"/>
          <w:szCs w:val="24"/>
        </w:rPr>
        <w:fldChar w:fldCharType="end"/>
      </w:r>
      <w:r w:rsidRPr="51036E6F">
        <w:rPr>
          <w:rFonts w:ascii="Arial" w:eastAsia="Calibri" w:hAnsi="Arial" w:cs="Arial"/>
          <w:color w:val="000000" w:themeColor="text1"/>
          <w:sz w:val="24"/>
          <w:szCs w:val="24"/>
        </w:rPr>
        <w:t xml:space="preserve">. In Scotland, trichodorids were detected in 75% of potato fields In fields with high clay, spraing (Tobacco rattle virus) which is transmitted by trichodorids, was not detected. Spraing was constantly detected in fields where some potato varieties had been grown in sandy soils. The frequency of occurrence of </w:t>
      </w:r>
      <w:r w:rsidRPr="51036E6F">
        <w:rPr>
          <w:rFonts w:ascii="Arial" w:eastAsia="Calibri" w:hAnsi="Arial" w:cs="Arial"/>
          <w:i/>
          <w:iCs/>
          <w:color w:val="000000" w:themeColor="text1"/>
          <w:sz w:val="24"/>
          <w:szCs w:val="24"/>
        </w:rPr>
        <w:t>P. pachydermus</w:t>
      </w:r>
      <w:r w:rsidRPr="51036E6F">
        <w:rPr>
          <w:rFonts w:ascii="Arial" w:eastAsia="Calibri" w:hAnsi="Arial" w:cs="Arial"/>
          <w:color w:val="000000" w:themeColor="text1"/>
          <w:sz w:val="24"/>
          <w:szCs w:val="24"/>
        </w:rPr>
        <w:t xml:space="preserve"> and </w:t>
      </w:r>
      <w:r w:rsidRPr="51036E6F">
        <w:rPr>
          <w:rFonts w:ascii="Arial" w:eastAsia="Calibri" w:hAnsi="Arial" w:cs="Arial"/>
          <w:i/>
          <w:iCs/>
          <w:color w:val="000000" w:themeColor="text1"/>
          <w:sz w:val="24"/>
          <w:szCs w:val="24"/>
        </w:rPr>
        <w:t>T. primitivus</w:t>
      </w:r>
      <w:r w:rsidRPr="51036E6F">
        <w:rPr>
          <w:rFonts w:ascii="Arial" w:eastAsia="Calibri" w:hAnsi="Arial" w:cs="Arial"/>
          <w:color w:val="000000" w:themeColor="text1"/>
          <w:sz w:val="24"/>
          <w:szCs w:val="24"/>
        </w:rPr>
        <w:t xml:space="preserve"> varied on different soil series. </w:t>
      </w:r>
      <w:r w:rsidRPr="51036E6F">
        <w:rPr>
          <w:rFonts w:ascii="Arial" w:eastAsia="Calibri" w:hAnsi="Arial" w:cs="Arial"/>
          <w:i/>
          <w:iCs/>
          <w:color w:val="000000" w:themeColor="text1"/>
          <w:sz w:val="24"/>
          <w:szCs w:val="24"/>
        </w:rPr>
        <w:t xml:space="preserve">P. pachydermus </w:t>
      </w:r>
      <w:r w:rsidRPr="51036E6F">
        <w:rPr>
          <w:rFonts w:ascii="Arial" w:eastAsia="Calibri" w:hAnsi="Arial" w:cs="Arial"/>
          <w:color w:val="000000" w:themeColor="text1"/>
          <w:sz w:val="24"/>
          <w:szCs w:val="24"/>
        </w:rPr>
        <w:t xml:space="preserve">was mainly found in links and raised beach soils while in fluvioglacial soils it occurred only in the Boyndie series and absent in till soils. </w:t>
      </w:r>
      <w:r w:rsidRPr="51036E6F">
        <w:rPr>
          <w:rFonts w:ascii="Arial" w:eastAsia="Calibri" w:hAnsi="Arial" w:cs="Arial"/>
          <w:i/>
          <w:iCs/>
          <w:color w:val="000000" w:themeColor="text1"/>
          <w:sz w:val="24"/>
          <w:szCs w:val="24"/>
        </w:rPr>
        <w:t>T. primitivus</w:t>
      </w:r>
      <w:r w:rsidRPr="51036E6F">
        <w:rPr>
          <w:rFonts w:ascii="Arial" w:eastAsia="Calibri" w:hAnsi="Arial" w:cs="Arial"/>
          <w:color w:val="000000" w:themeColor="text1"/>
          <w:sz w:val="24"/>
          <w:szCs w:val="24"/>
        </w:rPr>
        <w:t xml:space="preserve"> on the other hand, occurred in raised beaches, till alluvial and fluvioglacial soils and rarely exceeded 50 nematodes in 200 grams of soil. </w:t>
      </w:r>
      <w:r w:rsidR="00323300" w:rsidRPr="51036E6F">
        <w:rPr>
          <w:rFonts w:ascii="Arial" w:eastAsia="Calibri" w:hAnsi="Arial" w:cs="Arial"/>
          <w:color w:val="000000" w:themeColor="text1"/>
          <w:sz w:val="24"/>
          <w:szCs w:val="24"/>
        </w:rPr>
        <w:fldChar w:fldCharType="begin" w:fldLock="1"/>
      </w:r>
      <w:r w:rsidR="00323300" w:rsidRPr="51036E6F">
        <w:rPr>
          <w:rFonts w:ascii="Arial" w:eastAsia="Calibri" w:hAnsi="Arial" w:cs="Arial"/>
          <w:color w:val="000000" w:themeColor="text1"/>
          <w:sz w:val="24"/>
          <w:szCs w:val="24"/>
        </w:rPr>
        <w:instrText>ADDIN CSL_CITATION {"citationItems":[{"id":"ITEM-1","itemData":{"DOI":"10.1111/j.1365-3059.1971.tb00510.x","ISSN":"13653059","abstract":"Tobacco rattle virus (TRV) was transmitted from tubers of 13 out of 15 potato cultivars with spraing (20/22 stocks tested) and cucumber bait seedlings became infected with the virus when grown in soil from all the fields where crops had become affected with spraing. Trichodorus pachydermus Seinhorst and/or T. primitivus (de Man) occurred in all 106 TRV</w:instrText>
      </w:r>
      <w:r w:rsidR="00323300" w:rsidRPr="51036E6F">
        <w:rPr>
          <w:rFonts w:ascii="Cambria Math" w:eastAsia="Calibri" w:hAnsi="Cambria Math" w:cs="Cambria Math"/>
          <w:color w:val="000000" w:themeColor="text1"/>
          <w:sz w:val="24"/>
          <w:szCs w:val="24"/>
        </w:rPr>
        <w:instrText>‐</w:instrText>
      </w:r>
      <w:r w:rsidR="00323300" w:rsidRPr="51036E6F">
        <w:rPr>
          <w:rFonts w:ascii="Arial" w:eastAsia="Calibri" w:hAnsi="Arial" w:cs="Arial"/>
          <w:color w:val="000000" w:themeColor="text1"/>
          <w:sz w:val="24"/>
          <w:szCs w:val="24"/>
        </w:rPr>
        <w:instrText>infested soils examined; in addition, T. nanus Allen was found in five, T. cylindricus Hooper in two and an unidentified species in one TRV</w:instrText>
      </w:r>
      <w:r w:rsidR="00323300" w:rsidRPr="51036E6F">
        <w:rPr>
          <w:rFonts w:ascii="Cambria Math" w:eastAsia="Calibri" w:hAnsi="Cambria Math" w:cs="Cambria Math"/>
          <w:color w:val="000000" w:themeColor="text1"/>
          <w:sz w:val="24"/>
          <w:szCs w:val="24"/>
        </w:rPr>
        <w:instrText>‐</w:instrText>
      </w:r>
      <w:r w:rsidR="00323300" w:rsidRPr="51036E6F">
        <w:rPr>
          <w:rFonts w:ascii="Arial" w:eastAsia="Calibri" w:hAnsi="Arial" w:cs="Arial"/>
          <w:color w:val="000000" w:themeColor="text1"/>
          <w:sz w:val="24"/>
          <w:szCs w:val="24"/>
        </w:rPr>
        <w:instrText>infested soil. TRV is considered to be the major cause of potato spraing in Scotland, and T. pachydermus and T. primitivus to be the main vectors. TRV occurred in 106 out of 153 (68 per cent) freely drained podsols derived from fluvioglacial, raised beach, till, alluvial or sand</w:instrText>
      </w:r>
      <w:r w:rsidR="00323300" w:rsidRPr="51036E6F">
        <w:rPr>
          <w:rFonts w:ascii="Cambria Math" w:eastAsia="Calibri" w:hAnsi="Cambria Math" w:cs="Cambria Math"/>
          <w:color w:val="000000" w:themeColor="text1"/>
          <w:sz w:val="24"/>
          <w:szCs w:val="24"/>
        </w:rPr>
        <w:instrText>‐</w:instrText>
      </w:r>
      <w:r w:rsidR="00323300" w:rsidRPr="51036E6F">
        <w:rPr>
          <w:rFonts w:ascii="Arial" w:eastAsia="Calibri" w:hAnsi="Arial" w:cs="Arial"/>
          <w:color w:val="000000" w:themeColor="text1"/>
          <w:sz w:val="24"/>
          <w:szCs w:val="24"/>
        </w:rPr>
        <w:instrText>dune deposits but was not found on heavy, badly drained soils. About 12 per cent of Scotland's potato acreage is estimated to be on TRV</w:instrText>
      </w:r>
      <w:r w:rsidR="00323300" w:rsidRPr="51036E6F">
        <w:rPr>
          <w:rFonts w:ascii="Cambria Math" w:eastAsia="Calibri" w:hAnsi="Cambria Math" w:cs="Cambria Math"/>
          <w:color w:val="000000" w:themeColor="text1"/>
          <w:sz w:val="24"/>
          <w:szCs w:val="24"/>
        </w:rPr>
        <w:instrText>‐</w:instrText>
      </w:r>
      <w:r w:rsidR="00323300" w:rsidRPr="51036E6F">
        <w:rPr>
          <w:rFonts w:ascii="Arial" w:eastAsia="Calibri" w:hAnsi="Arial" w:cs="Arial"/>
          <w:color w:val="000000" w:themeColor="text1"/>
          <w:sz w:val="24"/>
          <w:szCs w:val="24"/>
        </w:rPr>
        <w:instrText>infested soil and 15–20 per cent of the total arable acreage is probably infested with Trichodorus spp. Many of the soils infested with Trichodorus spp. are inherently deficient in copper and manganese. In laboratory experiments, solutions of cupric sulphate (16 p.p.m. Cu) were toxic to T. pachydermus, T. primitivus and T. cylindricus but not to a mixture of other saprozoic and stylet</w:instrText>
      </w:r>
      <w:r w:rsidR="00323300" w:rsidRPr="51036E6F">
        <w:rPr>
          <w:rFonts w:ascii="Cambria Math" w:eastAsia="Calibri" w:hAnsi="Cambria Math" w:cs="Cambria Math"/>
          <w:color w:val="000000" w:themeColor="text1"/>
          <w:sz w:val="24"/>
          <w:szCs w:val="24"/>
        </w:rPr>
        <w:instrText>‐</w:instrText>
      </w:r>
      <w:r w:rsidR="00323300" w:rsidRPr="51036E6F">
        <w:rPr>
          <w:rFonts w:ascii="Arial" w:eastAsia="Calibri" w:hAnsi="Arial" w:cs="Arial"/>
          <w:color w:val="000000" w:themeColor="text1"/>
          <w:sz w:val="24"/>
          <w:szCs w:val="24"/>
        </w:rPr>
        <w:instrText>bearing nematodes from a Trichodorus infested soil. Copyright © 1971, Wiley Blackwell. All rights reserved","author":[{"dropping-particle":"","family":"Cooper","given":"J. I.","non-dropping-particle":"","parse-names":false,"suffix":""}],"container-title":"Plant Pathology","id":"ITEM-1","issue":"2","issued":{"date-parts":[["1971"]]},"page":"51-58","title":"The Distribution in Scotland of Tobacco Rattle Virus and its Nematode Vectors in Relation to Soil Type","type":"article-journal","volume":"20"},"uris":["http://www.mendeley.com/documents/?uuid=c2cd7cd1-28fe-3b73-8108-6235e396d616"]}],"mendeley":{"formattedCitation":"(Cooper, 1971)","plainTextFormattedCitation":"(Cooper, 1971)","previouslyFormattedCitation":"(Cooper, 1971)"},"properties":{"noteIndex":0},"schema":"https://github.com/citation-style-language/schema/raw/master/csl-citation.json"}</w:instrText>
      </w:r>
      <w:r w:rsidR="00323300" w:rsidRPr="51036E6F">
        <w:rPr>
          <w:rFonts w:ascii="Arial" w:eastAsia="Calibri" w:hAnsi="Arial" w:cs="Arial"/>
          <w:color w:val="000000" w:themeColor="text1"/>
          <w:sz w:val="24"/>
          <w:szCs w:val="24"/>
        </w:rPr>
        <w:fldChar w:fldCharType="separate"/>
      </w:r>
      <w:r w:rsidRPr="51036E6F">
        <w:rPr>
          <w:rFonts w:ascii="Arial" w:eastAsia="Calibri" w:hAnsi="Arial" w:cs="Arial"/>
          <w:noProof/>
          <w:color w:val="000000" w:themeColor="text1"/>
          <w:sz w:val="24"/>
          <w:szCs w:val="24"/>
        </w:rPr>
        <w:t>(Cooper, 1971)</w:t>
      </w:r>
      <w:r w:rsidR="00323300" w:rsidRPr="51036E6F">
        <w:rPr>
          <w:rFonts w:ascii="Arial" w:eastAsia="Calibri" w:hAnsi="Arial" w:cs="Arial"/>
          <w:color w:val="000000" w:themeColor="text1"/>
          <w:sz w:val="24"/>
          <w:szCs w:val="24"/>
        </w:rPr>
        <w:fldChar w:fldCharType="end"/>
      </w:r>
      <w:r w:rsidRPr="51036E6F">
        <w:rPr>
          <w:rFonts w:ascii="Arial" w:eastAsia="Calibri" w:hAnsi="Arial" w:cs="Arial"/>
          <w:color w:val="000000" w:themeColor="text1"/>
          <w:sz w:val="24"/>
          <w:szCs w:val="24"/>
        </w:rPr>
        <w:t>.</w:t>
      </w:r>
      <w:bookmarkStart w:id="15" w:name="_Hlk63174619"/>
      <w:r w:rsidRPr="51036E6F">
        <w:rPr>
          <w:rFonts w:ascii="Arial" w:eastAsia="Calibri" w:hAnsi="Arial" w:cs="Arial"/>
          <w:color w:val="000000" w:themeColor="text1"/>
          <w:sz w:val="24"/>
          <w:szCs w:val="24"/>
        </w:rPr>
        <w:t xml:space="preserve">In sites where docking disorder of sugar beet occurred, in East England, the soil had lower silt and clay fractions; </w:t>
      </w:r>
      <w:r w:rsidRPr="51036E6F">
        <w:rPr>
          <w:rFonts w:ascii="Arial" w:eastAsia="Calibri" w:hAnsi="Arial" w:cs="Arial"/>
          <w:i/>
          <w:iCs/>
          <w:color w:val="000000" w:themeColor="text1"/>
          <w:sz w:val="24"/>
          <w:szCs w:val="24"/>
        </w:rPr>
        <w:t>Trichodorus</w:t>
      </w:r>
      <w:r w:rsidRPr="51036E6F">
        <w:rPr>
          <w:rFonts w:ascii="Arial" w:eastAsia="Calibri" w:hAnsi="Arial" w:cs="Arial"/>
          <w:color w:val="000000" w:themeColor="text1"/>
          <w:sz w:val="24"/>
          <w:szCs w:val="24"/>
        </w:rPr>
        <w:t xml:space="preserve"> spp. were recovered from 75% of soil samples (337 nematodes /Litre of soil. in infested samples) </w:t>
      </w:r>
      <w:r w:rsidR="00323300" w:rsidRPr="51036E6F">
        <w:rPr>
          <w:rFonts w:ascii="Arial" w:eastAsia="Calibri" w:hAnsi="Arial" w:cs="Arial"/>
          <w:color w:val="000000" w:themeColor="text1"/>
          <w:sz w:val="24"/>
          <w:szCs w:val="24"/>
        </w:rPr>
        <w:fldChar w:fldCharType="begin" w:fldLock="1"/>
      </w:r>
      <w:r w:rsidR="00323300" w:rsidRPr="51036E6F">
        <w:rPr>
          <w:rFonts w:ascii="Arial" w:eastAsia="Calibri" w:hAnsi="Arial" w:cs="Arial"/>
          <w:color w:val="000000" w:themeColor="text1"/>
          <w:sz w:val="24"/>
          <w:szCs w:val="24"/>
        </w:rPr>
        <w:instrText>ADDIN CSL_CITATION {"citationItems":[{"id":"ITEM-1","itemData":{"DOI":"10.1111/j.1365-3059.1973.tb01800.x","ISSN":"13653059","abstract":"In the years 1963 to 1972 the area of sugar beet in England reported affected with Docking disorder ranged from 174 to 7,819 ha. The disorder was most widespread after heavy May rainfall. Trichodorus spp. and Longidorus spp., which cause the primary damage to seedling roots, were common in sites prone to the disorder and surveyed between 1968 and 1971. Nematode numbers in soil samples taken from these sites at drilling could not be correlated with subsequent yield or root shape. Of the surveyed sites, 104 showed no symptoms of Docking disorder (average root yield=44·5 tonnes/ha), 44 showed symptoms early in the season but these disappeared later (average root yield=34·5 tonnes/ha) and 40 showed persistent symptoms (average root yield=27·0 tonnes/ha). Root shape was worst in sites with persistent symptoms. Docking disorder was impossible to predict accurately because the damage is influenced by growing conditions but it was more likely to be severe in fields with a previous history of the disorder. Copyright © 1973, Wiley Blackwell. All rights reserved","author":[{"dropping-particle":"","family":"Cooke","given":"D. A.","non-dropping-particle":"","parse-names":false,"suffix":""}],"container-title":"Plant Pathology","id":"ITEM-1","issue":"4","issued":{"date-parts":[["1973","12","1"]]},"page":"161-170","publisher":"John Wiley &amp; Sons, Ltd","title":"The Effect of Plant Parasitic Nematodes, Rainfall and Other Factors on Docking Disorder of Sugar Beet","type":"article-journal","volume":"22"},"uris":["http://www.mendeley.com/documents/?uuid=d8b52fbb-4455-4d00-877a-5a32f682cdaa"]}],"mendeley":{"formattedCitation":"(Cooke, 1973)","plainTextFormattedCitation":"(Cooke, 1973)","previouslyFormattedCitation":"(Cooke, 1973)"},"properties":{"noteIndex":0},"schema":"https://github.com/citation-style-language/schema/raw/master/csl-citation.json"}</w:instrText>
      </w:r>
      <w:r w:rsidR="00323300" w:rsidRPr="51036E6F">
        <w:rPr>
          <w:rFonts w:ascii="Arial" w:eastAsia="Calibri" w:hAnsi="Arial" w:cs="Arial"/>
          <w:color w:val="000000" w:themeColor="text1"/>
          <w:sz w:val="24"/>
          <w:szCs w:val="24"/>
        </w:rPr>
        <w:fldChar w:fldCharType="separate"/>
      </w:r>
      <w:r w:rsidRPr="51036E6F">
        <w:rPr>
          <w:rFonts w:ascii="Arial" w:eastAsia="Calibri" w:hAnsi="Arial" w:cs="Arial"/>
          <w:noProof/>
          <w:color w:val="000000" w:themeColor="text1"/>
          <w:sz w:val="24"/>
          <w:szCs w:val="24"/>
        </w:rPr>
        <w:t>(Cooke, 1973)</w:t>
      </w:r>
      <w:r w:rsidR="00323300" w:rsidRPr="51036E6F">
        <w:rPr>
          <w:rFonts w:ascii="Arial" w:eastAsia="Calibri" w:hAnsi="Arial" w:cs="Arial"/>
          <w:color w:val="000000" w:themeColor="text1"/>
          <w:sz w:val="24"/>
          <w:szCs w:val="24"/>
        </w:rPr>
        <w:fldChar w:fldCharType="end"/>
      </w:r>
      <w:bookmarkEnd w:id="15"/>
      <w:r w:rsidRPr="51036E6F">
        <w:rPr>
          <w:rFonts w:ascii="Arial" w:eastAsia="Calibri" w:hAnsi="Arial" w:cs="Arial"/>
          <w:color w:val="000000" w:themeColor="text1"/>
          <w:sz w:val="24"/>
          <w:szCs w:val="24"/>
        </w:rPr>
        <w:t xml:space="preserve">. In a survey of potato fields located in East and west Flanders in Belgium, </w:t>
      </w:r>
      <w:r w:rsidRPr="51036E6F">
        <w:rPr>
          <w:rFonts w:ascii="Arial" w:eastAsia="Calibri" w:hAnsi="Arial" w:cs="Arial"/>
          <w:i/>
          <w:iCs/>
          <w:color w:val="000000" w:themeColor="text1"/>
          <w:sz w:val="24"/>
          <w:szCs w:val="24"/>
        </w:rPr>
        <w:t>T. primitivus</w:t>
      </w:r>
      <w:r w:rsidRPr="51036E6F">
        <w:rPr>
          <w:rFonts w:ascii="Arial" w:eastAsia="Calibri" w:hAnsi="Arial" w:cs="Arial"/>
          <w:color w:val="000000" w:themeColor="text1"/>
          <w:sz w:val="24"/>
          <w:szCs w:val="24"/>
        </w:rPr>
        <w:t xml:space="preserve">, </w:t>
      </w:r>
      <w:r w:rsidRPr="51036E6F">
        <w:rPr>
          <w:rFonts w:ascii="Arial" w:eastAsia="Calibri" w:hAnsi="Arial" w:cs="Arial"/>
          <w:i/>
          <w:iCs/>
          <w:color w:val="000000" w:themeColor="text1"/>
          <w:sz w:val="24"/>
          <w:szCs w:val="24"/>
        </w:rPr>
        <w:t>T. similis</w:t>
      </w:r>
      <w:r w:rsidRPr="51036E6F">
        <w:rPr>
          <w:rFonts w:ascii="Arial" w:eastAsia="Calibri" w:hAnsi="Arial" w:cs="Arial"/>
          <w:color w:val="000000" w:themeColor="text1"/>
          <w:sz w:val="24"/>
          <w:szCs w:val="24"/>
        </w:rPr>
        <w:t xml:space="preserve"> and </w:t>
      </w:r>
      <w:r w:rsidRPr="51036E6F">
        <w:rPr>
          <w:rFonts w:ascii="Arial" w:eastAsia="Calibri" w:hAnsi="Arial" w:cs="Arial"/>
          <w:i/>
          <w:iCs/>
          <w:color w:val="000000" w:themeColor="text1"/>
          <w:sz w:val="24"/>
          <w:szCs w:val="24"/>
        </w:rPr>
        <w:t xml:space="preserve">P. pachydermus </w:t>
      </w:r>
      <w:r w:rsidRPr="51036E6F">
        <w:rPr>
          <w:rFonts w:ascii="Arial" w:eastAsia="Calibri" w:hAnsi="Arial" w:cs="Arial"/>
          <w:color w:val="000000" w:themeColor="text1"/>
          <w:sz w:val="24"/>
          <w:szCs w:val="24"/>
        </w:rPr>
        <w:t xml:space="preserve">were isolated from sandy loam soils. </w:t>
      </w:r>
      <w:r w:rsidRPr="51036E6F">
        <w:rPr>
          <w:rFonts w:ascii="Arial" w:eastAsia="Calibri" w:hAnsi="Arial" w:cs="Arial"/>
          <w:i/>
          <w:iCs/>
          <w:color w:val="000000" w:themeColor="text1"/>
          <w:sz w:val="24"/>
          <w:szCs w:val="24"/>
        </w:rPr>
        <w:t>T. primitivus</w:t>
      </w:r>
      <w:r w:rsidRPr="51036E6F">
        <w:rPr>
          <w:rFonts w:ascii="Arial" w:eastAsia="Calibri" w:hAnsi="Arial" w:cs="Arial"/>
          <w:color w:val="000000" w:themeColor="text1"/>
          <w:sz w:val="24"/>
          <w:szCs w:val="24"/>
        </w:rPr>
        <w:t xml:space="preserve"> was the most predominant species and widely distributed in both East and West Flanders compared to the other </w:t>
      </w:r>
      <w:r w:rsidRPr="51036E6F">
        <w:rPr>
          <w:rFonts w:ascii="Arial" w:eastAsia="Calibri" w:hAnsi="Arial" w:cs="Arial"/>
          <w:i/>
          <w:iCs/>
          <w:color w:val="000000" w:themeColor="text1"/>
          <w:sz w:val="24"/>
          <w:szCs w:val="24"/>
        </w:rPr>
        <w:t xml:space="preserve">Trichodorus </w:t>
      </w:r>
      <w:r w:rsidRPr="51036E6F">
        <w:rPr>
          <w:rFonts w:ascii="Arial" w:eastAsia="Calibri" w:hAnsi="Arial" w:cs="Arial"/>
          <w:color w:val="000000" w:themeColor="text1"/>
          <w:sz w:val="24"/>
          <w:szCs w:val="24"/>
        </w:rPr>
        <w:t xml:space="preserve">species </w:t>
      </w:r>
      <w:r w:rsidR="00323300" w:rsidRPr="51036E6F">
        <w:rPr>
          <w:rFonts w:ascii="Arial" w:eastAsia="Calibri" w:hAnsi="Arial" w:cs="Arial"/>
          <w:color w:val="000000" w:themeColor="text1"/>
          <w:sz w:val="24"/>
          <w:szCs w:val="24"/>
        </w:rPr>
        <w:fldChar w:fldCharType="begin" w:fldLock="1"/>
      </w:r>
      <w:r w:rsidR="00323300" w:rsidRPr="51036E6F">
        <w:rPr>
          <w:rFonts w:ascii="Arial" w:eastAsia="Calibri" w:hAnsi="Arial" w:cs="Arial"/>
          <w:color w:val="000000" w:themeColor="text1"/>
          <w:sz w:val="24"/>
          <w:szCs w:val="24"/>
        </w:rPr>
        <w:instrText>ADDIN CSL_CITATION {"citationItems":[{"id":"ITEM-1","itemData":{"author":[{"dropping-particle":"","family":"Decraemer","given":"W.","non-dropping-particle":"","parse-names":false,"suffix":""},{"dropping-particle":"","family":"Coolen","given":"W. A.","non-dropping-particle":"","parse-names":false,"suffix":""},{"dropping-particle":"","family":"Hendrickx","given":"G. J.","non-dropping-particle":"","parse-names":false,"suffix":""}],"container-title":"Nematologica","id":"ITEM-1","issued":{"date-parts":[["1979"]]},"title":"Evaluation of extraction methods for a survey of Trichodoridae in fields of seed potatoes.","type":"article-journal","volume":"25"},"uris":["http://www.mendeley.com/documents/?uuid=ecb6bbc0-76ab-3f81-993d-bc2583403399"]}],"mendeley":{"formattedCitation":"(Decraemer, Coolen and Hendrickx, 1979)","plainTextFormattedCitation":"(Decraemer, Coolen and Hendrickx, 1979)","previouslyFormattedCitation":"(Decraemer, Coolen and Hendrickx, 1979)"},"properties":{"noteIndex":0},"schema":"https://github.com/citation-style-language/schema/raw/master/csl-citation.json"}</w:instrText>
      </w:r>
      <w:r w:rsidR="00323300" w:rsidRPr="51036E6F">
        <w:rPr>
          <w:rFonts w:ascii="Arial" w:eastAsia="Calibri" w:hAnsi="Arial" w:cs="Arial"/>
          <w:color w:val="000000" w:themeColor="text1"/>
          <w:sz w:val="24"/>
          <w:szCs w:val="24"/>
        </w:rPr>
        <w:fldChar w:fldCharType="separate"/>
      </w:r>
      <w:r w:rsidRPr="51036E6F">
        <w:rPr>
          <w:rFonts w:ascii="Arial" w:eastAsia="Calibri" w:hAnsi="Arial" w:cs="Arial"/>
          <w:noProof/>
          <w:color w:val="000000" w:themeColor="text1"/>
          <w:sz w:val="24"/>
          <w:szCs w:val="24"/>
        </w:rPr>
        <w:t>(Decraemer, Coolen and Hendrickx, 1979)</w:t>
      </w:r>
      <w:r w:rsidR="00323300" w:rsidRPr="51036E6F">
        <w:rPr>
          <w:rFonts w:ascii="Arial" w:eastAsia="Calibri" w:hAnsi="Arial" w:cs="Arial"/>
          <w:color w:val="000000" w:themeColor="text1"/>
          <w:sz w:val="24"/>
          <w:szCs w:val="24"/>
        </w:rPr>
        <w:fldChar w:fldCharType="end"/>
      </w:r>
    </w:p>
    <w:p w14:paraId="0BFE7865" w14:textId="4B62B75A" w:rsidR="00C60E12" w:rsidRPr="002B3D8A" w:rsidRDefault="00B27D90" w:rsidP="00616CDC">
      <w:pPr>
        <w:spacing w:line="360" w:lineRule="auto"/>
        <w:ind w:left="-284"/>
        <w:jc w:val="both"/>
        <w:rPr>
          <w:rFonts w:ascii="Arial" w:eastAsia="Calibri" w:hAnsi="Arial" w:cs="Arial"/>
          <w:color w:val="000000" w:themeColor="text1"/>
          <w:sz w:val="24"/>
          <w:szCs w:val="24"/>
        </w:rPr>
      </w:pPr>
      <w:r w:rsidRPr="002B3D8A">
        <w:rPr>
          <w:rFonts w:ascii="Arial" w:eastAsia="Calibri" w:hAnsi="Arial" w:cs="Arial"/>
          <w:color w:val="000000" w:themeColor="text1"/>
          <w:sz w:val="24"/>
          <w:szCs w:val="24"/>
        </w:rPr>
        <w:t xml:space="preserve">In a survey to determine distribution of nematodes around roots of </w:t>
      </w:r>
      <w:r w:rsidRPr="002B3D8A">
        <w:rPr>
          <w:rFonts w:ascii="Arial" w:eastAsia="Calibri" w:hAnsi="Arial" w:cs="Arial"/>
          <w:i/>
          <w:color w:val="000000" w:themeColor="text1"/>
          <w:sz w:val="24"/>
          <w:szCs w:val="24"/>
        </w:rPr>
        <w:t>Ammophila arenaria</w:t>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Desmoschoenus spiralis</w:t>
      </w:r>
      <w:r w:rsidRPr="002B3D8A">
        <w:rPr>
          <w:rFonts w:ascii="Arial" w:eastAsia="Calibri" w:hAnsi="Arial" w:cs="Arial"/>
          <w:color w:val="000000" w:themeColor="text1"/>
          <w:sz w:val="24"/>
          <w:szCs w:val="24"/>
        </w:rPr>
        <w:t xml:space="preserve"> on sand dunes, </w:t>
      </w:r>
      <w:r w:rsidRPr="002B3D8A">
        <w:rPr>
          <w:rFonts w:ascii="Arial" w:eastAsia="Calibri" w:hAnsi="Arial" w:cs="Arial"/>
          <w:i/>
          <w:color w:val="000000" w:themeColor="text1"/>
          <w:sz w:val="24"/>
          <w:szCs w:val="24"/>
        </w:rPr>
        <w:t xml:space="preserve">Trichodorus </w:t>
      </w:r>
      <w:r w:rsidRPr="002B3D8A">
        <w:rPr>
          <w:rFonts w:ascii="Arial" w:eastAsia="Calibri" w:hAnsi="Arial" w:cs="Arial"/>
          <w:color w:val="000000" w:themeColor="text1"/>
          <w:sz w:val="24"/>
          <w:szCs w:val="24"/>
        </w:rPr>
        <w:t xml:space="preserve">spp were not found which led to a conclusion that very course sands may limit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spp distribution </w:t>
      </w:r>
      <w:r w:rsidRPr="002B3D8A">
        <w:rPr>
          <w:rFonts w:ascii="Arial" w:eastAsia="Calibri" w:hAnsi="Arial" w:cs="Arial"/>
          <w:color w:val="000000" w:themeColor="text1"/>
          <w:sz w:val="24"/>
          <w:szCs w:val="24"/>
        </w:rPr>
        <w:fldChar w:fldCharType="begin" w:fldLock="1"/>
      </w:r>
      <w:r w:rsidRPr="002B3D8A">
        <w:rPr>
          <w:rFonts w:ascii="Arial" w:eastAsia="Calibri" w:hAnsi="Arial" w:cs="Arial"/>
          <w:color w:val="000000" w:themeColor="text1"/>
          <w:sz w:val="24"/>
          <w:szCs w:val="24"/>
        </w:rPr>
        <w:instrText>ADDIN CSL_CITATION {"citationItems":[{"id":"ITEM-1","itemData":{"author":[{"dropping-particle":"","family":"Yeates","given":"G W","non-dropping-particle":"","parse-names":false,"suffix":""}],"container-title":"NZJ Sci","id":"ITEM-1","issue":"4","issued":{"date-parts":[["1967"]]},"page":"927-948","title":"Studies on nematodes from dune sands. 9. Quantitative comparison of the nematode faunas of six localities.","type":"article-journal","volume":"10"},"uris":["http://www.mendeley.com/documents/?uuid=90bc71ec-fceb-4ba7-af98-f44d75134cd0"]}],"mendeley":{"formattedCitation":"(Yeates, 1967)","plainTextFormattedCitation":"(Yeates, 1967)","previouslyFormattedCitation":"(Yeates, 1967)"},"properties":{"noteIndex":0},"schema":"https://github.com/citation-style-language/schema/raw/master/csl-citation.json"}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Pr="002B3D8A">
        <w:rPr>
          <w:rFonts w:ascii="Arial" w:eastAsia="Calibri" w:hAnsi="Arial" w:cs="Arial"/>
          <w:noProof/>
          <w:color w:val="000000" w:themeColor="text1"/>
          <w:sz w:val="24"/>
          <w:szCs w:val="24"/>
        </w:rPr>
        <w:t>(Yeates, 1967)</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An exception of occurrence of </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spp in sandy soils is in a survey where </w:t>
      </w:r>
      <w:r w:rsidRPr="002B3D8A">
        <w:rPr>
          <w:rFonts w:ascii="Arial" w:eastAsia="Calibri" w:hAnsi="Arial" w:cs="Arial"/>
          <w:i/>
          <w:color w:val="000000" w:themeColor="text1"/>
          <w:sz w:val="24"/>
          <w:szCs w:val="24"/>
        </w:rPr>
        <w:t>Trichodorus pachydermus</w:t>
      </w:r>
      <w:r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fldChar w:fldCharType="begin" w:fldLock="1"/>
      </w:r>
      <w:r w:rsidRPr="002B3D8A">
        <w:rPr>
          <w:rFonts w:ascii="Arial" w:eastAsia="Calibri" w:hAnsi="Arial" w:cs="Arial"/>
          <w:color w:val="000000" w:themeColor="text1"/>
          <w:sz w:val="24"/>
          <w:szCs w:val="24"/>
        </w:rPr>
        <w:instrText>ADDIN CSL_CITATION {"citationItems":[{"id":"ITEM-1","itemData":{"DOI":"10.1111/j.1365-3059.1971.tb00510.x","ISSN":"13653059","abstract":"Tobacco rattle virus (TRV) was transmitted from tubers of 13 out of 15 potato cultivars with spraing (20/22 stocks tested) and cucumber bait seedlings became infected with the virus when grown in soil from all the fields where crops had become affected with spraing. Trichodorus pachydermus Seinhorst and/or T. primitivus (de Man) occurred in all 106 TRV</w:instrText>
      </w:r>
      <w:r w:rsidRPr="002B3D8A">
        <w:rPr>
          <w:rFonts w:ascii="Cambria Math" w:eastAsia="Calibri" w:hAnsi="Cambria Math" w:cs="Cambria Math"/>
          <w:color w:val="000000" w:themeColor="text1"/>
          <w:sz w:val="24"/>
          <w:szCs w:val="24"/>
        </w:rPr>
        <w:instrText>‐</w:instrText>
      </w:r>
      <w:r w:rsidRPr="002B3D8A">
        <w:rPr>
          <w:rFonts w:ascii="Arial" w:eastAsia="Calibri" w:hAnsi="Arial" w:cs="Arial"/>
          <w:color w:val="000000" w:themeColor="text1"/>
          <w:sz w:val="24"/>
          <w:szCs w:val="24"/>
        </w:rPr>
        <w:instrText>infested soils examined; in addition, T. nanus Allen was found in five, T. cylindricus Hooper in two and an unidentified species in one TRV</w:instrText>
      </w:r>
      <w:r w:rsidRPr="002B3D8A">
        <w:rPr>
          <w:rFonts w:ascii="Cambria Math" w:eastAsia="Calibri" w:hAnsi="Cambria Math" w:cs="Cambria Math"/>
          <w:color w:val="000000" w:themeColor="text1"/>
          <w:sz w:val="24"/>
          <w:szCs w:val="24"/>
        </w:rPr>
        <w:instrText>‐</w:instrText>
      </w:r>
      <w:r w:rsidRPr="002B3D8A">
        <w:rPr>
          <w:rFonts w:ascii="Arial" w:eastAsia="Calibri" w:hAnsi="Arial" w:cs="Arial"/>
          <w:color w:val="000000" w:themeColor="text1"/>
          <w:sz w:val="24"/>
          <w:szCs w:val="24"/>
        </w:rPr>
        <w:instrText>infested soil. TRV is considered to be the major cause of potato spraing in Scotland, and T. pachydermus and T. primitivus to be the main vectors. TRV occurred in 106 out of 153 (68 per cent) freely drained podsols derived from fluvioglacial, raised beach, till, alluvial or sand</w:instrText>
      </w:r>
      <w:r w:rsidRPr="002B3D8A">
        <w:rPr>
          <w:rFonts w:ascii="Cambria Math" w:eastAsia="Calibri" w:hAnsi="Cambria Math" w:cs="Cambria Math"/>
          <w:color w:val="000000" w:themeColor="text1"/>
          <w:sz w:val="24"/>
          <w:szCs w:val="24"/>
        </w:rPr>
        <w:instrText>‐</w:instrText>
      </w:r>
      <w:r w:rsidRPr="002B3D8A">
        <w:rPr>
          <w:rFonts w:ascii="Arial" w:eastAsia="Calibri" w:hAnsi="Arial" w:cs="Arial"/>
          <w:color w:val="000000" w:themeColor="text1"/>
          <w:sz w:val="24"/>
          <w:szCs w:val="24"/>
        </w:rPr>
        <w:instrText>dune deposits but was not found on heavy, badly drained soils. About 12 per cent of Scotland's potato acreage is estimated to be on TRV</w:instrText>
      </w:r>
      <w:r w:rsidRPr="002B3D8A">
        <w:rPr>
          <w:rFonts w:ascii="Cambria Math" w:eastAsia="Calibri" w:hAnsi="Cambria Math" w:cs="Cambria Math"/>
          <w:color w:val="000000" w:themeColor="text1"/>
          <w:sz w:val="24"/>
          <w:szCs w:val="24"/>
        </w:rPr>
        <w:instrText>‐</w:instrText>
      </w:r>
      <w:r w:rsidRPr="002B3D8A">
        <w:rPr>
          <w:rFonts w:ascii="Arial" w:eastAsia="Calibri" w:hAnsi="Arial" w:cs="Arial"/>
          <w:color w:val="000000" w:themeColor="text1"/>
          <w:sz w:val="24"/>
          <w:szCs w:val="24"/>
        </w:rPr>
        <w:instrText>infested soil and 15–20 per cent of the total arable acreage is probably infested with Trichodorus spp. Many of the soils infested with Trichodorus spp. are inherently deficient in copper and manganese. In laboratory experiments, solutions of cupric sulphate (16 p.p.m. Cu) were toxic to T. pachydermus, T. primitivus and T. cylindricus but not to a mixture of other saprozoic and stylet</w:instrText>
      </w:r>
      <w:r w:rsidRPr="002B3D8A">
        <w:rPr>
          <w:rFonts w:ascii="Cambria Math" w:eastAsia="Calibri" w:hAnsi="Cambria Math" w:cs="Cambria Math"/>
          <w:color w:val="000000" w:themeColor="text1"/>
          <w:sz w:val="24"/>
          <w:szCs w:val="24"/>
        </w:rPr>
        <w:instrText>‐</w:instrText>
      </w:r>
      <w:r w:rsidRPr="002B3D8A">
        <w:rPr>
          <w:rFonts w:ascii="Arial" w:eastAsia="Calibri" w:hAnsi="Arial" w:cs="Arial"/>
          <w:color w:val="000000" w:themeColor="text1"/>
          <w:sz w:val="24"/>
          <w:szCs w:val="24"/>
        </w:rPr>
        <w:instrText>bearing nematodes from a Trichodorus infested soil. Copyright © 1971, Wiley Blackwell. All rights reserved","author":[{"dropping-particle":"","family":"Cooper","given":"J. I.","non-dropping-particle":"","parse-names":false,"suffix":""}],"container-title":"Plant Pathology","id":"ITEM-1","issue":"2","issued":{"date-parts":[["1971"]]},"page":"51-58","title":"The Distribution in Scotland of Tobacco Rattle Virus and its Nematode Vectors in Relation to Soil Type","type":"article-journal","volume":"20"},"uris":["http://www.mendeley.com/documents/?uuid=c2cd7cd1-28fe-3b73-8108-6235e396d616"]}],"mendeley":{"formattedCitation":"(Cooper, 1971)","plainTextFormattedCitation":"(Cooper, 1971)","previouslyFormattedCitation":"(Cooper, 1971)"},"properties":{"noteIndex":0},"schema":"https://github.com/citation-style-language/schema/raw/master/csl-citation.json"}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Pr="002B3D8A">
        <w:rPr>
          <w:rFonts w:ascii="Arial" w:eastAsia="Calibri" w:hAnsi="Arial" w:cs="Arial"/>
          <w:noProof/>
          <w:color w:val="000000" w:themeColor="text1"/>
          <w:sz w:val="24"/>
          <w:szCs w:val="24"/>
        </w:rPr>
        <w:t>(Cooper, 1971)</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and </w:t>
      </w:r>
      <w:r w:rsidRPr="002B3D8A">
        <w:rPr>
          <w:rFonts w:ascii="Arial" w:eastAsia="Calibri" w:hAnsi="Arial" w:cs="Arial"/>
          <w:i/>
          <w:color w:val="000000" w:themeColor="text1"/>
          <w:sz w:val="24"/>
          <w:szCs w:val="24"/>
        </w:rPr>
        <w:t>Trichodorus primitivus</w:t>
      </w:r>
      <w:r w:rsidRPr="002B3D8A">
        <w:rPr>
          <w:rFonts w:ascii="Arial" w:eastAsia="Calibri" w:hAnsi="Arial" w:cs="Arial"/>
          <w:color w:val="000000" w:themeColor="text1"/>
          <w:sz w:val="24"/>
          <w:szCs w:val="24"/>
        </w:rPr>
        <w:t xml:space="preserve"> were found in a clay soil and wide range of soil types, indicating that the two species can occupy diverse soil habitats </w:t>
      </w:r>
      <w:r w:rsidRPr="002B3D8A">
        <w:rPr>
          <w:rFonts w:ascii="Arial" w:eastAsia="Calibri" w:hAnsi="Arial" w:cs="Arial"/>
          <w:color w:val="000000" w:themeColor="text1"/>
          <w:sz w:val="24"/>
          <w:szCs w:val="24"/>
        </w:rPr>
        <w:fldChar w:fldCharType="begin" w:fldLock="1"/>
      </w:r>
      <w:r w:rsidRPr="002B3D8A">
        <w:rPr>
          <w:rFonts w:ascii="Arial" w:eastAsia="Calibri" w:hAnsi="Arial" w:cs="Arial"/>
          <w:color w:val="000000" w:themeColor="text1"/>
          <w:sz w:val="24"/>
          <w:szCs w:val="24"/>
        </w:rPr>
        <w:instrText>ADDIN CSL_CITATION {"citationItems":[{"id":"ITEM-1","itemData":{"DOI":"10.1163/187529263X00232","ISSN":"00282596","abstract":"The male specimen described by Allen (1957) as Trichodorus primitivus (de Man) belongs probably to the species T. similis n. sp. described here. A male specimen labelled by de Man Dorylaimus primitivus and used by him for the description of this species is redescribed. The des cription of the male of T. primitivus is augmented using newly collected specimens. T. primitivus (de Man) and T. obtusus (Cobb) are separate species. © 1963 BRILL.","author":[{"dropping-particle":"","family":"Seinhorst","given":"J. W.","non-dropping-particle":"","parse-names":false,"suffix":""}],"container-title":"Nematologica","id":"ITEM-1","issue":"1","issued":{"date-parts":[["1963"]]},"page":"125-130","publisher":"Brill Academic Publishers","title":"A redescription of the male of trichodorus primitivus (De man), and the description of a new species t. similis","type":"article-journal","volume":"9"},"uris":["http://www.mendeley.com/documents/?uuid=ce8ca7a3-cfbf-3e8d-bc55-211d39405a19"]}],"mendeley":{"formattedCitation":"(Seinhorst, 1963)","plainTextFormattedCitation":"(Seinhorst, 1963)","previouslyFormattedCitation":"(Seinhorst, 1963)"},"properties":{"noteIndex":0},"schema":"https://github.com/citation-style-language/schema/raw/master/csl-citation.json"}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Pr="002B3D8A">
        <w:rPr>
          <w:rFonts w:ascii="Arial" w:eastAsia="Calibri" w:hAnsi="Arial" w:cs="Arial"/>
          <w:noProof/>
          <w:color w:val="000000" w:themeColor="text1"/>
          <w:sz w:val="24"/>
          <w:szCs w:val="24"/>
        </w:rPr>
        <w:t>(Seinhorst, 1963)</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w:t>
      </w:r>
    </w:p>
    <w:p w14:paraId="2DFFBCF6" w14:textId="719F14AE" w:rsidR="00EE5200" w:rsidRPr="004A7DDE" w:rsidRDefault="00AA6D77" w:rsidP="004A7DDE">
      <w:pPr>
        <w:pStyle w:val="Heading4"/>
        <w:spacing w:line="360" w:lineRule="auto"/>
        <w:rPr>
          <w:rFonts w:ascii="Arial" w:eastAsia="Calibri" w:hAnsi="Arial" w:cs="Arial"/>
          <w:b/>
          <w:color w:val="000000" w:themeColor="text1"/>
        </w:rPr>
      </w:pPr>
      <w:r w:rsidRPr="004A7DDE">
        <w:rPr>
          <w:rFonts w:ascii="Arial" w:eastAsia="Calibri" w:hAnsi="Arial" w:cs="Arial"/>
          <w:b/>
          <w:color w:val="000000" w:themeColor="text1"/>
        </w:rPr>
        <w:t>1.</w:t>
      </w:r>
      <w:r w:rsidR="001A0616" w:rsidRPr="004A7DDE">
        <w:rPr>
          <w:rFonts w:ascii="Arial" w:eastAsia="Calibri" w:hAnsi="Arial" w:cs="Arial"/>
          <w:b/>
          <w:color w:val="000000" w:themeColor="text1"/>
        </w:rPr>
        <w:t>2.</w:t>
      </w:r>
      <w:r w:rsidR="00F52458">
        <w:rPr>
          <w:rFonts w:ascii="Arial" w:eastAsia="Calibri" w:hAnsi="Arial" w:cs="Arial"/>
          <w:b/>
          <w:color w:val="000000" w:themeColor="text1"/>
        </w:rPr>
        <w:t>5</w:t>
      </w:r>
      <w:r w:rsidR="001A0616" w:rsidRPr="004A7DDE">
        <w:rPr>
          <w:rFonts w:ascii="Arial" w:eastAsia="Calibri" w:hAnsi="Arial" w:cs="Arial"/>
          <w:b/>
          <w:color w:val="000000" w:themeColor="text1"/>
        </w:rPr>
        <w:t>.2</w:t>
      </w:r>
      <w:r w:rsidR="00EE5200" w:rsidRPr="004A7DDE">
        <w:rPr>
          <w:rFonts w:ascii="Arial" w:eastAsia="Calibri" w:hAnsi="Arial" w:cs="Arial"/>
          <w:b/>
          <w:color w:val="000000" w:themeColor="text1"/>
        </w:rPr>
        <w:t xml:space="preserve"> Vertical and horizontal distribution </w:t>
      </w:r>
    </w:p>
    <w:p w14:paraId="4C62DD19" w14:textId="618E8AA4" w:rsidR="00F42919" w:rsidRPr="002B3D8A" w:rsidRDefault="00B27D90" w:rsidP="00616CDC">
      <w:pPr>
        <w:spacing w:line="360" w:lineRule="auto"/>
        <w:ind w:left="-284"/>
        <w:jc w:val="both"/>
        <w:rPr>
          <w:rFonts w:ascii="Arial" w:hAnsi="Arial" w:cs="Arial"/>
          <w:color w:val="000000" w:themeColor="text1"/>
          <w:sz w:val="24"/>
          <w:szCs w:val="24"/>
        </w:rPr>
      </w:pPr>
      <w:r w:rsidRPr="002B3D8A">
        <w:rPr>
          <w:rFonts w:ascii="Arial" w:hAnsi="Arial" w:cs="Arial"/>
          <w:color w:val="000000" w:themeColor="text1"/>
          <w:sz w:val="24"/>
          <w:szCs w:val="24"/>
        </w:rPr>
        <w:t xml:space="preserve">The vertical and horizontal distribution of </w:t>
      </w:r>
      <w:r w:rsidRPr="002B3D8A">
        <w:rPr>
          <w:rFonts w:ascii="Arial" w:hAnsi="Arial" w:cs="Arial"/>
          <w:i/>
          <w:color w:val="000000" w:themeColor="text1"/>
          <w:sz w:val="24"/>
          <w:szCs w:val="24"/>
        </w:rPr>
        <w:t xml:space="preserve">Trichodorus </w:t>
      </w:r>
      <w:r w:rsidRPr="002B3D8A">
        <w:rPr>
          <w:rFonts w:ascii="Arial" w:hAnsi="Arial" w:cs="Arial"/>
          <w:color w:val="000000" w:themeColor="text1"/>
          <w:sz w:val="24"/>
          <w:szCs w:val="24"/>
        </w:rPr>
        <w:t>spp</w:t>
      </w:r>
      <w:r w:rsidR="004C08EB" w:rsidRPr="002B3D8A">
        <w:rPr>
          <w:rFonts w:ascii="Arial" w:hAnsi="Arial" w:cs="Arial"/>
          <w:color w:val="000000" w:themeColor="text1"/>
          <w:sz w:val="24"/>
          <w:szCs w:val="24"/>
        </w:rPr>
        <w:t xml:space="preserve"> </w:t>
      </w:r>
      <w:r w:rsidRPr="002B3D8A">
        <w:rPr>
          <w:rFonts w:ascii="Arial" w:hAnsi="Arial" w:cs="Arial"/>
          <w:color w:val="000000" w:themeColor="text1"/>
          <w:sz w:val="24"/>
          <w:szCs w:val="24"/>
        </w:rPr>
        <w:t>can vary enormously</w:t>
      </w:r>
      <w:r w:rsidR="00D906E7">
        <w:rPr>
          <w:rFonts w:ascii="Arial" w:hAnsi="Arial" w:cs="Arial"/>
          <w:color w:val="000000" w:themeColor="text1"/>
          <w:sz w:val="24"/>
          <w:szCs w:val="24"/>
        </w:rPr>
        <w:t>.</w:t>
      </w:r>
      <w:r w:rsidRPr="002B3D8A">
        <w:rPr>
          <w:rFonts w:ascii="Arial" w:hAnsi="Arial" w:cs="Arial"/>
          <w:color w:val="000000" w:themeColor="text1"/>
          <w:sz w:val="24"/>
          <w:szCs w:val="24"/>
        </w:rPr>
        <w:t xml:space="preserve"> </w:t>
      </w:r>
      <w:r w:rsidR="00D906E7">
        <w:rPr>
          <w:rFonts w:ascii="Arial" w:hAnsi="Arial" w:cs="Arial"/>
          <w:color w:val="000000" w:themeColor="text1"/>
          <w:sz w:val="24"/>
          <w:szCs w:val="24"/>
        </w:rPr>
        <w:t>U</w:t>
      </w:r>
      <w:r w:rsidRPr="002B3D8A">
        <w:rPr>
          <w:rFonts w:ascii="Arial" w:hAnsi="Arial" w:cs="Arial"/>
          <w:color w:val="000000" w:themeColor="text1"/>
          <w:sz w:val="24"/>
          <w:szCs w:val="24"/>
        </w:rPr>
        <w:t xml:space="preserve">nlike other nematode </w:t>
      </w:r>
      <w:r w:rsidR="00403023">
        <w:rPr>
          <w:rFonts w:ascii="Arial" w:hAnsi="Arial" w:cs="Arial"/>
          <w:color w:val="000000" w:themeColor="text1"/>
          <w:sz w:val="24"/>
          <w:szCs w:val="24"/>
        </w:rPr>
        <w:t>genera</w:t>
      </w:r>
      <w:r w:rsidRPr="002B3D8A">
        <w:rPr>
          <w:rFonts w:ascii="Arial" w:hAnsi="Arial" w:cs="Arial"/>
          <w:color w:val="000000" w:themeColor="text1"/>
          <w:sz w:val="24"/>
          <w:szCs w:val="24"/>
        </w:rPr>
        <w:t>, the distribution is influenced by the moisture levels in the soil</w:t>
      </w:r>
      <w:r w:rsidR="00323300" w:rsidRPr="002B3D8A">
        <w:rPr>
          <w:rFonts w:ascii="Arial" w:hAnsi="Arial" w:cs="Arial"/>
          <w:color w:val="000000" w:themeColor="text1"/>
          <w:sz w:val="24"/>
          <w:szCs w:val="24"/>
        </w:rPr>
        <w:t xml:space="preserve">. </w:t>
      </w:r>
      <w:r w:rsidRPr="002B3D8A">
        <w:rPr>
          <w:rFonts w:ascii="Arial" w:hAnsi="Arial" w:cs="Arial"/>
          <w:color w:val="000000" w:themeColor="text1"/>
          <w:sz w:val="24"/>
          <w:szCs w:val="24"/>
        </w:rPr>
        <w:t xml:space="preserve">When soil is at field capacity, numbers can be maintained especially </w:t>
      </w:r>
      <w:r w:rsidR="003E5C53" w:rsidRPr="002B3D8A">
        <w:rPr>
          <w:rFonts w:ascii="Arial" w:hAnsi="Arial" w:cs="Arial"/>
          <w:color w:val="000000" w:themeColor="text1"/>
          <w:sz w:val="24"/>
          <w:szCs w:val="24"/>
        </w:rPr>
        <w:t>w</w:t>
      </w:r>
      <w:r w:rsidR="003E5C53">
        <w:rPr>
          <w:rFonts w:ascii="Arial" w:hAnsi="Arial" w:cs="Arial"/>
          <w:color w:val="000000" w:themeColor="text1"/>
          <w:sz w:val="24"/>
          <w:szCs w:val="24"/>
        </w:rPr>
        <w:t>hen there</w:t>
      </w:r>
      <w:r w:rsidR="00F13D0B">
        <w:rPr>
          <w:rFonts w:ascii="Arial" w:hAnsi="Arial" w:cs="Arial"/>
          <w:color w:val="000000" w:themeColor="text1"/>
          <w:sz w:val="24"/>
          <w:szCs w:val="24"/>
        </w:rPr>
        <w:t xml:space="preserve"> is an abundance of</w:t>
      </w:r>
      <w:r w:rsidR="003E5C53" w:rsidRPr="002B3D8A">
        <w:rPr>
          <w:rFonts w:ascii="Arial" w:hAnsi="Arial" w:cs="Arial"/>
          <w:color w:val="000000" w:themeColor="text1"/>
          <w:sz w:val="24"/>
          <w:szCs w:val="24"/>
        </w:rPr>
        <w:t xml:space="preserve"> </w:t>
      </w:r>
      <w:r w:rsidRPr="002B3D8A">
        <w:rPr>
          <w:rFonts w:ascii="Arial" w:hAnsi="Arial" w:cs="Arial"/>
          <w:color w:val="000000" w:themeColor="text1"/>
          <w:sz w:val="24"/>
          <w:szCs w:val="24"/>
        </w:rPr>
        <w:t>host</w:t>
      </w:r>
      <w:r w:rsidR="00F13D0B">
        <w:rPr>
          <w:rFonts w:ascii="Arial" w:hAnsi="Arial" w:cs="Arial"/>
          <w:color w:val="000000" w:themeColor="text1"/>
          <w:sz w:val="24"/>
          <w:szCs w:val="24"/>
        </w:rPr>
        <w:t xml:space="preserve"> plant</w:t>
      </w:r>
      <w:r w:rsidRPr="002B3D8A">
        <w:rPr>
          <w:rFonts w:ascii="Arial" w:hAnsi="Arial" w:cs="Arial"/>
          <w:color w:val="000000" w:themeColor="text1"/>
          <w:sz w:val="24"/>
          <w:szCs w:val="24"/>
        </w:rPr>
        <w:t xml:space="preserve"> roots. </w:t>
      </w:r>
      <w:r w:rsidR="00F13D0B" w:rsidRPr="002B3D8A">
        <w:rPr>
          <w:rFonts w:ascii="Arial" w:hAnsi="Arial" w:cs="Arial"/>
          <w:color w:val="000000" w:themeColor="text1"/>
          <w:sz w:val="24"/>
          <w:szCs w:val="24"/>
        </w:rPr>
        <w:t>T</w:t>
      </w:r>
      <w:r w:rsidR="00F13D0B">
        <w:rPr>
          <w:rFonts w:ascii="Arial" w:hAnsi="Arial" w:cs="Arial"/>
          <w:color w:val="000000" w:themeColor="text1"/>
          <w:sz w:val="24"/>
          <w:szCs w:val="24"/>
        </w:rPr>
        <w:t>richodorids</w:t>
      </w:r>
      <w:r w:rsidR="00F13D0B" w:rsidRPr="002B3D8A">
        <w:rPr>
          <w:rFonts w:ascii="Arial" w:hAnsi="Arial" w:cs="Arial"/>
          <w:color w:val="000000" w:themeColor="text1"/>
          <w:sz w:val="24"/>
          <w:szCs w:val="24"/>
        </w:rPr>
        <w:t xml:space="preserve"> </w:t>
      </w:r>
      <w:r w:rsidRPr="002B3D8A">
        <w:rPr>
          <w:rFonts w:ascii="Arial" w:hAnsi="Arial" w:cs="Arial"/>
          <w:color w:val="000000" w:themeColor="text1"/>
          <w:sz w:val="24"/>
          <w:szCs w:val="24"/>
        </w:rPr>
        <w:t>tend to move deeper in the soil during dry conditions</w:t>
      </w:r>
      <w:r w:rsidR="00F13D0B">
        <w:rPr>
          <w:rFonts w:ascii="Arial" w:hAnsi="Arial" w:cs="Arial"/>
          <w:color w:val="000000" w:themeColor="text1"/>
          <w:sz w:val="24"/>
          <w:szCs w:val="24"/>
        </w:rPr>
        <w:t>,</w:t>
      </w:r>
      <w:r w:rsidRPr="002B3D8A">
        <w:rPr>
          <w:rFonts w:ascii="Arial" w:hAnsi="Arial" w:cs="Arial"/>
          <w:color w:val="000000" w:themeColor="text1"/>
          <w:sz w:val="24"/>
          <w:szCs w:val="24"/>
        </w:rPr>
        <w:t xml:space="preserve"> </w:t>
      </w:r>
      <w:r w:rsidR="00F13D0B">
        <w:rPr>
          <w:rFonts w:ascii="Arial" w:hAnsi="Arial" w:cs="Arial"/>
          <w:color w:val="000000" w:themeColor="text1"/>
          <w:sz w:val="24"/>
          <w:szCs w:val="24"/>
        </w:rPr>
        <w:t>where population densities</w:t>
      </w:r>
      <w:r w:rsidRPr="002B3D8A">
        <w:rPr>
          <w:rFonts w:ascii="Arial" w:hAnsi="Arial" w:cs="Arial"/>
          <w:color w:val="000000" w:themeColor="text1"/>
          <w:sz w:val="24"/>
          <w:szCs w:val="24"/>
        </w:rPr>
        <w:t xml:space="preserve"> can decrease rapidly due to their high susceptibility to desiccation </w:t>
      </w:r>
      <w:r w:rsidRPr="002B3D8A">
        <w:rPr>
          <w:rFonts w:ascii="Arial" w:hAnsi="Arial" w:cs="Arial"/>
          <w:color w:val="000000" w:themeColor="text1"/>
          <w:sz w:val="24"/>
          <w:szCs w:val="24"/>
        </w:rPr>
        <w:fldChar w:fldCharType="begin" w:fldLock="1"/>
      </w:r>
      <w:r w:rsidR="00E13293">
        <w:rPr>
          <w:rFonts w:ascii="Arial" w:hAnsi="Arial" w:cs="Arial"/>
          <w:color w:val="000000" w:themeColor="text1"/>
          <w:sz w:val="24"/>
          <w:szCs w:val="24"/>
        </w:rPr>
        <w:instrText>ADDIN CSL_CITATION {"citationItems":[{"id":"ITEM-1","itemData":{"DOI":"10.1007/978-1-4684-0841-6_25","author":[{"dropping-particle":"","family":"Winfield","given":"A. L.","non-dropping-particle":"","parse-names":false,"suffix":""},{"dropping-particle":"","family":"Cooke","given":"D. A.","non-dropping-particle":"","parse-names":false,"suffix":""}],"container-title":"Nematode Vectors of Plant Viruses","id":"ITEM-1","issue":"81","issued":{"date-parts":[["1975"]]},"page":"309-341","title":"The Ecology of Trichodorus","type":"article-journal"},"uris":["http://www.mendeley.com/documents/?uuid=19b7aa37-b8dc-4943-9f00-a313747111cf"]}],"mendeley":{"formattedCitation":"(Winfield and Cooke, 1975)","plainTextFormattedCitation":"(Winfield and Cooke, 1975)","previouslyFormattedCitation":"(Winfield and Cooke, 1975)"},"properties":{"noteIndex":0},"schema":"https://github.com/citation-style-language/schema/raw/master/csl-citation.json"}</w:instrText>
      </w:r>
      <w:r w:rsidRPr="002B3D8A">
        <w:rPr>
          <w:rFonts w:ascii="Arial" w:hAnsi="Arial" w:cs="Arial"/>
          <w:color w:val="000000" w:themeColor="text1"/>
          <w:sz w:val="24"/>
          <w:szCs w:val="24"/>
        </w:rPr>
        <w:fldChar w:fldCharType="separate"/>
      </w:r>
      <w:r w:rsidR="00E13293" w:rsidRPr="00E13293">
        <w:rPr>
          <w:rFonts w:ascii="Arial" w:hAnsi="Arial" w:cs="Arial"/>
          <w:noProof/>
          <w:color w:val="000000" w:themeColor="text1"/>
          <w:sz w:val="24"/>
          <w:szCs w:val="24"/>
        </w:rPr>
        <w:t>(Winfield and Cooke, 1975)</w:t>
      </w:r>
      <w:r w:rsidRPr="002B3D8A">
        <w:rPr>
          <w:rFonts w:ascii="Arial" w:hAnsi="Arial" w:cs="Arial"/>
          <w:color w:val="000000" w:themeColor="text1"/>
          <w:sz w:val="24"/>
          <w:szCs w:val="24"/>
        </w:rPr>
        <w:fldChar w:fldCharType="end"/>
      </w:r>
      <w:r w:rsidRPr="002B3D8A">
        <w:rPr>
          <w:rFonts w:ascii="Arial" w:hAnsi="Arial" w:cs="Arial"/>
          <w:color w:val="000000" w:themeColor="text1"/>
          <w:sz w:val="24"/>
          <w:szCs w:val="24"/>
        </w:rPr>
        <w:t>.</w:t>
      </w:r>
      <w:r w:rsidRPr="002B3D8A">
        <w:rPr>
          <w:rFonts w:ascii="Arial" w:eastAsia="Calibri" w:hAnsi="Arial" w:cs="Arial"/>
          <w:color w:val="000000" w:themeColor="text1"/>
          <w:sz w:val="24"/>
          <w:szCs w:val="24"/>
        </w:rPr>
        <w:t xml:space="preserve"> </w:t>
      </w:r>
      <w:r w:rsidRPr="002B3D8A">
        <w:rPr>
          <w:rFonts w:ascii="Arial" w:hAnsi="Arial" w:cs="Arial"/>
          <w:color w:val="000000" w:themeColor="text1"/>
          <w:sz w:val="24"/>
          <w:szCs w:val="24"/>
        </w:rPr>
        <w:t>In fifteen experiments to study the effect of soil fumigation and nitrogen fertilizers in</w:t>
      </w:r>
      <w:r w:rsidR="00F13D0B">
        <w:rPr>
          <w:rFonts w:ascii="Arial" w:hAnsi="Arial" w:cs="Arial"/>
          <w:color w:val="000000" w:themeColor="text1"/>
          <w:sz w:val="24"/>
          <w:szCs w:val="24"/>
        </w:rPr>
        <w:t xml:space="preserve"> the</w:t>
      </w:r>
      <w:r w:rsidRPr="002B3D8A">
        <w:rPr>
          <w:rFonts w:ascii="Arial" w:hAnsi="Arial" w:cs="Arial"/>
          <w:color w:val="000000" w:themeColor="text1"/>
          <w:sz w:val="24"/>
          <w:szCs w:val="24"/>
        </w:rPr>
        <w:t xml:space="preserve"> management of trichodorids and other plant parasitic</w:t>
      </w:r>
      <w:r w:rsidR="00F13D0B">
        <w:rPr>
          <w:rFonts w:ascii="Arial" w:hAnsi="Arial" w:cs="Arial"/>
          <w:color w:val="000000" w:themeColor="text1"/>
          <w:sz w:val="24"/>
          <w:szCs w:val="24"/>
        </w:rPr>
        <w:t xml:space="preserve"> nematodes</w:t>
      </w:r>
      <w:r w:rsidRPr="002B3D8A">
        <w:rPr>
          <w:rFonts w:ascii="Arial" w:hAnsi="Arial" w:cs="Arial"/>
          <w:color w:val="000000" w:themeColor="text1"/>
          <w:sz w:val="24"/>
          <w:szCs w:val="24"/>
        </w:rPr>
        <w:t xml:space="preserve">, low numbers of trichodorids were recovered from 0-5cm </w:t>
      </w:r>
      <w:r w:rsidRPr="002B3D8A">
        <w:rPr>
          <w:rFonts w:ascii="Arial" w:hAnsi="Arial" w:cs="Arial"/>
          <w:color w:val="000000" w:themeColor="text1"/>
          <w:sz w:val="24"/>
          <w:szCs w:val="24"/>
        </w:rPr>
        <w:lastRenderedPageBreak/>
        <w:t>depth, however when the soil was wet in rainy months,</w:t>
      </w:r>
      <w:r w:rsidR="00F13D0B">
        <w:rPr>
          <w:rFonts w:ascii="Arial" w:hAnsi="Arial" w:cs="Arial"/>
          <w:color w:val="000000" w:themeColor="text1"/>
          <w:sz w:val="24"/>
          <w:szCs w:val="24"/>
        </w:rPr>
        <w:t xml:space="preserve"> a greater number of</w:t>
      </w:r>
      <w:r w:rsidRPr="002B3D8A">
        <w:rPr>
          <w:rFonts w:ascii="Arial" w:hAnsi="Arial" w:cs="Arial"/>
          <w:color w:val="000000" w:themeColor="text1"/>
          <w:sz w:val="24"/>
          <w:szCs w:val="24"/>
        </w:rPr>
        <w:t xml:space="preserve"> trichodorids were found in the top soil layer indicating that increase</w:t>
      </w:r>
      <w:r w:rsidR="00F13D0B">
        <w:rPr>
          <w:rFonts w:ascii="Arial" w:hAnsi="Arial" w:cs="Arial"/>
          <w:color w:val="000000" w:themeColor="text1"/>
          <w:sz w:val="24"/>
          <w:szCs w:val="24"/>
        </w:rPr>
        <w:t>d</w:t>
      </w:r>
      <w:r w:rsidRPr="002B3D8A">
        <w:rPr>
          <w:rFonts w:ascii="Arial" w:hAnsi="Arial" w:cs="Arial"/>
          <w:color w:val="000000" w:themeColor="text1"/>
          <w:sz w:val="24"/>
          <w:szCs w:val="24"/>
        </w:rPr>
        <w:t xml:space="preserve"> nematode numbers was correlated with accumulated rainfall</w:t>
      </w:r>
      <w:r w:rsidR="00F13D0B">
        <w:rPr>
          <w:rFonts w:ascii="Arial" w:hAnsi="Arial" w:cs="Arial"/>
          <w:color w:val="000000" w:themeColor="text1"/>
          <w:sz w:val="24"/>
          <w:szCs w:val="24"/>
        </w:rPr>
        <w:t>;</w:t>
      </w:r>
      <w:r w:rsidRPr="002B3D8A">
        <w:rPr>
          <w:rFonts w:ascii="Arial" w:hAnsi="Arial" w:cs="Arial"/>
          <w:color w:val="000000" w:themeColor="text1"/>
          <w:sz w:val="24"/>
          <w:szCs w:val="24"/>
        </w:rPr>
        <w:t xml:space="preserve"> </w:t>
      </w:r>
      <w:r w:rsidR="00F13D0B">
        <w:rPr>
          <w:rFonts w:ascii="Arial" w:hAnsi="Arial" w:cs="Arial"/>
          <w:color w:val="000000" w:themeColor="text1"/>
          <w:sz w:val="24"/>
          <w:szCs w:val="24"/>
        </w:rPr>
        <w:t>for instance</w:t>
      </w:r>
      <w:r w:rsidR="00F13D0B" w:rsidRPr="002B3D8A">
        <w:rPr>
          <w:rFonts w:ascii="Arial" w:hAnsi="Arial" w:cs="Arial"/>
          <w:color w:val="000000" w:themeColor="text1"/>
          <w:sz w:val="24"/>
          <w:szCs w:val="24"/>
        </w:rPr>
        <w:t xml:space="preserve"> </w:t>
      </w:r>
      <w:r w:rsidRPr="002B3D8A">
        <w:rPr>
          <w:rFonts w:ascii="Arial" w:hAnsi="Arial" w:cs="Arial"/>
          <w:color w:val="000000" w:themeColor="text1"/>
          <w:sz w:val="24"/>
          <w:szCs w:val="24"/>
        </w:rPr>
        <w:t xml:space="preserve">numbers decreased in August when </w:t>
      </w:r>
      <w:r w:rsidR="00F13D0B">
        <w:rPr>
          <w:rFonts w:ascii="Arial" w:hAnsi="Arial" w:cs="Arial"/>
          <w:color w:val="000000" w:themeColor="text1"/>
          <w:sz w:val="24"/>
          <w:szCs w:val="24"/>
        </w:rPr>
        <w:t>rainfall was lower</w:t>
      </w:r>
      <w:r w:rsidRPr="002B3D8A">
        <w:rPr>
          <w:rFonts w:ascii="Arial" w:hAnsi="Arial" w:cs="Arial"/>
          <w:color w:val="000000" w:themeColor="text1"/>
          <w:sz w:val="24"/>
          <w:szCs w:val="24"/>
        </w:rPr>
        <w:t xml:space="preserve"> </w:t>
      </w:r>
      <w:r w:rsidRPr="002B3D8A">
        <w:rPr>
          <w:rFonts w:ascii="Arial" w:hAnsi="Arial" w:cs="Arial"/>
          <w:color w:val="000000" w:themeColor="text1"/>
          <w:sz w:val="24"/>
          <w:szCs w:val="24"/>
        </w:rPr>
        <w:fldChar w:fldCharType="begin" w:fldLock="1"/>
      </w:r>
      <w:r w:rsidR="00E13293">
        <w:rPr>
          <w:rFonts w:ascii="Arial" w:hAnsi="Arial" w:cs="Arial"/>
          <w:color w:val="000000" w:themeColor="text1"/>
          <w:sz w:val="24"/>
          <w:szCs w:val="24"/>
        </w:rPr>
        <w:instrText>ADDIN CSL_CITATION {"citationItems":[{"id":"ITEM-1","itemData":{"DOI":"10.1111/j.1744-7348.1971.tb04678.x","ISSN":"0003-4746","abstract":"In fifteen experiments on light land infested with plant</w:instrText>
      </w:r>
      <w:r w:rsidR="00E13293">
        <w:rPr>
          <w:rFonts w:ascii="Cambria Math" w:hAnsi="Cambria Math" w:cs="Cambria Math"/>
          <w:color w:val="000000" w:themeColor="text1"/>
          <w:sz w:val="24"/>
          <w:szCs w:val="24"/>
        </w:rPr>
        <w:instrText>‐</w:instrText>
      </w:r>
      <w:r w:rsidR="00E13293">
        <w:rPr>
          <w:rFonts w:ascii="Arial" w:hAnsi="Arial" w:cs="Arial"/>
          <w:color w:val="000000" w:themeColor="text1"/>
          <w:sz w:val="24"/>
          <w:szCs w:val="24"/>
        </w:rPr>
        <w:instrText>parasitic nematodes, fumigating the soil during the previous winter with D</w:instrText>
      </w:r>
      <w:r w:rsidR="00E13293">
        <w:rPr>
          <w:rFonts w:ascii="Cambria Math" w:hAnsi="Cambria Math" w:cs="Cambria Math"/>
          <w:color w:val="000000" w:themeColor="text1"/>
          <w:sz w:val="24"/>
          <w:szCs w:val="24"/>
        </w:rPr>
        <w:instrText>‐</w:instrText>
      </w:r>
      <w:r w:rsidR="00E13293">
        <w:rPr>
          <w:rFonts w:ascii="Arial" w:hAnsi="Arial" w:cs="Arial"/>
          <w:color w:val="000000" w:themeColor="text1"/>
          <w:sz w:val="24"/>
          <w:szCs w:val="24"/>
        </w:rPr>
        <w:instrText>D increased the average yield of sugar</w:instrText>
      </w:r>
      <w:r w:rsidR="00E13293">
        <w:rPr>
          <w:rFonts w:ascii="Cambria Math" w:hAnsi="Cambria Math" w:cs="Cambria Math"/>
          <w:color w:val="000000" w:themeColor="text1"/>
          <w:sz w:val="24"/>
          <w:szCs w:val="24"/>
        </w:rPr>
        <w:instrText>‐</w:instrText>
      </w:r>
      <w:r w:rsidR="00E13293">
        <w:rPr>
          <w:rFonts w:ascii="Arial" w:hAnsi="Arial" w:cs="Arial"/>
          <w:color w:val="000000" w:themeColor="text1"/>
          <w:sz w:val="24"/>
          <w:szCs w:val="24"/>
        </w:rPr>
        <w:instrText>beet roots from 25 to 36 t/ha; this was more than that obtained with various forms of nitrogenous fertilizers used in amounts up to 250 kg N/ha. Application of 85 kg N/ha increased yields on fumigated plots by 7 t/ha, and there was little benefit from giving more. Fumigation killed 65 % of the Pratylenchus spp., 80% of the Trichodorus spp. and 90% of the Tylenchorhynchus spp. in the top 5 cm of the soil and, at 15–20 cm deep, 90, 93 and 95% of these three genera. The increased yield from fumigant at different sites was not correlated with the initial populations of nematodes. The average increase in yield from fumigation was only poorly correlated with rainfall during May. The increases in nematode populations between April and August depended on rainfall, and were 0positively correlated both with the accumulated rainfall for the 10 weeks before sampling the soil in August and with the rainfall during the week previous to sampling. Fumigation not only improved the health of roots, and so enabled them to use nitrogen more efficiently, but also increased the amount of available nitrogen in the soil and decreased the amount lost by leaching. Injected anhydrous ammonia did not affect the populations of nematodes. Copyright © 1971, Wiley Blackwell. All rights reserved","author":[{"dropping-particle":"","family":"Cooke","given":"D. A.","non-dropping-particle":"","parse-names":false,"suffix":""},{"dropping-particle":"","family":"Draycott","given":"A. P.","non-dropping-particle":"","parse-names":false,"suffix":""}],"container-title":"Annals of Applied Biology","id":"ITEM-1","issue":"3","issued":{"date-parts":[["1971","12","1"]]},"page":"253-264","publisher":"John Wiley &amp; Sons, Ltd","title":"The effects of soil fumigation and nitrogen fertilizers on nematodes and sugar beet in sandy soils","type":"article-journal","volume":"69"},"uris":["http://www.mendeley.com/documents/?uuid=330c0861-0a9e-3b04-8fef-9c530dd04541"]}],"mendeley":{"formattedCitation":"(Cooke and Draycott, 1971)","plainTextFormattedCitation":"(Cooke and Draycott, 1971)","previouslyFormattedCitation":"(Cooke and Draycott, 1971)"},"properties":{"noteIndex":0},"schema":"https://github.com/citation-style-language/schema/raw/master/csl-citation.json"}</w:instrText>
      </w:r>
      <w:r w:rsidRPr="002B3D8A">
        <w:rPr>
          <w:rFonts w:ascii="Arial" w:hAnsi="Arial" w:cs="Arial"/>
          <w:color w:val="000000" w:themeColor="text1"/>
          <w:sz w:val="24"/>
          <w:szCs w:val="24"/>
        </w:rPr>
        <w:fldChar w:fldCharType="separate"/>
      </w:r>
      <w:r w:rsidR="00E13293" w:rsidRPr="00E13293">
        <w:rPr>
          <w:rFonts w:ascii="Arial" w:hAnsi="Arial" w:cs="Arial"/>
          <w:noProof/>
          <w:color w:val="000000" w:themeColor="text1"/>
          <w:sz w:val="24"/>
          <w:szCs w:val="24"/>
        </w:rPr>
        <w:t>(Cooke and Draycott, 1971)</w:t>
      </w:r>
      <w:r w:rsidRPr="002B3D8A">
        <w:rPr>
          <w:rFonts w:ascii="Arial" w:hAnsi="Arial" w:cs="Arial"/>
          <w:color w:val="000000" w:themeColor="text1"/>
          <w:sz w:val="24"/>
          <w:szCs w:val="24"/>
        </w:rPr>
        <w:fldChar w:fldCharType="end"/>
      </w:r>
      <w:r w:rsidR="00C60E12" w:rsidRPr="002B3D8A">
        <w:rPr>
          <w:rFonts w:ascii="Arial" w:hAnsi="Arial" w:cs="Arial"/>
          <w:color w:val="000000" w:themeColor="text1"/>
          <w:sz w:val="24"/>
          <w:szCs w:val="24"/>
        </w:rPr>
        <w:t xml:space="preserve">. </w:t>
      </w:r>
      <w:r w:rsidR="00F13D0B">
        <w:rPr>
          <w:rFonts w:ascii="Arial" w:hAnsi="Arial" w:cs="Arial"/>
          <w:color w:val="000000" w:themeColor="text1"/>
          <w:sz w:val="24"/>
          <w:szCs w:val="24"/>
        </w:rPr>
        <w:t xml:space="preserve">The </w:t>
      </w:r>
      <w:r w:rsidRPr="002B3D8A">
        <w:rPr>
          <w:rFonts w:ascii="Arial" w:hAnsi="Arial" w:cs="Arial"/>
          <w:color w:val="000000" w:themeColor="text1"/>
          <w:sz w:val="24"/>
          <w:szCs w:val="24"/>
        </w:rPr>
        <w:t>ability</w:t>
      </w:r>
      <w:r w:rsidR="00F13D0B">
        <w:rPr>
          <w:rFonts w:ascii="Arial" w:hAnsi="Arial" w:cs="Arial"/>
          <w:color w:val="000000" w:themeColor="text1"/>
          <w:sz w:val="24"/>
          <w:szCs w:val="24"/>
        </w:rPr>
        <w:t xml:space="preserve"> of </w:t>
      </w:r>
      <w:r w:rsidR="00F13D0B" w:rsidRPr="002B3D8A">
        <w:rPr>
          <w:rFonts w:ascii="Arial" w:hAnsi="Arial" w:cs="Arial"/>
          <w:color w:val="000000" w:themeColor="text1"/>
          <w:sz w:val="24"/>
          <w:szCs w:val="24"/>
        </w:rPr>
        <w:t>trichodorids</w:t>
      </w:r>
      <w:r w:rsidRPr="002B3D8A">
        <w:rPr>
          <w:rFonts w:ascii="Arial" w:hAnsi="Arial" w:cs="Arial"/>
          <w:color w:val="000000" w:themeColor="text1"/>
          <w:sz w:val="24"/>
          <w:szCs w:val="24"/>
        </w:rPr>
        <w:t xml:space="preserve"> to move when moisture levels are optimum was shown in a study conducted at four different moisture regimes,</w:t>
      </w:r>
      <w:r w:rsidR="00F13D0B">
        <w:rPr>
          <w:rFonts w:ascii="Arial" w:hAnsi="Arial" w:cs="Arial"/>
          <w:color w:val="000000" w:themeColor="text1"/>
          <w:sz w:val="24"/>
          <w:szCs w:val="24"/>
        </w:rPr>
        <w:t xml:space="preserve"> where</w:t>
      </w:r>
      <w:r w:rsidRPr="002B3D8A">
        <w:rPr>
          <w:rFonts w:ascii="Arial" w:hAnsi="Arial" w:cs="Arial"/>
          <w:color w:val="000000" w:themeColor="text1"/>
          <w:sz w:val="24"/>
          <w:szCs w:val="24"/>
        </w:rPr>
        <w:t xml:space="preserve"> </w:t>
      </w:r>
      <w:r w:rsidR="00F13D0B">
        <w:rPr>
          <w:rFonts w:ascii="Arial" w:hAnsi="Arial" w:cs="Arial"/>
          <w:color w:val="000000" w:themeColor="text1"/>
          <w:sz w:val="24"/>
          <w:szCs w:val="24"/>
        </w:rPr>
        <w:t>greatest</w:t>
      </w:r>
      <w:r w:rsidRPr="002B3D8A">
        <w:rPr>
          <w:rFonts w:ascii="Arial" w:hAnsi="Arial" w:cs="Arial"/>
          <w:color w:val="000000" w:themeColor="text1"/>
          <w:sz w:val="24"/>
          <w:szCs w:val="24"/>
        </w:rPr>
        <w:t xml:space="preserve"> movement </w:t>
      </w:r>
      <w:r w:rsidR="00F13D0B">
        <w:rPr>
          <w:rFonts w:ascii="Arial" w:hAnsi="Arial" w:cs="Arial"/>
          <w:color w:val="000000" w:themeColor="text1"/>
          <w:sz w:val="24"/>
          <w:szCs w:val="24"/>
        </w:rPr>
        <w:t>occurred</w:t>
      </w:r>
      <w:r w:rsidRPr="002B3D8A">
        <w:rPr>
          <w:rFonts w:ascii="Arial" w:hAnsi="Arial" w:cs="Arial"/>
          <w:color w:val="000000" w:themeColor="text1"/>
          <w:sz w:val="24"/>
          <w:szCs w:val="24"/>
        </w:rPr>
        <w:t xml:space="preserve"> when soil pores were half full of water and least when soil was dry or waterlogged</w:t>
      </w:r>
      <w:r w:rsidR="00F13D0B">
        <w:rPr>
          <w:rFonts w:ascii="Arial" w:hAnsi="Arial" w:cs="Arial"/>
          <w:color w:val="000000" w:themeColor="text1"/>
          <w:sz w:val="24"/>
          <w:szCs w:val="24"/>
        </w:rPr>
        <w:t xml:space="preserve"> </w:t>
      </w:r>
      <w:r w:rsidR="004C08EB" w:rsidRPr="002B3D8A">
        <w:rPr>
          <w:rFonts w:ascii="Arial" w:hAnsi="Arial" w:cs="Arial"/>
          <w:color w:val="000000" w:themeColor="text1"/>
          <w:sz w:val="24"/>
          <w:szCs w:val="24"/>
        </w:rPr>
        <w:fldChar w:fldCharType="begin" w:fldLock="1"/>
      </w:r>
      <w:r w:rsidR="00E13293">
        <w:rPr>
          <w:rFonts w:ascii="Arial" w:hAnsi="Arial" w:cs="Arial"/>
          <w:color w:val="000000" w:themeColor="text1"/>
          <w:sz w:val="24"/>
          <w:szCs w:val="24"/>
        </w:rPr>
        <w:instrText>ADDIN CSL_CITATION {"citationItems":[{"id":"ITEM-1","itemData":{"DOI":"10.1007/978-1-4684-0841-6_25","author":[{"dropping-particle":"","family":"Winfield","given":"A. L.","non-dropping-particle":"","parse-names":false,"suffix":""},{"dropping-particle":"","family":"Cooke","given":"D. A.","non-dropping-particle":"","parse-names":false,"suffix":""}],"container-title":"Nematode Vectors of Plant Viruses","id":"ITEM-1","issue":"81","issued":{"date-parts":[["1975"]]},"page":"309-341","title":"The Ecology of Trichodorus","type":"article-journal"},"uris":["http://www.mendeley.com/documents/?uuid=19b7aa37-b8dc-4943-9f00-a313747111cf"]},{"id":"ITEM-2","itemData":{"author":[{"dropping-particle":"","family":"Bor","given":"N A","non-dropping-particle":"","parse-names":false,"suffix":""},{"dropping-particle":"","family":"Kuiper","given":"K","non-dropping-particle":"","parse-names":false,"suffix":""}],"id":"ITEM-2","issued":{"date-parts":[["1966"]]},"publisher":"Plantenziektenkundige Dienst","title":"Gevoeligheid van Trichodorus teres en T. pachydermus voor uitwendige invloeden","type":"book"},"uris":["http://www.mendeley.com/documents/?uuid=7ca2c62a-1c23-40d0-8309-7de303fc4396"]}],"mendeley":{"formattedCitation":"(Bor and Kuiper, 1966; Winfield and Cooke, 1975)","plainTextFormattedCitation":"(Bor and Kuiper, 1966; Winfield and Cooke, 1975)","previouslyFormattedCitation":"(Bor and Kuiper, 1966; Winfield and Cooke, 1975)"},"properties":{"noteIndex":0},"schema":"https://github.com/citation-style-language/schema/raw/master/csl-citation.json"}</w:instrText>
      </w:r>
      <w:r w:rsidR="004C08EB" w:rsidRPr="002B3D8A">
        <w:rPr>
          <w:rFonts w:ascii="Arial" w:hAnsi="Arial" w:cs="Arial"/>
          <w:color w:val="000000" w:themeColor="text1"/>
          <w:sz w:val="24"/>
          <w:szCs w:val="24"/>
        </w:rPr>
        <w:fldChar w:fldCharType="separate"/>
      </w:r>
      <w:r w:rsidR="00E13293" w:rsidRPr="00E13293">
        <w:rPr>
          <w:rFonts w:ascii="Arial" w:hAnsi="Arial" w:cs="Arial"/>
          <w:noProof/>
          <w:color w:val="000000" w:themeColor="text1"/>
          <w:sz w:val="24"/>
          <w:szCs w:val="24"/>
        </w:rPr>
        <w:t>(Bor and Kuiper, 1966; Winfield and Cooke, 1975)</w:t>
      </w:r>
      <w:r w:rsidR="004C08EB" w:rsidRPr="002B3D8A">
        <w:rPr>
          <w:rFonts w:ascii="Arial" w:hAnsi="Arial" w:cs="Arial"/>
          <w:color w:val="000000" w:themeColor="text1"/>
          <w:sz w:val="24"/>
          <w:szCs w:val="24"/>
        </w:rPr>
        <w:fldChar w:fldCharType="end"/>
      </w:r>
      <w:r w:rsidRPr="002B3D8A">
        <w:rPr>
          <w:rFonts w:ascii="Arial" w:hAnsi="Arial" w:cs="Arial"/>
          <w:color w:val="000000" w:themeColor="text1"/>
          <w:sz w:val="24"/>
          <w:szCs w:val="24"/>
        </w:rPr>
        <w:t>. Under field conditions, sandy soils are free draining and hence waterlogging may not be long lived. In similar studies</w:t>
      </w:r>
      <w:r w:rsidR="00F13D0B">
        <w:rPr>
          <w:rFonts w:ascii="Arial" w:hAnsi="Arial" w:cs="Arial"/>
          <w:color w:val="000000" w:themeColor="text1"/>
          <w:sz w:val="24"/>
          <w:szCs w:val="24"/>
        </w:rPr>
        <w:t>,</w:t>
      </w:r>
      <w:r w:rsidRPr="002B3D8A">
        <w:rPr>
          <w:rFonts w:ascii="Arial" w:hAnsi="Arial" w:cs="Arial"/>
          <w:color w:val="000000" w:themeColor="text1"/>
          <w:sz w:val="24"/>
          <w:szCs w:val="24"/>
        </w:rPr>
        <w:t xml:space="preserve"> </w:t>
      </w:r>
      <w:bookmarkStart w:id="16" w:name="_Hlk82683557"/>
      <w:r w:rsidRPr="002B3D8A">
        <w:rPr>
          <w:rFonts w:ascii="Arial" w:hAnsi="Arial" w:cs="Arial"/>
          <w:color w:val="000000" w:themeColor="text1"/>
          <w:sz w:val="24"/>
          <w:szCs w:val="24"/>
        </w:rPr>
        <w:t xml:space="preserve">effect of </w:t>
      </w:r>
      <w:r w:rsidR="00F13D0B" w:rsidRPr="002B3D8A">
        <w:rPr>
          <w:rFonts w:ascii="Arial" w:hAnsi="Arial" w:cs="Arial"/>
          <w:color w:val="000000" w:themeColor="text1"/>
          <w:sz w:val="24"/>
          <w:szCs w:val="24"/>
        </w:rPr>
        <w:t xml:space="preserve">soil </w:t>
      </w:r>
      <w:r w:rsidRPr="002B3D8A">
        <w:rPr>
          <w:rFonts w:ascii="Arial" w:hAnsi="Arial" w:cs="Arial"/>
          <w:color w:val="000000" w:themeColor="text1"/>
          <w:sz w:val="24"/>
          <w:szCs w:val="24"/>
        </w:rPr>
        <w:t>drying out on migratory nematodes was determined</w:t>
      </w:r>
      <w:r w:rsidR="00F13D0B">
        <w:rPr>
          <w:rFonts w:ascii="Arial" w:hAnsi="Arial" w:cs="Arial"/>
          <w:color w:val="000000" w:themeColor="text1"/>
          <w:sz w:val="24"/>
          <w:szCs w:val="24"/>
        </w:rPr>
        <w:t>;</w:t>
      </w:r>
      <w:r w:rsidRPr="002B3D8A">
        <w:rPr>
          <w:rFonts w:ascii="Arial" w:hAnsi="Arial" w:cs="Arial"/>
          <w:color w:val="000000" w:themeColor="text1"/>
          <w:sz w:val="24"/>
          <w:szCs w:val="24"/>
        </w:rPr>
        <w:t xml:space="preserve"> </w:t>
      </w:r>
      <w:r w:rsidRPr="002B3D8A">
        <w:rPr>
          <w:rFonts w:ascii="Arial" w:hAnsi="Arial" w:cs="Arial"/>
          <w:i/>
          <w:color w:val="000000" w:themeColor="text1"/>
          <w:sz w:val="24"/>
          <w:szCs w:val="24"/>
        </w:rPr>
        <w:t>Trichodorus</w:t>
      </w:r>
      <w:r w:rsidRPr="002B3D8A">
        <w:rPr>
          <w:rFonts w:ascii="Arial" w:hAnsi="Arial" w:cs="Arial"/>
          <w:color w:val="000000" w:themeColor="text1"/>
          <w:sz w:val="24"/>
          <w:szCs w:val="24"/>
        </w:rPr>
        <w:t xml:space="preserve"> spp were found to be more susceptible to desiccation than </w:t>
      </w:r>
      <w:r w:rsidRPr="002B3D8A">
        <w:rPr>
          <w:rFonts w:ascii="Arial" w:hAnsi="Arial" w:cs="Arial"/>
          <w:i/>
          <w:color w:val="000000" w:themeColor="text1"/>
          <w:sz w:val="24"/>
          <w:szCs w:val="24"/>
        </w:rPr>
        <w:t>Rotylenchus</w:t>
      </w:r>
      <w:r w:rsidRPr="002B3D8A">
        <w:rPr>
          <w:rFonts w:ascii="Arial" w:hAnsi="Arial" w:cs="Arial"/>
          <w:color w:val="000000" w:themeColor="text1"/>
          <w:sz w:val="24"/>
          <w:szCs w:val="24"/>
        </w:rPr>
        <w:t xml:space="preserve"> spp and</w:t>
      </w:r>
      <w:r w:rsidRPr="002B3D8A">
        <w:rPr>
          <w:rFonts w:ascii="Arial" w:hAnsi="Arial" w:cs="Arial"/>
          <w:i/>
          <w:color w:val="000000" w:themeColor="text1"/>
          <w:sz w:val="24"/>
          <w:szCs w:val="24"/>
        </w:rPr>
        <w:t xml:space="preserve"> Pratylenchus</w:t>
      </w:r>
      <w:r w:rsidRPr="002B3D8A">
        <w:rPr>
          <w:rFonts w:ascii="Arial" w:hAnsi="Arial" w:cs="Arial"/>
          <w:color w:val="000000" w:themeColor="text1"/>
          <w:sz w:val="24"/>
          <w:szCs w:val="24"/>
        </w:rPr>
        <w:t xml:space="preserve"> spp </w:t>
      </w:r>
      <w:r w:rsidRPr="002B3D8A">
        <w:rPr>
          <w:rFonts w:ascii="Arial" w:hAnsi="Arial" w:cs="Arial"/>
          <w:color w:val="000000" w:themeColor="text1"/>
          <w:sz w:val="24"/>
          <w:szCs w:val="24"/>
        </w:rPr>
        <w:fldChar w:fldCharType="begin" w:fldLock="1"/>
      </w:r>
      <w:r w:rsidRPr="002B3D8A">
        <w:rPr>
          <w:rFonts w:ascii="Arial" w:hAnsi="Arial" w:cs="Arial"/>
          <w:color w:val="000000" w:themeColor="text1"/>
          <w:sz w:val="24"/>
          <w:szCs w:val="24"/>
        </w:rPr>
        <w:instrText>ADDIN CSL_CITATION {"citationItems":[{"id":"ITEM-1","itemData":{"DOI":"10.1163/187529271X00486","ISSN":"00282596","author":[{"dropping-particle":"","family":"Rössner","given":"J.","non-dropping-particle":"","parse-names":false,"suffix":""}],"container-title":"Nematologica","id":"ITEM-1","issue":"1","issued":{"date-parts":[["1971"]]},"page":"127-144","publisher":"Brill Academic Publishers","title":"Einfluss der austrocknung des bodens auf wandernde wurzelnematoden","type":"article-journal","volume":"17"},"uris":["http://www.mendeley.com/documents/?uuid=6b1b9f4e-e264-38e1-a36b-650b6941792a"]}],"mendeley":{"formattedCitation":"(Rössner, 1971)","plainTextFormattedCitation":"(Rössner, 1971)","previouslyFormattedCitation":"(Rössner, 1971)"},"properties":{"noteIndex":0},"schema":"https://github.com/citation-style-language/schema/raw/master/csl-citation.json"}</w:instrText>
      </w:r>
      <w:r w:rsidRPr="002B3D8A">
        <w:rPr>
          <w:rFonts w:ascii="Arial" w:hAnsi="Arial" w:cs="Arial"/>
          <w:color w:val="000000" w:themeColor="text1"/>
          <w:sz w:val="24"/>
          <w:szCs w:val="24"/>
        </w:rPr>
        <w:fldChar w:fldCharType="separate"/>
      </w:r>
      <w:r w:rsidRPr="002B3D8A">
        <w:rPr>
          <w:rFonts w:ascii="Arial" w:hAnsi="Arial" w:cs="Arial"/>
          <w:noProof/>
          <w:color w:val="000000" w:themeColor="text1"/>
          <w:sz w:val="24"/>
          <w:szCs w:val="24"/>
        </w:rPr>
        <w:t>(Rössner, 1971)</w:t>
      </w:r>
      <w:r w:rsidRPr="002B3D8A">
        <w:rPr>
          <w:rFonts w:ascii="Arial" w:hAnsi="Arial" w:cs="Arial"/>
          <w:color w:val="000000" w:themeColor="text1"/>
          <w:sz w:val="24"/>
          <w:szCs w:val="24"/>
        </w:rPr>
        <w:fldChar w:fldCharType="end"/>
      </w:r>
      <w:r w:rsidR="00F13D0B">
        <w:rPr>
          <w:rFonts w:ascii="Arial" w:hAnsi="Arial" w:cs="Arial"/>
          <w:color w:val="000000" w:themeColor="text1"/>
          <w:sz w:val="24"/>
          <w:szCs w:val="24"/>
        </w:rPr>
        <w:t>.</w:t>
      </w:r>
      <w:r w:rsidRPr="002B3D8A">
        <w:rPr>
          <w:rFonts w:ascii="Arial" w:hAnsi="Arial" w:cs="Arial"/>
          <w:color w:val="000000" w:themeColor="text1"/>
          <w:sz w:val="24"/>
          <w:szCs w:val="24"/>
        </w:rPr>
        <w:t xml:space="preserve"> </w:t>
      </w:r>
      <w:bookmarkEnd w:id="16"/>
      <w:r w:rsidR="00F13D0B">
        <w:rPr>
          <w:rFonts w:ascii="Arial" w:hAnsi="Arial" w:cs="Arial"/>
          <w:color w:val="000000" w:themeColor="text1"/>
          <w:sz w:val="24"/>
          <w:szCs w:val="24"/>
        </w:rPr>
        <w:t>S</w:t>
      </w:r>
      <w:r w:rsidRPr="002B3D8A">
        <w:rPr>
          <w:rFonts w:ascii="Arial" w:hAnsi="Arial" w:cs="Arial"/>
          <w:color w:val="000000" w:themeColor="text1"/>
          <w:sz w:val="24"/>
          <w:szCs w:val="24"/>
        </w:rPr>
        <w:t>imilar studies</w:t>
      </w:r>
      <w:r w:rsidR="00F13D0B">
        <w:rPr>
          <w:rFonts w:ascii="Arial" w:hAnsi="Arial" w:cs="Arial"/>
          <w:color w:val="000000" w:themeColor="text1"/>
          <w:sz w:val="24"/>
          <w:szCs w:val="24"/>
        </w:rPr>
        <w:t xml:space="preserve"> showed that</w:t>
      </w:r>
      <w:r w:rsidRPr="002B3D8A">
        <w:rPr>
          <w:rFonts w:ascii="Arial" w:hAnsi="Arial" w:cs="Arial"/>
          <w:color w:val="000000" w:themeColor="text1"/>
          <w:sz w:val="24"/>
          <w:szCs w:val="24"/>
        </w:rPr>
        <w:t xml:space="preserve"> that the family Dorylaimida</w:t>
      </w:r>
      <w:r w:rsidR="00F13D0B">
        <w:rPr>
          <w:rFonts w:ascii="Arial" w:hAnsi="Arial" w:cs="Arial"/>
          <w:color w:val="000000" w:themeColor="text1"/>
          <w:sz w:val="24"/>
          <w:szCs w:val="24"/>
        </w:rPr>
        <w:t xml:space="preserve"> </w:t>
      </w:r>
      <w:r w:rsidRPr="002B3D8A">
        <w:rPr>
          <w:rFonts w:ascii="Arial" w:hAnsi="Arial" w:cs="Arial"/>
          <w:color w:val="000000" w:themeColor="text1"/>
          <w:sz w:val="24"/>
          <w:szCs w:val="24"/>
        </w:rPr>
        <w:t xml:space="preserve"> was more susceptible to high desiccation and osmotic stress</w:t>
      </w:r>
      <w:r w:rsidR="00F13D0B">
        <w:rPr>
          <w:rFonts w:ascii="Arial" w:hAnsi="Arial" w:cs="Arial"/>
          <w:color w:val="000000" w:themeColor="text1"/>
          <w:sz w:val="24"/>
          <w:szCs w:val="24"/>
        </w:rPr>
        <w:t xml:space="preserve"> when</w:t>
      </w:r>
      <w:r w:rsidRPr="002B3D8A">
        <w:rPr>
          <w:rFonts w:ascii="Arial" w:hAnsi="Arial" w:cs="Arial"/>
          <w:color w:val="000000" w:themeColor="text1"/>
          <w:sz w:val="24"/>
          <w:szCs w:val="24"/>
        </w:rPr>
        <w:t xml:space="preserve"> compared to family </w:t>
      </w:r>
      <w:proofErr w:type="spellStart"/>
      <w:r w:rsidRPr="002B3D8A">
        <w:rPr>
          <w:rFonts w:ascii="Arial" w:hAnsi="Arial" w:cs="Arial"/>
          <w:color w:val="000000" w:themeColor="text1"/>
          <w:sz w:val="24"/>
          <w:szCs w:val="24"/>
        </w:rPr>
        <w:t>Tylenchida</w:t>
      </w:r>
      <w:proofErr w:type="spellEnd"/>
      <w:r w:rsidRPr="002B3D8A">
        <w:rPr>
          <w:rFonts w:ascii="Arial" w:hAnsi="Arial" w:cs="Arial"/>
          <w:color w:val="000000" w:themeColor="text1"/>
          <w:sz w:val="24"/>
          <w:szCs w:val="24"/>
        </w:rPr>
        <w:t xml:space="preserve"> </w:t>
      </w:r>
      <w:r w:rsidRPr="002B3D8A">
        <w:rPr>
          <w:rFonts w:ascii="Arial" w:hAnsi="Arial" w:cs="Arial"/>
          <w:color w:val="000000" w:themeColor="text1"/>
          <w:sz w:val="24"/>
          <w:szCs w:val="24"/>
        </w:rPr>
        <w:fldChar w:fldCharType="begin" w:fldLock="1"/>
      </w:r>
      <w:r w:rsidR="00187AAD">
        <w:rPr>
          <w:rFonts w:ascii="Arial" w:hAnsi="Arial" w:cs="Arial"/>
          <w:color w:val="000000" w:themeColor="text1"/>
          <w:sz w:val="24"/>
          <w:szCs w:val="24"/>
        </w:rPr>
        <w:instrText>ADDIN CSL_CITATION {"citationItems":[{"id":"ITEM-1","itemData":{"ISSN":"0028-2596","author":[{"dropping-particle":"","family":"Wyss","given":"Urs","non-dropping-particle":"","parse-names":false,"suffix":""}],"container-title":"Nematologica","id":"ITEM-1","issue":"1","issued":{"date-parts":[["1970"]]},"page":"63-73","publisher":"Brill","title":"Zur Toleranz wandernder Wurzelnematoden gegenüber zunehmender Austrocknung des Bodens und hohen osmotischen Drücken","type":"article-journal","volume":"16"},"uris":["http://www.mendeley.com/documents/?uuid=553d9178-c87a-4042-9fe2-4134c148a3d2"]}],"mendeley":{"formattedCitation":"(Wyss, 1970)","plainTextFormattedCitation":"(Wyss, 1970)","previouslyFormattedCitation":"(Wyss, 1970)"},"properties":{"noteIndex":0},"schema":"https://github.com/citation-style-language/schema/raw/master/csl-citation.json"}</w:instrText>
      </w:r>
      <w:r w:rsidRPr="002B3D8A">
        <w:rPr>
          <w:rFonts w:ascii="Arial" w:hAnsi="Arial" w:cs="Arial"/>
          <w:color w:val="000000" w:themeColor="text1"/>
          <w:sz w:val="24"/>
          <w:szCs w:val="24"/>
        </w:rPr>
        <w:fldChar w:fldCharType="separate"/>
      </w:r>
      <w:r w:rsidR="00187AAD" w:rsidRPr="00187AAD">
        <w:rPr>
          <w:rFonts w:ascii="Arial" w:hAnsi="Arial" w:cs="Arial"/>
          <w:noProof/>
          <w:color w:val="000000" w:themeColor="text1"/>
          <w:sz w:val="24"/>
          <w:szCs w:val="24"/>
        </w:rPr>
        <w:t>(Wyss, 1970)</w:t>
      </w:r>
      <w:r w:rsidRPr="002B3D8A">
        <w:rPr>
          <w:rFonts w:ascii="Arial" w:hAnsi="Arial" w:cs="Arial"/>
          <w:color w:val="000000" w:themeColor="text1"/>
          <w:sz w:val="24"/>
          <w:szCs w:val="24"/>
        </w:rPr>
        <w:fldChar w:fldCharType="end"/>
      </w:r>
      <w:r w:rsidRPr="002B3D8A">
        <w:rPr>
          <w:rFonts w:ascii="Arial" w:hAnsi="Arial" w:cs="Arial"/>
          <w:color w:val="000000" w:themeColor="text1"/>
          <w:sz w:val="24"/>
          <w:szCs w:val="24"/>
        </w:rPr>
        <w:t>. This is also explained by the high drainage of water in sandy soils where the topsoil dries out as water percolates deeper through the soil profile</w:t>
      </w:r>
      <w:r w:rsidR="00F42919" w:rsidRPr="002B3D8A">
        <w:rPr>
          <w:rFonts w:ascii="Arial" w:hAnsi="Arial" w:cs="Arial"/>
          <w:color w:val="000000" w:themeColor="text1"/>
          <w:sz w:val="24"/>
          <w:szCs w:val="24"/>
        </w:rPr>
        <w:t xml:space="preserve">. </w:t>
      </w:r>
    </w:p>
    <w:p w14:paraId="6CE122BB" w14:textId="7B864E26" w:rsidR="00B27D90" w:rsidRPr="002B3D8A" w:rsidRDefault="00F42919" w:rsidP="00616CDC">
      <w:pPr>
        <w:spacing w:line="360" w:lineRule="auto"/>
        <w:ind w:left="-284"/>
        <w:jc w:val="both"/>
        <w:rPr>
          <w:rFonts w:ascii="Arial" w:hAnsi="Arial" w:cs="Arial"/>
          <w:color w:val="000000" w:themeColor="text1"/>
          <w:sz w:val="24"/>
          <w:szCs w:val="24"/>
        </w:rPr>
      </w:pPr>
      <w:r w:rsidRPr="002B3D8A">
        <w:rPr>
          <w:rFonts w:ascii="Arial" w:eastAsia="Calibri" w:hAnsi="Arial" w:cs="Arial"/>
          <w:color w:val="000000" w:themeColor="text1"/>
          <w:sz w:val="24"/>
          <w:szCs w:val="24"/>
        </w:rPr>
        <w:t xml:space="preserve">Depletion of nitrogen and </w:t>
      </w:r>
      <w:r w:rsidR="004C08EB" w:rsidRPr="002B3D8A">
        <w:rPr>
          <w:rFonts w:ascii="Arial" w:eastAsia="Calibri" w:hAnsi="Arial" w:cs="Arial"/>
          <w:color w:val="000000" w:themeColor="text1"/>
          <w:sz w:val="24"/>
          <w:szCs w:val="24"/>
        </w:rPr>
        <w:t>manganese</w:t>
      </w:r>
      <w:r w:rsidRPr="002B3D8A">
        <w:rPr>
          <w:rFonts w:ascii="Arial" w:eastAsia="Calibri" w:hAnsi="Arial" w:cs="Arial"/>
          <w:color w:val="000000" w:themeColor="text1"/>
          <w:sz w:val="24"/>
          <w:szCs w:val="24"/>
        </w:rPr>
        <w:t xml:space="preserve"> has also been shown to influence these </w:t>
      </w:r>
      <w:r w:rsidR="004C08EB" w:rsidRPr="002B3D8A">
        <w:rPr>
          <w:rFonts w:ascii="Arial" w:eastAsia="Calibri" w:hAnsi="Arial" w:cs="Arial"/>
          <w:color w:val="000000" w:themeColor="text1"/>
          <w:sz w:val="24"/>
          <w:szCs w:val="24"/>
        </w:rPr>
        <w:t>nematodes. Most</w:t>
      </w:r>
      <w:r w:rsidR="00B27D90" w:rsidRPr="002B3D8A">
        <w:rPr>
          <w:rFonts w:ascii="Arial" w:eastAsia="Calibri" w:hAnsi="Arial" w:cs="Arial"/>
          <w:color w:val="000000" w:themeColor="text1"/>
          <w:sz w:val="24"/>
          <w:szCs w:val="24"/>
        </w:rPr>
        <w:t xml:space="preserve"> sandy soils are depleted in nitrogen and manganese where docking disorder symptoms have been recorded </w:t>
      </w:r>
      <w:r w:rsidR="00B27D90" w:rsidRPr="002B3D8A">
        <w:rPr>
          <w:rFonts w:ascii="Arial" w:eastAsia="Calibri" w:hAnsi="Arial" w:cs="Arial"/>
          <w:color w:val="000000" w:themeColor="text1"/>
          <w:sz w:val="24"/>
          <w:szCs w:val="24"/>
          <w:lang w:val="en-US"/>
        </w:rPr>
        <w:fldChar w:fldCharType="begin" w:fldLock="1"/>
      </w:r>
      <w:r w:rsidR="00E13293">
        <w:rPr>
          <w:rFonts w:ascii="Arial" w:eastAsia="Calibri" w:hAnsi="Arial" w:cs="Arial"/>
          <w:color w:val="000000" w:themeColor="text1"/>
          <w:sz w:val="24"/>
          <w:szCs w:val="24"/>
        </w:rPr>
        <w:instrText>ADDIN CSL_CITATION {"citationItems":[{"id":"ITEM-1","itemData":{"author":[{"dropping-particle":"","family":"Whitehead","given":"A.G.","non-dropping-particle":"","parse-names":false,"suffix":""},{"dropping-particle":"","family":"Hooper","given":"D.J.","non-dropping-particle":"","parse-names":false,"suffix":""}],"container-title":"Ann. appl. Biol","id":"ITEM-1","issued":{"date-parts":[["1970"]]},"page":"339-350","title":"Needle nematodes (Longidorus spp.) and stubby-root nematodes ( Trichodorus spp.) harmful to sugar beet and other field crops in England","type":"article-journal"},"uris":["http://www.mendeley.com/documents/?uuid=e3a9ba67-b49f-4808-a0ea-7bff1763d6dd"]}],"mendeley":{"formattedCitation":"(Whitehead and Hooper, 1970)","plainTextFormattedCitation":"(Whitehead and Hooper, 1970)","previouslyFormattedCitation":"(Whitehead and Hooper, 1970)"},"properties":{"noteIndex":0},"schema":"https://github.com/citation-style-language/schema/raw/master/csl-citation.json"}</w:instrText>
      </w:r>
      <w:r w:rsidR="00B27D90" w:rsidRPr="002B3D8A">
        <w:rPr>
          <w:rFonts w:ascii="Arial" w:eastAsia="Calibri" w:hAnsi="Arial" w:cs="Arial"/>
          <w:color w:val="000000" w:themeColor="text1"/>
          <w:sz w:val="24"/>
          <w:szCs w:val="24"/>
          <w:lang w:val="en-US"/>
        </w:rPr>
        <w:fldChar w:fldCharType="separate"/>
      </w:r>
      <w:r w:rsidR="00E13293" w:rsidRPr="00E13293">
        <w:rPr>
          <w:rFonts w:ascii="Arial" w:eastAsia="Calibri" w:hAnsi="Arial" w:cs="Arial"/>
          <w:noProof/>
          <w:color w:val="000000" w:themeColor="text1"/>
          <w:sz w:val="24"/>
          <w:szCs w:val="24"/>
        </w:rPr>
        <w:t>(Whitehead and Hooper, 1970)</w:t>
      </w:r>
      <w:r w:rsidR="00B27D90" w:rsidRPr="002B3D8A">
        <w:rPr>
          <w:rFonts w:ascii="Arial" w:eastAsia="Calibri" w:hAnsi="Arial" w:cs="Arial"/>
          <w:color w:val="000000" w:themeColor="text1"/>
          <w:sz w:val="24"/>
          <w:szCs w:val="24"/>
        </w:rPr>
        <w:fldChar w:fldCharType="end"/>
      </w:r>
      <w:r w:rsidR="00F13D0B">
        <w:rPr>
          <w:rFonts w:ascii="Arial" w:eastAsia="Calibri" w:hAnsi="Arial" w:cs="Arial"/>
          <w:color w:val="000000" w:themeColor="text1"/>
          <w:sz w:val="24"/>
          <w:szCs w:val="24"/>
        </w:rPr>
        <w:t>.</w:t>
      </w:r>
      <w:r w:rsidR="00B27D90" w:rsidRPr="002B3D8A">
        <w:rPr>
          <w:rFonts w:ascii="Arial" w:eastAsia="Calibri" w:hAnsi="Arial" w:cs="Arial"/>
          <w:color w:val="000000" w:themeColor="text1"/>
          <w:sz w:val="24"/>
          <w:szCs w:val="24"/>
        </w:rPr>
        <w:t xml:space="preserve"> </w:t>
      </w:r>
      <w:r w:rsidR="00F13D0B">
        <w:rPr>
          <w:rFonts w:ascii="Arial" w:eastAsia="Calibri" w:hAnsi="Arial" w:cs="Arial"/>
          <w:color w:val="000000" w:themeColor="text1"/>
          <w:sz w:val="24"/>
          <w:szCs w:val="24"/>
        </w:rPr>
        <w:t>D</w:t>
      </w:r>
      <w:r w:rsidR="00B27D90" w:rsidRPr="002B3D8A">
        <w:rPr>
          <w:rFonts w:ascii="Arial" w:eastAsia="Calibri" w:hAnsi="Arial" w:cs="Arial"/>
          <w:color w:val="000000" w:themeColor="text1"/>
          <w:sz w:val="24"/>
          <w:szCs w:val="24"/>
        </w:rPr>
        <w:t xml:space="preserve">eficiency in copper has also been associated with distribution and occurrence of </w:t>
      </w:r>
      <w:r w:rsidR="00B27D90" w:rsidRPr="002B3D8A">
        <w:rPr>
          <w:rFonts w:ascii="Arial" w:eastAsia="Calibri" w:hAnsi="Arial" w:cs="Arial"/>
          <w:i/>
          <w:color w:val="000000" w:themeColor="text1"/>
          <w:sz w:val="24"/>
          <w:szCs w:val="24"/>
        </w:rPr>
        <w:t>Trichodorus</w:t>
      </w:r>
      <w:r w:rsidR="00B27D90" w:rsidRPr="002B3D8A">
        <w:rPr>
          <w:rFonts w:ascii="Arial" w:eastAsia="Calibri" w:hAnsi="Arial" w:cs="Arial"/>
          <w:color w:val="000000" w:themeColor="text1"/>
          <w:sz w:val="24"/>
          <w:szCs w:val="24"/>
        </w:rPr>
        <w:t xml:space="preserve"> spp in different soils where </w:t>
      </w:r>
      <w:r w:rsidR="00C60E12" w:rsidRPr="002B3D8A">
        <w:rPr>
          <w:rFonts w:ascii="Arial" w:eastAsia="Calibri" w:hAnsi="Arial" w:cs="Arial"/>
          <w:i/>
          <w:color w:val="000000" w:themeColor="text1"/>
          <w:sz w:val="24"/>
          <w:szCs w:val="24"/>
        </w:rPr>
        <w:t>Parat</w:t>
      </w:r>
      <w:r w:rsidR="00B27D90" w:rsidRPr="002B3D8A">
        <w:rPr>
          <w:rFonts w:ascii="Arial" w:eastAsia="Calibri" w:hAnsi="Arial" w:cs="Arial"/>
          <w:i/>
          <w:color w:val="000000" w:themeColor="text1"/>
          <w:sz w:val="24"/>
          <w:szCs w:val="24"/>
        </w:rPr>
        <w:t>richodorus pachydermus</w:t>
      </w:r>
      <w:r w:rsidR="00B27D90" w:rsidRPr="002B3D8A">
        <w:rPr>
          <w:rFonts w:ascii="Arial" w:eastAsia="Calibri" w:hAnsi="Arial" w:cs="Arial"/>
          <w:color w:val="000000" w:themeColor="text1"/>
          <w:sz w:val="24"/>
          <w:szCs w:val="24"/>
        </w:rPr>
        <w:t xml:space="preserve"> was shown to be sensitive to high copper and manganese exposure and therefore occurred in copper deficient soils. </w:t>
      </w:r>
      <w:r w:rsidR="00B27D90" w:rsidRPr="002B3D8A">
        <w:rPr>
          <w:rFonts w:ascii="Arial" w:eastAsia="Calibri" w:hAnsi="Arial" w:cs="Arial"/>
          <w:i/>
          <w:color w:val="000000" w:themeColor="text1"/>
          <w:sz w:val="24"/>
          <w:szCs w:val="24"/>
        </w:rPr>
        <w:t>Trichodorus primitivus</w:t>
      </w:r>
      <w:r w:rsidR="00B27D90" w:rsidRPr="002B3D8A">
        <w:rPr>
          <w:rFonts w:ascii="Arial" w:eastAsia="Calibri" w:hAnsi="Arial" w:cs="Arial"/>
          <w:color w:val="000000" w:themeColor="text1"/>
          <w:sz w:val="24"/>
          <w:szCs w:val="24"/>
        </w:rPr>
        <w:t xml:space="preserve"> was shown to be able to be tolerant </w:t>
      </w:r>
      <w:r w:rsidR="00F13D0B">
        <w:rPr>
          <w:rFonts w:ascii="Arial" w:eastAsia="Calibri" w:hAnsi="Arial" w:cs="Arial"/>
          <w:color w:val="000000" w:themeColor="text1"/>
          <w:sz w:val="24"/>
          <w:szCs w:val="24"/>
        </w:rPr>
        <w:t>to</w:t>
      </w:r>
      <w:r w:rsidR="00F13D0B" w:rsidRPr="002B3D8A">
        <w:rPr>
          <w:rFonts w:ascii="Arial" w:eastAsia="Calibri" w:hAnsi="Arial" w:cs="Arial"/>
          <w:color w:val="000000" w:themeColor="text1"/>
          <w:sz w:val="24"/>
          <w:szCs w:val="24"/>
        </w:rPr>
        <w:t xml:space="preserve"> </w:t>
      </w:r>
      <w:r w:rsidR="00B27D90" w:rsidRPr="002B3D8A">
        <w:rPr>
          <w:rFonts w:ascii="Arial" w:eastAsia="Calibri" w:hAnsi="Arial" w:cs="Arial"/>
          <w:color w:val="000000" w:themeColor="text1"/>
          <w:sz w:val="24"/>
          <w:szCs w:val="24"/>
        </w:rPr>
        <w:t>high levels of copper and possible explanation why it is widely distributed</w:t>
      </w:r>
      <w:r w:rsidR="00327918">
        <w:rPr>
          <w:rFonts w:ascii="Arial" w:eastAsia="Calibri" w:hAnsi="Arial" w:cs="Arial"/>
          <w:color w:val="000000" w:themeColor="text1"/>
          <w:sz w:val="24"/>
          <w:szCs w:val="24"/>
        </w:rPr>
        <w:t xml:space="preserve"> in diverse environments</w:t>
      </w:r>
      <w:r w:rsidR="00B27D90" w:rsidRPr="002B3D8A">
        <w:rPr>
          <w:rFonts w:ascii="Arial" w:eastAsia="Calibri" w:hAnsi="Arial" w:cs="Arial"/>
          <w:color w:val="000000" w:themeColor="text1"/>
          <w:sz w:val="24"/>
          <w:szCs w:val="24"/>
        </w:rPr>
        <w:t xml:space="preserve"> </w:t>
      </w:r>
      <w:r w:rsidR="00B27D90" w:rsidRPr="002B3D8A">
        <w:rPr>
          <w:rFonts w:ascii="Arial" w:eastAsia="Calibri" w:hAnsi="Arial" w:cs="Arial"/>
          <w:color w:val="000000" w:themeColor="text1"/>
          <w:sz w:val="24"/>
          <w:szCs w:val="24"/>
          <w:lang w:val="en-US"/>
        </w:rPr>
        <w:fldChar w:fldCharType="begin" w:fldLock="1"/>
      </w:r>
      <w:r w:rsidR="00B27D90" w:rsidRPr="002B3D8A">
        <w:rPr>
          <w:rFonts w:ascii="Arial" w:eastAsia="Calibri" w:hAnsi="Arial" w:cs="Arial"/>
          <w:color w:val="000000" w:themeColor="text1"/>
          <w:sz w:val="24"/>
          <w:szCs w:val="24"/>
        </w:rPr>
        <w:instrText>ADDIN CSL_CITATION {"citationItems":[{"id":"ITEM-1","itemData":{"DOI":"10.1111/j.1365-3059.1971.tb00510.x","ISSN":"13653059","abstract":"Tobacco rattle virus (TRV) was transmitted from tubers of 13 out of 15 potato cultivars with spraing (20/22 stocks tested) and cucumber bait seedlings became infected with the virus when grown in soil from all the fields where crops had become affected with spraing. Trichodorus pachydermus Seinhorst and/or T. primitivus (de Man) occurred in all 106 TRV</w:instrText>
      </w:r>
      <w:r w:rsidR="00B27D90" w:rsidRPr="002B3D8A">
        <w:rPr>
          <w:rFonts w:ascii="Cambria Math" w:eastAsia="Calibri" w:hAnsi="Cambria Math" w:cs="Cambria Math"/>
          <w:color w:val="000000" w:themeColor="text1"/>
          <w:sz w:val="24"/>
          <w:szCs w:val="24"/>
        </w:rPr>
        <w:instrText>‐</w:instrText>
      </w:r>
      <w:r w:rsidR="00B27D90" w:rsidRPr="002B3D8A">
        <w:rPr>
          <w:rFonts w:ascii="Arial" w:eastAsia="Calibri" w:hAnsi="Arial" w:cs="Arial"/>
          <w:color w:val="000000" w:themeColor="text1"/>
          <w:sz w:val="24"/>
          <w:szCs w:val="24"/>
        </w:rPr>
        <w:instrText>infested soils examined; in addition, T. nanus Allen was found in five, T. cylindricus Hooper in two and an unidentified species in one TRV</w:instrText>
      </w:r>
      <w:r w:rsidR="00B27D90" w:rsidRPr="002B3D8A">
        <w:rPr>
          <w:rFonts w:ascii="Cambria Math" w:eastAsia="Calibri" w:hAnsi="Cambria Math" w:cs="Cambria Math"/>
          <w:color w:val="000000" w:themeColor="text1"/>
          <w:sz w:val="24"/>
          <w:szCs w:val="24"/>
        </w:rPr>
        <w:instrText>‐</w:instrText>
      </w:r>
      <w:r w:rsidR="00B27D90" w:rsidRPr="002B3D8A">
        <w:rPr>
          <w:rFonts w:ascii="Arial" w:eastAsia="Calibri" w:hAnsi="Arial" w:cs="Arial"/>
          <w:color w:val="000000" w:themeColor="text1"/>
          <w:sz w:val="24"/>
          <w:szCs w:val="24"/>
        </w:rPr>
        <w:instrText>infested soil. TRV is considered to be the major cause of potato spraing in Scotland, and T. pachydermus and T. primitivus to be the main vectors. TRV occurred in 106 out of 153 (68 per cent) freely drained podsols derived from fluvioglacial, raised beach, till, alluvial or sand</w:instrText>
      </w:r>
      <w:r w:rsidR="00B27D90" w:rsidRPr="002B3D8A">
        <w:rPr>
          <w:rFonts w:ascii="Cambria Math" w:eastAsia="Calibri" w:hAnsi="Cambria Math" w:cs="Cambria Math"/>
          <w:color w:val="000000" w:themeColor="text1"/>
          <w:sz w:val="24"/>
          <w:szCs w:val="24"/>
        </w:rPr>
        <w:instrText>‐</w:instrText>
      </w:r>
      <w:r w:rsidR="00B27D90" w:rsidRPr="002B3D8A">
        <w:rPr>
          <w:rFonts w:ascii="Arial" w:eastAsia="Calibri" w:hAnsi="Arial" w:cs="Arial"/>
          <w:color w:val="000000" w:themeColor="text1"/>
          <w:sz w:val="24"/>
          <w:szCs w:val="24"/>
        </w:rPr>
        <w:instrText>dune deposits but was not found on heavy, badly drained soils. About 12 per cent of Scotland's potato acreage is estimated to be on TRV</w:instrText>
      </w:r>
      <w:r w:rsidR="00B27D90" w:rsidRPr="002B3D8A">
        <w:rPr>
          <w:rFonts w:ascii="Cambria Math" w:eastAsia="Calibri" w:hAnsi="Cambria Math" w:cs="Cambria Math"/>
          <w:color w:val="000000" w:themeColor="text1"/>
          <w:sz w:val="24"/>
          <w:szCs w:val="24"/>
        </w:rPr>
        <w:instrText>‐</w:instrText>
      </w:r>
      <w:r w:rsidR="00B27D90" w:rsidRPr="002B3D8A">
        <w:rPr>
          <w:rFonts w:ascii="Arial" w:eastAsia="Calibri" w:hAnsi="Arial" w:cs="Arial"/>
          <w:color w:val="000000" w:themeColor="text1"/>
          <w:sz w:val="24"/>
          <w:szCs w:val="24"/>
        </w:rPr>
        <w:instrText>infested soil and 15–20 per cent of the total arable acreage is probably infested with Trichodorus spp. Many of the soils infested with Trichodorus spp. are inherently deficient in copper and manganese. In laboratory experiments, solutions of cupric sulphate (16 p.p.m. Cu) were toxic to T. pachydermus, T. primitivus and T. cylindricus but not to a mixture of other saprozoic and stylet</w:instrText>
      </w:r>
      <w:r w:rsidR="00B27D90" w:rsidRPr="002B3D8A">
        <w:rPr>
          <w:rFonts w:ascii="Cambria Math" w:eastAsia="Calibri" w:hAnsi="Cambria Math" w:cs="Cambria Math"/>
          <w:color w:val="000000" w:themeColor="text1"/>
          <w:sz w:val="24"/>
          <w:szCs w:val="24"/>
        </w:rPr>
        <w:instrText>‐</w:instrText>
      </w:r>
      <w:r w:rsidR="00B27D90" w:rsidRPr="002B3D8A">
        <w:rPr>
          <w:rFonts w:ascii="Arial" w:eastAsia="Calibri" w:hAnsi="Arial" w:cs="Arial"/>
          <w:color w:val="000000" w:themeColor="text1"/>
          <w:sz w:val="24"/>
          <w:szCs w:val="24"/>
        </w:rPr>
        <w:instrText>bearing nematodes from a Trichodorus infested soil. Copyright © 1971, Wiley Blackwell. All rights reserved","author":[{"dropping-particle":"","family":"Cooper","given":"J. I.","non-dropping-particle":"","parse-names":false,"suffix":""}],"container-title":"Plant Pathology","id":"ITEM-1","issue":"2","issued":{"date-parts":[["1971"]]},"page":"51-58","title":"The Distribution in Scotland of Tobacco Rattle Virus and its Nematode Vectors in Relation to Soil Type","type":"article-journal","volume":"20"},"uris":["http://www.mendeley.com/documents/?uuid=c2cd7cd1-28fe-3b73-8108-6235e396d616"]}],"mendeley":{"formattedCitation":"(Cooper, 1971)","plainTextFormattedCitation":"(Cooper, 1971)","previouslyFormattedCitation":"(Cooper, 1971)"},"properties":{"noteIndex":0},"schema":"https://github.com/citation-style-language/schema/raw/master/csl-citation.json"}</w:instrText>
      </w:r>
      <w:r w:rsidR="00B27D90" w:rsidRPr="002B3D8A">
        <w:rPr>
          <w:rFonts w:ascii="Arial" w:eastAsia="Calibri" w:hAnsi="Arial" w:cs="Arial"/>
          <w:color w:val="000000" w:themeColor="text1"/>
          <w:sz w:val="24"/>
          <w:szCs w:val="24"/>
          <w:lang w:val="en-US"/>
        </w:rPr>
        <w:fldChar w:fldCharType="separate"/>
      </w:r>
      <w:r w:rsidR="00B27D90" w:rsidRPr="002B3D8A">
        <w:rPr>
          <w:rFonts w:ascii="Arial" w:eastAsia="Calibri" w:hAnsi="Arial" w:cs="Arial"/>
          <w:noProof/>
          <w:color w:val="000000" w:themeColor="text1"/>
          <w:sz w:val="24"/>
          <w:szCs w:val="24"/>
        </w:rPr>
        <w:t>(Cooper, 1971)</w:t>
      </w:r>
      <w:r w:rsidR="00B27D90" w:rsidRPr="002B3D8A">
        <w:rPr>
          <w:rFonts w:ascii="Arial" w:eastAsia="Calibri" w:hAnsi="Arial" w:cs="Arial"/>
          <w:color w:val="000000" w:themeColor="text1"/>
          <w:sz w:val="24"/>
          <w:szCs w:val="24"/>
        </w:rPr>
        <w:fldChar w:fldCharType="end"/>
      </w:r>
      <w:r w:rsidR="00B27D90" w:rsidRPr="002B3D8A">
        <w:rPr>
          <w:rFonts w:ascii="Arial" w:eastAsia="Calibri" w:hAnsi="Arial" w:cs="Arial"/>
          <w:color w:val="000000" w:themeColor="text1"/>
          <w:sz w:val="24"/>
          <w:szCs w:val="24"/>
        </w:rPr>
        <w:t>.</w:t>
      </w:r>
    </w:p>
    <w:p w14:paraId="13FE5BA5" w14:textId="5F9467BD" w:rsidR="00B27D90" w:rsidRPr="002B3D8A" w:rsidRDefault="51036E6F" w:rsidP="00616CDC">
      <w:pPr>
        <w:spacing w:line="360" w:lineRule="auto"/>
        <w:ind w:left="-284"/>
        <w:jc w:val="both"/>
        <w:rPr>
          <w:rFonts w:ascii="Arial" w:eastAsia="Calibri" w:hAnsi="Arial" w:cs="Arial"/>
          <w:color w:val="000000" w:themeColor="text1"/>
          <w:sz w:val="24"/>
          <w:szCs w:val="24"/>
        </w:rPr>
      </w:pPr>
      <w:r w:rsidRPr="51036E6F">
        <w:rPr>
          <w:rFonts w:ascii="Arial" w:eastAsia="Calibri" w:hAnsi="Arial" w:cs="Arial"/>
          <w:color w:val="000000" w:themeColor="text1"/>
          <w:sz w:val="24"/>
          <w:szCs w:val="24"/>
        </w:rPr>
        <w:t xml:space="preserve">In other studies, the number </w:t>
      </w:r>
      <w:r w:rsidRPr="51036E6F">
        <w:rPr>
          <w:rFonts w:ascii="Arial" w:eastAsia="Calibri" w:hAnsi="Arial" w:cs="Arial"/>
          <w:i/>
          <w:iCs/>
          <w:color w:val="000000" w:themeColor="text1"/>
          <w:sz w:val="24"/>
          <w:szCs w:val="24"/>
        </w:rPr>
        <w:t>Trichodorus teres</w:t>
      </w:r>
      <w:r w:rsidRPr="51036E6F">
        <w:rPr>
          <w:rFonts w:ascii="Arial" w:eastAsia="Calibri" w:hAnsi="Arial" w:cs="Arial"/>
          <w:color w:val="000000" w:themeColor="text1"/>
          <w:sz w:val="24"/>
          <w:szCs w:val="24"/>
        </w:rPr>
        <w:t xml:space="preserve"> there were fewer trichodorids at 15-30 cm depth and numbers increased deeper below 30cm in sugar beet fields where the roots vertical growth had seized due to damage by the nematodes </w:t>
      </w:r>
      <w:r w:rsidR="00C60E12" w:rsidRPr="51036E6F">
        <w:rPr>
          <w:rFonts w:ascii="Arial" w:eastAsia="Calibri" w:hAnsi="Arial" w:cs="Arial"/>
          <w:color w:val="000000" w:themeColor="text1"/>
          <w:sz w:val="24"/>
          <w:szCs w:val="24"/>
        </w:rPr>
        <w:fldChar w:fldCharType="begin" w:fldLock="1"/>
      </w:r>
      <w:r w:rsidR="00C60E12" w:rsidRPr="51036E6F">
        <w:rPr>
          <w:rFonts w:ascii="Arial" w:eastAsia="Calibri" w:hAnsi="Arial" w:cs="Arial"/>
          <w:color w:val="000000" w:themeColor="text1"/>
          <w:sz w:val="24"/>
          <w:szCs w:val="24"/>
        </w:rPr>
        <w:instrText>ADDIN CSL_CITATION {"citationItems":[{"id":"ITEM-1","itemData":{"author":[{"dropping-particle":"","family":"Kuiper","given":"K","non-dropping-particle":"","parse-names":false,"suffix":""},{"dropping-particle":"","family":"Loof","given":"P A A","non-dropping-particle":"","parse-names":false,"suffix":""}],"container-title":"Trichodorus flevensis n. sp.(Nematoda: Enoplida) a plant nematode from new polder soil.","id":"ITEM-1","issue":"136","issued":{"date-parts":[["1962"]]},"title":"Trichodorus flevensis n. sp.(Nematoda: Enoplida) a plant nematode from new polder soil.","type":"article-journal"},"uris":["http://www.mendeley.com/documents/?uuid=c8154a0f-1378-4584-8d20-38fcad336331"]}],"mendeley":{"formattedCitation":"(Kuiper and Loof, 1962)","plainTextFormattedCitation":"(Kuiper and Loof, 1962)","previouslyFormattedCitation":"(Kuiper and Loof, 1962)"},"properties":{"noteIndex":0},"schema":"https://github.com/citation-style-language/schema/raw/master/csl-citation.json"}</w:instrText>
      </w:r>
      <w:r w:rsidR="00C60E12" w:rsidRPr="51036E6F">
        <w:rPr>
          <w:rFonts w:ascii="Arial" w:eastAsia="Calibri" w:hAnsi="Arial" w:cs="Arial"/>
          <w:color w:val="000000" w:themeColor="text1"/>
          <w:sz w:val="24"/>
          <w:szCs w:val="24"/>
        </w:rPr>
        <w:fldChar w:fldCharType="separate"/>
      </w:r>
      <w:r w:rsidRPr="51036E6F">
        <w:rPr>
          <w:rFonts w:ascii="Arial" w:eastAsia="Calibri" w:hAnsi="Arial" w:cs="Arial"/>
          <w:noProof/>
          <w:color w:val="000000" w:themeColor="text1"/>
          <w:sz w:val="24"/>
          <w:szCs w:val="24"/>
        </w:rPr>
        <w:t>(Kuiper and Loof, 1962)</w:t>
      </w:r>
      <w:r w:rsidR="00C60E12" w:rsidRPr="51036E6F">
        <w:rPr>
          <w:rFonts w:ascii="Arial" w:eastAsia="Calibri" w:hAnsi="Arial" w:cs="Arial"/>
          <w:color w:val="000000" w:themeColor="text1"/>
          <w:sz w:val="24"/>
          <w:szCs w:val="24"/>
        </w:rPr>
        <w:fldChar w:fldCharType="end"/>
      </w:r>
      <w:r w:rsidRPr="51036E6F">
        <w:rPr>
          <w:rFonts w:ascii="Arial" w:eastAsia="Calibri" w:hAnsi="Arial" w:cs="Arial"/>
          <w:color w:val="000000" w:themeColor="text1"/>
          <w:sz w:val="24"/>
          <w:szCs w:val="24"/>
        </w:rPr>
        <w:t xml:space="preserve">. The depth at which trichodorids occur also varies depending on nematode species. Findings by </w:t>
      </w:r>
      <w:r w:rsidR="00C60E12" w:rsidRPr="51036E6F">
        <w:rPr>
          <w:rFonts w:ascii="Arial" w:eastAsia="Calibri" w:hAnsi="Arial" w:cs="Arial"/>
          <w:color w:val="000000" w:themeColor="text1"/>
          <w:sz w:val="24"/>
          <w:szCs w:val="24"/>
        </w:rPr>
        <w:fldChar w:fldCharType="begin" w:fldLock="1"/>
      </w:r>
      <w:r w:rsidR="00C60E12" w:rsidRPr="51036E6F">
        <w:rPr>
          <w:rFonts w:ascii="Arial" w:eastAsia="Calibri" w:hAnsi="Arial" w:cs="Arial"/>
          <w:color w:val="000000" w:themeColor="text1"/>
          <w:sz w:val="24"/>
          <w:szCs w:val="24"/>
        </w:rPr>
        <w:instrText>ADDIN CSL_CITATION {"citationItems":[{"id":"ITEM-1","itemData":{"ISSN":"0028-2596","author":[{"dropping-particle":"","family":"Richter","given":"Elfriede","non-dropping-particle":"","parse-names":false,"suffix":""}],"container-title":"Nematologica","id":"ITEM-1","issue":"1","issued":{"date-parts":[["1969"]]},"page":"44-54","publisher":"Brill","title":"Zur vertikalen Verteilung von Nematoden in einem Sandboden","type":"article-journal","volume":"15"},"uris":["http://www.mendeley.com/documents/?uuid=e13e3d60-dc20-4154-bc25-5c4482e066e8"]}],"mendeley":{"formattedCitation":"(Richter, 1969)","manualFormatting":"Richter (1969)","plainTextFormattedCitation":"(Richter, 1969)","previouslyFormattedCitation":"(Richter, 1969)"},"properties":{"noteIndex":0},"schema":"https://github.com/citation-style-language/schema/raw/master/csl-citation.json"}</w:instrText>
      </w:r>
      <w:r w:rsidR="00C60E12" w:rsidRPr="51036E6F">
        <w:rPr>
          <w:rFonts w:ascii="Arial" w:eastAsia="Calibri" w:hAnsi="Arial" w:cs="Arial"/>
          <w:color w:val="000000" w:themeColor="text1"/>
          <w:sz w:val="24"/>
          <w:szCs w:val="24"/>
        </w:rPr>
        <w:fldChar w:fldCharType="separate"/>
      </w:r>
      <w:r w:rsidRPr="51036E6F">
        <w:rPr>
          <w:rFonts w:ascii="Arial" w:eastAsia="Calibri" w:hAnsi="Arial" w:cs="Arial"/>
          <w:noProof/>
          <w:color w:val="000000" w:themeColor="text1"/>
          <w:sz w:val="24"/>
          <w:szCs w:val="24"/>
        </w:rPr>
        <w:t>Richter (1969)</w:t>
      </w:r>
      <w:r w:rsidR="00C60E12" w:rsidRPr="51036E6F">
        <w:rPr>
          <w:rFonts w:ascii="Arial" w:eastAsia="Calibri" w:hAnsi="Arial" w:cs="Arial"/>
          <w:color w:val="000000" w:themeColor="text1"/>
          <w:sz w:val="24"/>
          <w:szCs w:val="24"/>
        </w:rPr>
        <w:fldChar w:fldCharType="end"/>
      </w:r>
      <w:r w:rsidRPr="51036E6F">
        <w:rPr>
          <w:rFonts w:ascii="Arial" w:eastAsia="Calibri" w:hAnsi="Arial" w:cs="Arial"/>
          <w:color w:val="000000" w:themeColor="text1"/>
          <w:sz w:val="24"/>
          <w:szCs w:val="24"/>
        </w:rPr>
        <w:t xml:space="preserve">, in Germany, showed that the males of </w:t>
      </w:r>
      <w:r w:rsidRPr="51036E6F">
        <w:rPr>
          <w:rFonts w:ascii="Arial" w:eastAsia="Calibri" w:hAnsi="Arial" w:cs="Arial"/>
          <w:i/>
          <w:iCs/>
          <w:color w:val="000000" w:themeColor="text1"/>
          <w:sz w:val="24"/>
          <w:szCs w:val="24"/>
        </w:rPr>
        <w:t>P.pachydermus</w:t>
      </w:r>
      <w:r w:rsidRPr="51036E6F">
        <w:rPr>
          <w:rFonts w:ascii="Arial" w:eastAsia="Calibri" w:hAnsi="Arial" w:cs="Arial"/>
          <w:color w:val="000000" w:themeColor="text1"/>
          <w:sz w:val="24"/>
          <w:szCs w:val="24"/>
        </w:rPr>
        <w:t xml:space="preserve"> and </w:t>
      </w:r>
      <w:r w:rsidRPr="51036E6F">
        <w:rPr>
          <w:rFonts w:ascii="Arial" w:eastAsia="Calibri" w:hAnsi="Arial" w:cs="Arial"/>
          <w:i/>
          <w:iCs/>
          <w:color w:val="000000" w:themeColor="text1"/>
          <w:sz w:val="24"/>
          <w:szCs w:val="24"/>
        </w:rPr>
        <w:t>T.viruliferous</w:t>
      </w:r>
      <w:r w:rsidRPr="51036E6F">
        <w:rPr>
          <w:rFonts w:ascii="Arial" w:eastAsia="Calibri" w:hAnsi="Arial" w:cs="Arial"/>
          <w:color w:val="000000" w:themeColor="text1"/>
          <w:sz w:val="24"/>
          <w:szCs w:val="24"/>
        </w:rPr>
        <w:t xml:space="preserve"> differed in depth of occurrence, where </w:t>
      </w:r>
      <w:r w:rsidRPr="51036E6F">
        <w:rPr>
          <w:rFonts w:ascii="Arial" w:eastAsia="Calibri" w:hAnsi="Arial" w:cs="Arial"/>
          <w:i/>
          <w:iCs/>
          <w:color w:val="000000" w:themeColor="text1"/>
          <w:sz w:val="24"/>
          <w:szCs w:val="24"/>
        </w:rPr>
        <w:t>P pachydermus</w:t>
      </w:r>
      <w:r w:rsidRPr="51036E6F">
        <w:rPr>
          <w:rFonts w:ascii="Arial" w:eastAsia="Calibri" w:hAnsi="Arial" w:cs="Arial"/>
          <w:color w:val="000000" w:themeColor="text1"/>
          <w:sz w:val="24"/>
          <w:szCs w:val="24"/>
        </w:rPr>
        <w:t xml:space="preserve"> males were found deeper. However, studies in England, found no clear difference in the depth where </w:t>
      </w:r>
      <w:r w:rsidRPr="51036E6F">
        <w:rPr>
          <w:rFonts w:ascii="Arial" w:eastAsia="Calibri" w:hAnsi="Arial" w:cs="Arial"/>
          <w:i/>
          <w:iCs/>
          <w:color w:val="000000" w:themeColor="text1"/>
          <w:sz w:val="24"/>
          <w:szCs w:val="24"/>
        </w:rPr>
        <w:t>T.cylindricus</w:t>
      </w:r>
      <w:r w:rsidRPr="51036E6F">
        <w:rPr>
          <w:rFonts w:ascii="Arial" w:eastAsia="Calibri" w:hAnsi="Arial" w:cs="Arial"/>
          <w:color w:val="000000" w:themeColor="text1"/>
          <w:sz w:val="24"/>
          <w:szCs w:val="24"/>
        </w:rPr>
        <w:t xml:space="preserve"> or </w:t>
      </w:r>
      <w:r w:rsidRPr="51036E6F">
        <w:rPr>
          <w:rFonts w:ascii="Arial" w:eastAsia="Calibri" w:hAnsi="Arial" w:cs="Arial"/>
          <w:i/>
          <w:iCs/>
          <w:color w:val="000000" w:themeColor="text1"/>
          <w:sz w:val="24"/>
          <w:szCs w:val="24"/>
        </w:rPr>
        <w:t xml:space="preserve">P. anemones  </w:t>
      </w:r>
      <w:r w:rsidRPr="51036E6F">
        <w:rPr>
          <w:rFonts w:ascii="Arial" w:eastAsia="Calibri" w:hAnsi="Arial" w:cs="Arial"/>
          <w:color w:val="000000" w:themeColor="text1"/>
          <w:sz w:val="24"/>
          <w:szCs w:val="24"/>
        </w:rPr>
        <w:t>was found in the topsoil of infested sugar beet fields, except for one field where</w:t>
      </w:r>
      <w:r w:rsidRPr="51036E6F">
        <w:rPr>
          <w:rFonts w:ascii="Arial" w:eastAsia="Calibri" w:hAnsi="Arial" w:cs="Arial"/>
          <w:i/>
          <w:iCs/>
          <w:color w:val="000000" w:themeColor="text1"/>
          <w:sz w:val="24"/>
          <w:szCs w:val="24"/>
        </w:rPr>
        <w:t xml:space="preserve"> </w:t>
      </w:r>
      <w:r w:rsidRPr="51036E6F">
        <w:rPr>
          <w:rFonts w:ascii="Arial" w:eastAsia="Calibri" w:hAnsi="Arial" w:cs="Arial"/>
          <w:color w:val="000000" w:themeColor="text1"/>
          <w:sz w:val="24"/>
          <w:szCs w:val="24"/>
        </w:rPr>
        <w:t>fewer</w:t>
      </w:r>
      <w:r w:rsidRPr="51036E6F">
        <w:rPr>
          <w:rFonts w:ascii="Arial" w:eastAsia="Calibri" w:hAnsi="Arial" w:cs="Arial"/>
          <w:i/>
          <w:iCs/>
          <w:color w:val="000000" w:themeColor="text1"/>
          <w:sz w:val="24"/>
          <w:szCs w:val="24"/>
        </w:rPr>
        <w:t xml:space="preserve"> cylindricus </w:t>
      </w:r>
      <w:r w:rsidRPr="51036E6F">
        <w:rPr>
          <w:rFonts w:ascii="Arial" w:eastAsia="Calibri" w:hAnsi="Arial" w:cs="Arial"/>
          <w:color w:val="000000" w:themeColor="text1"/>
          <w:sz w:val="24"/>
          <w:szCs w:val="24"/>
        </w:rPr>
        <w:t xml:space="preserve">were found in 0-5 cm depth </w:t>
      </w:r>
      <w:r w:rsidR="00C60E12" w:rsidRPr="51036E6F">
        <w:rPr>
          <w:rFonts w:ascii="Arial" w:eastAsia="Calibri" w:hAnsi="Arial" w:cs="Arial"/>
          <w:color w:val="000000" w:themeColor="text1"/>
          <w:sz w:val="24"/>
          <w:szCs w:val="24"/>
        </w:rPr>
        <w:fldChar w:fldCharType="begin" w:fldLock="1"/>
      </w:r>
      <w:r w:rsidR="00C60E12" w:rsidRPr="51036E6F">
        <w:rPr>
          <w:rFonts w:ascii="Arial" w:eastAsia="Calibri" w:hAnsi="Arial" w:cs="Arial"/>
          <w:color w:val="000000" w:themeColor="text1"/>
          <w:sz w:val="24"/>
          <w:szCs w:val="24"/>
        </w:rPr>
        <w:instrText>ADDIN CSL_CITATION {"citationItems":[{"id":"ITEM-1","itemData":{"author":[{"dropping-particle":"","family":"Whitehead","given":"A.G.","non-dropping-particle":"","parse-names":false,"suffix":""},{"dropping-particle":"","family":"Hooper","given":"D.J.","non-dropping-particle":"","parse-names":false,"suffix":""}],"container-title":"Ann. appl. Biol","id":"ITEM-1","issued":{"date-parts":[["1970"]]},"page":"339-350","title":"Needle nematodes (Longidorus spp.) and stubby-root nematodes ( Trichodorus spp.) harmful to sugar beet and other field crops in England","type":"article-journal"},"uris":["http://www.mendeley.com/documents/?uuid=e3a9ba67-b49f-4808-a0ea-7bff1763d6dd"]}],"mendeley":{"formattedCitation":"(Whitehead and Hooper, 1970)","plainTextFormattedCitation":"(Whitehead and Hooper, 1970)","previouslyFormattedCitation":"(Whitehead and Hooper, 1970)"},"properties":{"noteIndex":0},"schema":"https://github.com/citation-style-language/schema/raw/master/csl-citation.json"}</w:instrText>
      </w:r>
      <w:r w:rsidR="00C60E12" w:rsidRPr="51036E6F">
        <w:rPr>
          <w:rFonts w:ascii="Arial" w:eastAsia="Calibri" w:hAnsi="Arial" w:cs="Arial"/>
          <w:color w:val="000000" w:themeColor="text1"/>
          <w:sz w:val="24"/>
          <w:szCs w:val="24"/>
        </w:rPr>
        <w:fldChar w:fldCharType="separate"/>
      </w:r>
      <w:r w:rsidRPr="51036E6F">
        <w:rPr>
          <w:rFonts w:ascii="Arial" w:eastAsia="Calibri" w:hAnsi="Arial" w:cs="Arial"/>
          <w:noProof/>
          <w:color w:val="000000" w:themeColor="text1"/>
          <w:sz w:val="24"/>
          <w:szCs w:val="24"/>
        </w:rPr>
        <w:t>(Whitehead and Hooper, 1970)</w:t>
      </w:r>
      <w:r w:rsidR="00C60E12" w:rsidRPr="51036E6F">
        <w:rPr>
          <w:rFonts w:ascii="Arial" w:eastAsia="Calibri" w:hAnsi="Arial" w:cs="Arial"/>
          <w:color w:val="000000" w:themeColor="text1"/>
          <w:sz w:val="24"/>
          <w:szCs w:val="24"/>
        </w:rPr>
        <w:fldChar w:fldCharType="end"/>
      </w:r>
    </w:p>
    <w:p w14:paraId="2CCBB639" w14:textId="7EE95191" w:rsidR="00EE5200" w:rsidRPr="004A7DDE" w:rsidRDefault="00AA6D77" w:rsidP="004A7DDE">
      <w:pPr>
        <w:pStyle w:val="Heading4"/>
        <w:spacing w:line="360" w:lineRule="auto"/>
        <w:rPr>
          <w:rFonts w:ascii="Arial" w:eastAsia="Calibri" w:hAnsi="Arial" w:cs="Arial"/>
          <w:b/>
          <w:color w:val="000000" w:themeColor="text1"/>
        </w:rPr>
      </w:pPr>
      <w:r w:rsidRPr="004A7DDE">
        <w:rPr>
          <w:rFonts w:ascii="Arial" w:eastAsia="Calibri" w:hAnsi="Arial" w:cs="Arial"/>
          <w:b/>
          <w:color w:val="000000" w:themeColor="text1"/>
        </w:rPr>
        <w:lastRenderedPageBreak/>
        <w:t>1.</w:t>
      </w:r>
      <w:r w:rsidR="001A0616" w:rsidRPr="004A7DDE">
        <w:rPr>
          <w:rFonts w:ascii="Arial" w:eastAsia="Calibri" w:hAnsi="Arial" w:cs="Arial"/>
          <w:b/>
          <w:color w:val="000000" w:themeColor="text1"/>
        </w:rPr>
        <w:t>2.</w:t>
      </w:r>
      <w:r w:rsidR="00F52458">
        <w:rPr>
          <w:rFonts w:ascii="Arial" w:eastAsia="Calibri" w:hAnsi="Arial" w:cs="Arial"/>
          <w:b/>
          <w:color w:val="000000" w:themeColor="text1"/>
        </w:rPr>
        <w:t>5</w:t>
      </w:r>
      <w:r w:rsidRPr="004A7DDE">
        <w:rPr>
          <w:rFonts w:ascii="Arial" w:eastAsia="Calibri" w:hAnsi="Arial" w:cs="Arial"/>
          <w:b/>
          <w:color w:val="000000" w:themeColor="text1"/>
        </w:rPr>
        <w:t>.</w:t>
      </w:r>
      <w:r w:rsidR="00323300" w:rsidRPr="004A7DDE">
        <w:rPr>
          <w:rFonts w:ascii="Arial" w:eastAsia="Calibri" w:hAnsi="Arial" w:cs="Arial"/>
          <w:b/>
          <w:color w:val="000000" w:themeColor="text1"/>
        </w:rPr>
        <w:t xml:space="preserve">3 </w:t>
      </w:r>
      <w:r w:rsidR="00EE5200" w:rsidRPr="004A7DDE">
        <w:rPr>
          <w:rFonts w:ascii="Arial" w:eastAsia="Calibri" w:hAnsi="Arial" w:cs="Arial"/>
          <w:b/>
          <w:color w:val="000000" w:themeColor="text1"/>
        </w:rPr>
        <w:t xml:space="preserve">Survival and sensitivity to mechanical injury </w:t>
      </w:r>
    </w:p>
    <w:p w14:paraId="670386B5" w14:textId="0E6D9A9F" w:rsidR="001C137D" w:rsidRPr="002B3D8A" w:rsidRDefault="00323300" w:rsidP="00616CDC">
      <w:pPr>
        <w:spacing w:line="360" w:lineRule="auto"/>
        <w:ind w:left="-284"/>
        <w:jc w:val="both"/>
        <w:rPr>
          <w:rFonts w:eastAsia="Calibri"/>
        </w:rPr>
      </w:pPr>
      <w:r w:rsidRPr="002B3D8A">
        <w:rPr>
          <w:rFonts w:ascii="Arial" w:eastAsia="Calibri" w:hAnsi="Arial" w:cs="Arial"/>
          <w:color w:val="000000" w:themeColor="text1"/>
          <w:sz w:val="24"/>
          <w:szCs w:val="24"/>
        </w:rPr>
        <w:t xml:space="preserve">Soil moisture is an important factor that affects the survival of trichodorids. Increased </w:t>
      </w:r>
      <w:r w:rsidR="00270823" w:rsidRPr="002B3D8A">
        <w:rPr>
          <w:rFonts w:ascii="Arial" w:eastAsia="Calibri" w:hAnsi="Arial" w:cs="Arial"/>
          <w:color w:val="000000" w:themeColor="text1"/>
          <w:sz w:val="24"/>
          <w:szCs w:val="24"/>
        </w:rPr>
        <w:t xml:space="preserve">nematode densities </w:t>
      </w:r>
      <w:r w:rsidRPr="002B3D8A">
        <w:rPr>
          <w:rFonts w:ascii="Arial" w:eastAsia="Calibri" w:hAnsi="Arial" w:cs="Arial"/>
          <w:color w:val="000000" w:themeColor="text1"/>
          <w:sz w:val="24"/>
          <w:szCs w:val="24"/>
        </w:rPr>
        <w:t>ha</w:t>
      </w:r>
      <w:r w:rsidR="00270823" w:rsidRPr="002B3D8A">
        <w:rPr>
          <w:rFonts w:ascii="Arial" w:eastAsia="Calibri" w:hAnsi="Arial" w:cs="Arial"/>
          <w:color w:val="000000" w:themeColor="text1"/>
          <w:sz w:val="24"/>
          <w:szCs w:val="24"/>
        </w:rPr>
        <w:t>ve</w:t>
      </w:r>
      <w:r w:rsidRPr="002B3D8A">
        <w:rPr>
          <w:rFonts w:ascii="Arial" w:eastAsia="Calibri" w:hAnsi="Arial" w:cs="Arial"/>
          <w:color w:val="000000" w:themeColor="text1"/>
          <w:sz w:val="24"/>
          <w:szCs w:val="24"/>
        </w:rPr>
        <w:t xml:space="preserve"> been observed in wet months in England</w:t>
      </w:r>
      <w:r w:rsidR="009D586E" w:rsidRPr="002B3D8A">
        <w:rPr>
          <w:rFonts w:ascii="Arial" w:eastAsia="Calibri" w:hAnsi="Arial" w:cs="Arial"/>
          <w:color w:val="000000" w:themeColor="text1"/>
          <w:sz w:val="24"/>
          <w:szCs w:val="24"/>
        </w:rPr>
        <w:t xml:space="preserve">. A </w:t>
      </w:r>
      <w:r w:rsidR="00270823" w:rsidRPr="002B3D8A">
        <w:rPr>
          <w:rFonts w:ascii="Arial" w:eastAsia="Calibri" w:hAnsi="Arial" w:cs="Arial"/>
          <w:color w:val="000000" w:themeColor="text1"/>
          <w:sz w:val="24"/>
          <w:szCs w:val="24"/>
        </w:rPr>
        <w:t>positive correlat</w:t>
      </w:r>
      <w:r w:rsidR="009D586E" w:rsidRPr="002B3D8A">
        <w:rPr>
          <w:rFonts w:ascii="Arial" w:eastAsia="Calibri" w:hAnsi="Arial" w:cs="Arial"/>
          <w:color w:val="000000" w:themeColor="text1"/>
          <w:sz w:val="24"/>
          <w:szCs w:val="24"/>
        </w:rPr>
        <w:t>ion</w:t>
      </w:r>
      <w:r w:rsidR="00270823" w:rsidRPr="002B3D8A">
        <w:rPr>
          <w:rFonts w:ascii="Arial" w:eastAsia="Calibri" w:hAnsi="Arial" w:cs="Arial"/>
          <w:color w:val="000000" w:themeColor="text1"/>
          <w:sz w:val="24"/>
          <w:szCs w:val="24"/>
        </w:rPr>
        <w:t xml:space="preserve"> </w:t>
      </w:r>
      <w:r w:rsidR="009D586E" w:rsidRPr="002B3D8A">
        <w:rPr>
          <w:rFonts w:ascii="Arial" w:eastAsia="Calibri" w:hAnsi="Arial" w:cs="Arial"/>
          <w:color w:val="000000" w:themeColor="text1"/>
          <w:sz w:val="24"/>
          <w:szCs w:val="24"/>
        </w:rPr>
        <w:t xml:space="preserve">was recorded in </w:t>
      </w:r>
      <w:r w:rsidR="00270823" w:rsidRPr="002B3D8A">
        <w:rPr>
          <w:rFonts w:ascii="Arial" w:eastAsia="Calibri" w:hAnsi="Arial" w:cs="Arial"/>
          <w:color w:val="000000" w:themeColor="text1"/>
          <w:sz w:val="24"/>
          <w:szCs w:val="24"/>
        </w:rPr>
        <w:t xml:space="preserve">severe </w:t>
      </w:r>
      <w:r w:rsidRPr="002B3D8A">
        <w:rPr>
          <w:rFonts w:ascii="Arial" w:eastAsia="Calibri" w:hAnsi="Arial" w:cs="Arial"/>
          <w:color w:val="000000" w:themeColor="text1"/>
          <w:sz w:val="24"/>
          <w:szCs w:val="24"/>
        </w:rPr>
        <w:t xml:space="preserve">damage </w:t>
      </w:r>
      <w:r w:rsidR="00270823" w:rsidRPr="002B3D8A">
        <w:rPr>
          <w:rFonts w:ascii="Arial" w:eastAsia="Calibri" w:hAnsi="Arial" w:cs="Arial"/>
          <w:color w:val="000000" w:themeColor="text1"/>
          <w:sz w:val="24"/>
          <w:szCs w:val="24"/>
        </w:rPr>
        <w:t xml:space="preserve">observed in </w:t>
      </w:r>
      <w:r w:rsidRPr="002B3D8A">
        <w:rPr>
          <w:rFonts w:ascii="Arial" w:eastAsia="Calibri" w:hAnsi="Arial" w:cs="Arial"/>
          <w:color w:val="000000" w:themeColor="text1"/>
          <w:sz w:val="24"/>
          <w:szCs w:val="24"/>
        </w:rPr>
        <w:t xml:space="preserve">young </w:t>
      </w:r>
      <w:r w:rsidR="00270823" w:rsidRPr="002B3D8A">
        <w:rPr>
          <w:rFonts w:ascii="Arial" w:eastAsia="Calibri" w:hAnsi="Arial" w:cs="Arial"/>
          <w:color w:val="000000" w:themeColor="text1"/>
          <w:sz w:val="24"/>
          <w:szCs w:val="24"/>
        </w:rPr>
        <w:t>s</w:t>
      </w:r>
      <w:r w:rsidRPr="002B3D8A">
        <w:rPr>
          <w:rFonts w:ascii="Arial" w:eastAsia="Calibri" w:hAnsi="Arial" w:cs="Arial"/>
          <w:color w:val="000000" w:themeColor="text1"/>
          <w:sz w:val="24"/>
          <w:szCs w:val="24"/>
        </w:rPr>
        <w:t xml:space="preserve">ugar beet seedlings </w:t>
      </w:r>
      <w:r w:rsidR="009D586E" w:rsidRPr="002B3D8A">
        <w:rPr>
          <w:rFonts w:ascii="Arial" w:eastAsia="Calibri" w:hAnsi="Arial" w:cs="Arial"/>
          <w:color w:val="000000" w:themeColor="text1"/>
          <w:sz w:val="24"/>
          <w:szCs w:val="24"/>
        </w:rPr>
        <w:t xml:space="preserve">and the high total rainfall </w:t>
      </w:r>
      <w:r w:rsidRPr="002B3D8A">
        <w:rPr>
          <w:rFonts w:ascii="Arial" w:eastAsia="Calibri" w:hAnsi="Arial" w:cs="Arial"/>
          <w:color w:val="000000" w:themeColor="text1"/>
          <w:sz w:val="24"/>
          <w:szCs w:val="24"/>
        </w:rPr>
        <w:t xml:space="preserve">in the month of May </w:t>
      </w:r>
      <w:r w:rsidRPr="002B3D8A">
        <w:rPr>
          <w:rFonts w:ascii="Arial" w:eastAsia="Calibri" w:hAnsi="Arial" w:cs="Arial"/>
          <w:color w:val="000000" w:themeColor="text1"/>
          <w:sz w:val="24"/>
          <w:szCs w:val="24"/>
        </w:rPr>
        <w:fldChar w:fldCharType="begin" w:fldLock="1"/>
      </w:r>
      <w:r w:rsidRPr="002B3D8A">
        <w:rPr>
          <w:rFonts w:ascii="Arial" w:eastAsia="Calibri" w:hAnsi="Arial" w:cs="Arial"/>
          <w:color w:val="000000" w:themeColor="text1"/>
          <w:sz w:val="24"/>
          <w:szCs w:val="24"/>
        </w:rPr>
        <w:instrText>ADDIN CSL_CITATION {"citationItems":[{"id":"ITEM-1","itemData":{"DOI":"10.1111/j.1365-3059.1973.tb01800.x","ISSN":"13653059","abstract":"In the years 1963 to 1972 the area of sugar beet in England reported affected with Docking disorder ranged from 174 to 7,819 ha. The disorder was most widespread after heavy May rainfall. Trichodorus spp. and Longidorus spp., which cause the primary damage to seedling roots, were common in sites prone to the disorder and surveyed between 1968 and 1971. Nematode numbers in soil samples taken from these sites at drilling could not be correlated with subsequent yield or root shape. Of the surveyed sites, 104 showed no symptoms of Docking disorder (average root yield=44·5 tonnes/ha), 44 showed symptoms early in the season but these disappeared later (average root yield=34·5 tonnes/ha) and 40 showed persistent symptoms (average root yield=27·0 tonnes/ha). Root shape was worst in sites with persistent symptoms. Docking disorder was impossible to predict accurately because the damage is influenced by growing conditions but it was more likely to be severe in fields with a previous history of the disorder. Copyright © 1973, Wiley Blackwell. All rights reserved","author":[{"dropping-particle":"","family":"Cooke","given":"D. A.","non-dropping-particle":"","parse-names":false,"suffix":""}],"container-title":"Plant Pathology","id":"ITEM-1","issue":"4","issued":{"date-parts":[["1973","12","1"]]},"page":"161-170","publisher":"John Wiley &amp; Sons, Ltd","title":"The Effect of Plant Parasitic Nematodes, Rainfall and Other Factors on Docking Disorder of Sugar Beet","type":"article-journal","volume":"22"},"uris":["http://www.mendeley.com/documents/?uuid=d8b52fbb-4455-4d00-877a-5a32f682cdaa"]}],"mendeley":{"formattedCitation":"(Cooke, 1973)","plainTextFormattedCitation":"(Cooke, 1973)","previouslyFormattedCitation":"(Cooke, 1973)"},"properties":{"noteIndex":0},"schema":"https://github.com/citation-style-language/schema/raw/master/csl-citation.json"}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Pr="002B3D8A">
        <w:rPr>
          <w:rFonts w:ascii="Arial" w:eastAsia="Calibri" w:hAnsi="Arial" w:cs="Arial"/>
          <w:noProof/>
          <w:color w:val="000000" w:themeColor="text1"/>
          <w:sz w:val="24"/>
          <w:szCs w:val="24"/>
        </w:rPr>
        <w:t>(Cooke, 1973)</w:t>
      </w:r>
      <w:r w:rsidRPr="002B3D8A">
        <w:rPr>
          <w:rFonts w:ascii="Arial" w:eastAsia="Calibri" w:hAnsi="Arial" w:cs="Arial"/>
          <w:color w:val="000000" w:themeColor="text1"/>
          <w:sz w:val="24"/>
          <w:szCs w:val="24"/>
        </w:rPr>
        <w:fldChar w:fldCharType="end"/>
      </w:r>
      <w:r w:rsidR="00F42919" w:rsidRPr="002B3D8A">
        <w:rPr>
          <w:rFonts w:ascii="Arial" w:eastAsia="Calibri" w:hAnsi="Arial" w:cs="Arial"/>
          <w:color w:val="000000" w:themeColor="text1"/>
          <w:sz w:val="24"/>
          <w:szCs w:val="24"/>
        </w:rPr>
        <w:t>.</w:t>
      </w:r>
      <w:r w:rsidR="00EE5200" w:rsidRPr="002B3D8A">
        <w:rPr>
          <w:rFonts w:ascii="Arial" w:eastAsia="Calibri" w:hAnsi="Arial" w:cs="Arial"/>
          <w:color w:val="000000" w:themeColor="text1"/>
          <w:sz w:val="24"/>
          <w:szCs w:val="24"/>
        </w:rPr>
        <w:t>T</w:t>
      </w:r>
      <w:r w:rsidR="009D586E" w:rsidRPr="002B3D8A">
        <w:rPr>
          <w:rFonts w:ascii="Arial" w:eastAsia="Calibri" w:hAnsi="Arial" w:cs="Arial"/>
          <w:color w:val="000000" w:themeColor="text1"/>
          <w:sz w:val="24"/>
          <w:szCs w:val="24"/>
        </w:rPr>
        <w:t>richodorids</w:t>
      </w:r>
      <w:r w:rsidR="00EE5200" w:rsidRPr="002B3D8A">
        <w:rPr>
          <w:rFonts w:ascii="Arial" w:eastAsia="Calibri" w:hAnsi="Arial" w:cs="Arial"/>
          <w:color w:val="000000" w:themeColor="text1"/>
          <w:sz w:val="24"/>
          <w:szCs w:val="24"/>
        </w:rPr>
        <w:t xml:space="preserve"> are also very sensitive to mechanical injury associated with sampling and handling. This </w:t>
      </w:r>
      <w:r w:rsidR="00270823" w:rsidRPr="002B3D8A">
        <w:rPr>
          <w:rFonts w:ascii="Arial" w:eastAsia="Calibri" w:hAnsi="Arial" w:cs="Arial"/>
          <w:color w:val="000000" w:themeColor="text1"/>
          <w:sz w:val="24"/>
          <w:szCs w:val="24"/>
        </w:rPr>
        <w:t xml:space="preserve">has been </w:t>
      </w:r>
      <w:r w:rsidR="00EE5200" w:rsidRPr="002B3D8A">
        <w:rPr>
          <w:rFonts w:ascii="Arial" w:eastAsia="Calibri" w:hAnsi="Arial" w:cs="Arial"/>
          <w:color w:val="000000" w:themeColor="text1"/>
          <w:sz w:val="24"/>
          <w:szCs w:val="24"/>
        </w:rPr>
        <w:t xml:space="preserve">shown in a study where soil carefully transported from field to laboratory yielded more </w:t>
      </w:r>
      <w:r w:rsidR="00EE5200" w:rsidRPr="002B3D8A">
        <w:rPr>
          <w:rFonts w:ascii="Arial" w:eastAsia="Calibri" w:hAnsi="Arial" w:cs="Arial"/>
          <w:i/>
          <w:color w:val="000000" w:themeColor="text1"/>
          <w:sz w:val="24"/>
          <w:szCs w:val="24"/>
        </w:rPr>
        <w:t>Paratrichodorus teres</w:t>
      </w:r>
      <w:r w:rsidR="00EE5200" w:rsidRPr="002B3D8A">
        <w:rPr>
          <w:rFonts w:ascii="Arial" w:eastAsia="Calibri" w:hAnsi="Arial" w:cs="Arial"/>
          <w:color w:val="000000" w:themeColor="text1"/>
          <w:sz w:val="24"/>
          <w:szCs w:val="24"/>
        </w:rPr>
        <w:t xml:space="preserve"> </w:t>
      </w:r>
      <w:r w:rsidR="00B076E3">
        <w:rPr>
          <w:rFonts w:ascii="Arial" w:eastAsia="Calibri" w:hAnsi="Arial" w:cs="Arial"/>
          <w:color w:val="000000" w:themeColor="text1"/>
          <w:sz w:val="24"/>
          <w:szCs w:val="24"/>
        </w:rPr>
        <w:t>(</w:t>
      </w:r>
      <w:r w:rsidR="00B076E3" w:rsidRPr="002B3D8A">
        <w:rPr>
          <w:rFonts w:ascii="Arial" w:eastAsia="Calibri" w:hAnsi="Arial" w:cs="Arial"/>
          <w:color w:val="000000" w:themeColor="text1"/>
          <w:sz w:val="24"/>
          <w:szCs w:val="24"/>
        </w:rPr>
        <w:t>2240</w:t>
      </w:r>
      <w:r w:rsidR="00B076E3">
        <w:rPr>
          <w:rFonts w:ascii="Arial" w:eastAsia="Calibri" w:hAnsi="Arial" w:cs="Arial"/>
          <w:color w:val="000000" w:themeColor="text1"/>
          <w:sz w:val="24"/>
          <w:szCs w:val="24"/>
        </w:rPr>
        <w:t xml:space="preserve"> nematodes l</w:t>
      </w:r>
      <w:r w:rsidR="00B076E3" w:rsidRPr="00F63475">
        <w:rPr>
          <w:rFonts w:ascii="Arial" w:eastAsia="Calibri" w:hAnsi="Arial" w:cs="Arial"/>
          <w:color w:val="000000" w:themeColor="text1"/>
          <w:sz w:val="24"/>
          <w:szCs w:val="24"/>
          <w:vertAlign w:val="superscript"/>
        </w:rPr>
        <w:t>-1</w:t>
      </w:r>
      <w:r w:rsidR="00B076E3">
        <w:rPr>
          <w:rFonts w:ascii="Arial" w:eastAsia="Calibri" w:hAnsi="Arial" w:cs="Arial"/>
          <w:color w:val="000000" w:themeColor="text1"/>
          <w:sz w:val="24"/>
          <w:szCs w:val="24"/>
        </w:rPr>
        <w:t xml:space="preserve"> soil)</w:t>
      </w:r>
      <w:r w:rsidR="00B076E3" w:rsidRPr="002B3D8A">
        <w:rPr>
          <w:rFonts w:ascii="Arial" w:eastAsia="Calibri" w:hAnsi="Arial" w:cs="Arial"/>
          <w:color w:val="000000" w:themeColor="text1"/>
          <w:sz w:val="24"/>
          <w:szCs w:val="24"/>
        </w:rPr>
        <w:t xml:space="preserve"> </w:t>
      </w:r>
      <w:r w:rsidR="00EE5200" w:rsidRPr="002B3D8A">
        <w:rPr>
          <w:rFonts w:ascii="Arial" w:eastAsia="Calibri" w:hAnsi="Arial" w:cs="Arial"/>
          <w:color w:val="000000" w:themeColor="text1"/>
          <w:sz w:val="24"/>
          <w:szCs w:val="24"/>
        </w:rPr>
        <w:t>as compared to soil sent via post in a card</w:t>
      </w:r>
      <w:r w:rsidR="00B076E3">
        <w:rPr>
          <w:rFonts w:ascii="Arial" w:eastAsia="Calibri" w:hAnsi="Arial" w:cs="Arial"/>
          <w:color w:val="000000" w:themeColor="text1"/>
          <w:sz w:val="24"/>
          <w:szCs w:val="24"/>
        </w:rPr>
        <w:t>board</w:t>
      </w:r>
      <w:r w:rsidR="00EE5200" w:rsidRPr="002B3D8A">
        <w:rPr>
          <w:rFonts w:ascii="Arial" w:eastAsia="Calibri" w:hAnsi="Arial" w:cs="Arial"/>
          <w:color w:val="000000" w:themeColor="text1"/>
          <w:sz w:val="24"/>
          <w:szCs w:val="24"/>
        </w:rPr>
        <w:t xml:space="preserve"> box which yielded 628</w:t>
      </w:r>
      <w:r w:rsidR="00B076E3" w:rsidRPr="00B076E3">
        <w:rPr>
          <w:rFonts w:ascii="Arial" w:eastAsia="Calibri" w:hAnsi="Arial" w:cs="Arial"/>
          <w:color w:val="000000" w:themeColor="text1"/>
          <w:sz w:val="24"/>
          <w:szCs w:val="24"/>
        </w:rPr>
        <w:t xml:space="preserve"> </w:t>
      </w:r>
      <w:r w:rsidR="00B076E3">
        <w:rPr>
          <w:rFonts w:ascii="Arial" w:eastAsia="Calibri" w:hAnsi="Arial" w:cs="Arial"/>
          <w:color w:val="000000" w:themeColor="text1"/>
          <w:sz w:val="24"/>
          <w:szCs w:val="24"/>
        </w:rPr>
        <w:t>nematodes l</w:t>
      </w:r>
      <w:r w:rsidR="00B076E3" w:rsidRPr="00E573BD">
        <w:rPr>
          <w:rFonts w:ascii="Arial" w:eastAsia="Calibri" w:hAnsi="Arial" w:cs="Arial"/>
          <w:color w:val="000000" w:themeColor="text1"/>
          <w:sz w:val="24"/>
          <w:szCs w:val="24"/>
          <w:vertAlign w:val="superscript"/>
        </w:rPr>
        <w:t>-1</w:t>
      </w:r>
      <w:r w:rsidR="00B076E3">
        <w:rPr>
          <w:rFonts w:ascii="Arial" w:eastAsia="Calibri" w:hAnsi="Arial" w:cs="Arial"/>
          <w:color w:val="000000" w:themeColor="text1"/>
          <w:sz w:val="24"/>
          <w:szCs w:val="24"/>
        </w:rPr>
        <w:t xml:space="preserve"> </w:t>
      </w:r>
      <w:r w:rsidR="008C392A">
        <w:rPr>
          <w:rFonts w:ascii="Arial" w:eastAsia="Calibri" w:hAnsi="Arial" w:cs="Arial"/>
          <w:color w:val="000000" w:themeColor="text1"/>
          <w:sz w:val="24"/>
          <w:szCs w:val="24"/>
        </w:rPr>
        <w:t>soil</w:t>
      </w:r>
      <w:r w:rsidR="008C392A" w:rsidRPr="002B3D8A" w:rsidDel="00B076E3">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The reduction was attributed to manual</w:t>
      </w:r>
      <w:r w:rsidR="00EE5200" w:rsidRPr="002B3D8A">
        <w:rPr>
          <w:rFonts w:ascii="Arial" w:eastAsia="Calibri" w:hAnsi="Arial" w:cs="Arial"/>
          <w:color w:val="000000" w:themeColor="text1"/>
          <w:sz w:val="24"/>
          <w:szCs w:val="24"/>
        </w:rPr>
        <w:t xml:space="preserve"> handling </w:t>
      </w:r>
      <w:r w:rsidRPr="002B3D8A">
        <w:rPr>
          <w:rFonts w:ascii="Arial" w:eastAsia="Calibri" w:hAnsi="Arial" w:cs="Arial"/>
          <w:color w:val="000000" w:themeColor="text1"/>
          <w:sz w:val="24"/>
          <w:szCs w:val="24"/>
        </w:rPr>
        <w:t xml:space="preserve">during </w:t>
      </w:r>
      <w:r w:rsidR="00FE0DCB">
        <w:rPr>
          <w:rFonts w:ascii="Arial" w:eastAsia="Calibri" w:hAnsi="Arial" w:cs="Arial"/>
          <w:color w:val="000000" w:themeColor="text1"/>
          <w:sz w:val="24"/>
          <w:szCs w:val="24"/>
        </w:rPr>
        <w:t>transportation</w:t>
      </w:r>
      <w:r w:rsidR="00FE0DCB" w:rsidRPr="002B3D8A">
        <w:rPr>
          <w:rFonts w:ascii="Arial" w:eastAsia="Calibri" w:hAnsi="Arial" w:cs="Arial"/>
          <w:color w:val="000000" w:themeColor="text1"/>
          <w:sz w:val="24"/>
          <w:szCs w:val="24"/>
        </w:rPr>
        <w:t xml:space="preserve"> </w:t>
      </w:r>
      <w:r w:rsidR="00EE5200" w:rsidRPr="002B3D8A">
        <w:rPr>
          <w:rFonts w:ascii="Arial" w:eastAsia="Calibri" w:hAnsi="Arial" w:cs="Arial"/>
          <w:color w:val="000000" w:themeColor="text1"/>
          <w:sz w:val="24"/>
          <w:szCs w:val="24"/>
        </w:rPr>
        <w:t xml:space="preserve">resulting </w:t>
      </w:r>
      <w:r w:rsidR="00FE0DCB">
        <w:rPr>
          <w:rFonts w:ascii="Arial" w:eastAsia="Calibri" w:hAnsi="Arial" w:cs="Arial"/>
          <w:color w:val="000000" w:themeColor="text1"/>
          <w:sz w:val="24"/>
          <w:szCs w:val="24"/>
        </w:rPr>
        <w:t>in the</w:t>
      </w:r>
      <w:r w:rsidR="00FE0DCB" w:rsidRPr="002B3D8A">
        <w:rPr>
          <w:rFonts w:ascii="Arial" w:eastAsia="Calibri" w:hAnsi="Arial" w:cs="Arial"/>
          <w:color w:val="000000" w:themeColor="text1"/>
          <w:sz w:val="24"/>
          <w:szCs w:val="24"/>
        </w:rPr>
        <w:t xml:space="preserve"> </w:t>
      </w:r>
      <w:r w:rsidR="00EE5200" w:rsidRPr="002B3D8A">
        <w:rPr>
          <w:rFonts w:ascii="Arial" w:eastAsia="Calibri" w:hAnsi="Arial" w:cs="Arial"/>
          <w:color w:val="000000" w:themeColor="text1"/>
          <w:sz w:val="24"/>
          <w:szCs w:val="24"/>
        </w:rPr>
        <w:t xml:space="preserve">death of </w:t>
      </w:r>
      <w:r w:rsidR="00FE0DCB">
        <w:rPr>
          <w:rFonts w:ascii="Arial" w:eastAsia="Calibri" w:hAnsi="Arial" w:cs="Arial"/>
          <w:color w:val="000000" w:themeColor="text1"/>
          <w:sz w:val="24"/>
          <w:szCs w:val="24"/>
        </w:rPr>
        <w:t>a high proportion of nematodes</w:t>
      </w:r>
      <w:r w:rsidR="009D586E" w:rsidRPr="002B3D8A">
        <w:rPr>
          <w:rFonts w:ascii="Arial" w:eastAsia="Calibri" w:hAnsi="Arial" w:cs="Arial"/>
          <w:color w:val="000000" w:themeColor="text1"/>
          <w:sz w:val="24"/>
          <w:szCs w:val="24"/>
        </w:rPr>
        <w:t>. In</w:t>
      </w:r>
      <w:r w:rsidR="00270823" w:rsidRPr="002B3D8A">
        <w:rPr>
          <w:rFonts w:ascii="Arial" w:eastAsia="Calibri" w:hAnsi="Arial" w:cs="Arial"/>
          <w:color w:val="000000" w:themeColor="text1"/>
          <w:sz w:val="24"/>
          <w:szCs w:val="24"/>
        </w:rPr>
        <w:t xml:space="preserve"> this study, the</w:t>
      </w:r>
      <w:r w:rsidR="00EE5200" w:rsidRPr="002B3D8A">
        <w:rPr>
          <w:rFonts w:ascii="Arial" w:eastAsia="Calibri" w:hAnsi="Arial" w:cs="Arial"/>
          <w:color w:val="000000" w:themeColor="text1"/>
          <w:sz w:val="24"/>
          <w:szCs w:val="24"/>
        </w:rPr>
        <w:t xml:space="preserve"> diameter of the sampling auger </w:t>
      </w:r>
      <w:r w:rsidR="00270823" w:rsidRPr="002B3D8A">
        <w:rPr>
          <w:rFonts w:ascii="Arial" w:eastAsia="Calibri" w:hAnsi="Arial" w:cs="Arial"/>
          <w:color w:val="000000" w:themeColor="text1"/>
          <w:sz w:val="24"/>
          <w:szCs w:val="24"/>
        </w:rPr>
        <w:t xml:space="preserve">was </w:t>
      </w:r>
      <w:r w:rsidR="00EE5200" w:rsidRPr="002B3D8A">
        <w:rPr>
          <w:rFonts w:ascii="Arial" w:eastAsia="Calibri" w:hAnsi="Arial" w:cs="Arial"/>
          <w:color w:val="000000" w:themeColor="text1"/>
          <w:sz w:val="24"/>
          <w:szCs w:val="24"/>
        </w:rPr>
        <w:t>also shown to influence the numbers of trichodorids</w:t>
      </w:r>
      <w:r w:rsidRPr="002B3D8A">
        <w:rPr>
          <w:rFonts w:ascii="Arial" w:eastAsia="Calibri" w:hAnsi="Arial" w:cs="Arial"/>
          <w:color w:val="000000" w:themeColor="text1"/>
          <w:sz w:val="24"/>
          <w:szCs w:val="24"/>
        </w:rPr>
        <w:t xml:space="preserve"> recovered</w:t>
      </w:r>
      <w:r w:rsidR="00EE5200" w:rsidRPr="002B3D8A">
        <w:rPr>
          <w:rFonts w:ascii="Arial" w:eastAsia="Calibri" w:hAnsi="Arial" w:cs="Arial"/>
          <w:color w:val="000000" w:themeColor="text1"/>
          <w:sz w:val="24"/>
          <w:szCs w:val="24"/>
        </w:rPr>
        <w:t xml:space="preserve"> during a sampling exercise. Sampling with</w:t>
      </w:r>
      <w:r w:rsidR="00FE0DCB">
        <w:rPr>
          <w:rFonts w:ascii="Arial" w:eastAsia="Calibri" w:hAnsi="Arial" w:cs="Arial"/>
          <w:color w:val="000000" w:themeColor="text1"/>
          <w:sz w:val="24"/>
          <w:szCs w:val="24"/>
        </w:rPr>
        <w:t xml:space="preserve"> a</w:t>
      </w:r>
      <w:r w:rsidR="00EE5200" w:rsidRPr="002B3D8A">
        <w:rPr>
          <w:rFonts w:ascii="Arial" w:eastAsia="Calibri" w:hAnsi="Arial" w:cs="Arial"/>
          <w:color w:val="000000" w:themeColor="text1"/>
          <w:sz w:val="24"/>
          <w:szCs w:val="24"/>
        </w:rPr>
        <w:t xml:space="preserve"> 10cm corer diameter yielded 2540</w:t>
      </w:r>
      <w:r w:rsidR="00FE0DCB" w:rsidRPr="00FE0DCB">
        <w:rPr>
          <w:rFonts w:ascii="Arial" w:eastAsia="Calibri" w:hAnsi="Arial" w:cs="Arial"/>
          <w:color w:val="000000" w:themeColor="text1"/>
          <w:sz w:val="24"/>
          <w:szCs w:val="24"/>
        </w:rPr>
        <w:t xml:space="preserve"> </w:t>
      </w:r>
      <w:r w:rsidR="00FE0DCB">
        <w:rPr>
          <w:rFonts w:ascii="Arial" w:eastAsia="Calibri" w:hAnsi="Arial" w:cs="Arial"/>
          <w:color w:val="000000" w:themeColor="text1"/>
          <w:sz w:val="24"/>
          <w:szCs w:val="24"/>
        </w:rPr>
        <w:t>l</w:t>
      </w:r>
      <w:r w:rsidR="00FE0DCB" w:rsidRPr="00E573BD">
        <w:rPr>
          <w:rFonts w:ascii="Arial" w:eastAsia="Calibri" w:hAnsi="Arial" w:cs="Arial"/>
          <w:color w:val="000000" w:themeColor="text1"/>
          <w:sz w:val="24"/>
          <w:szCs w:val="24"/>
          <w:vertAlign w:val="superscript"/>
        </w:rPr>
        <w:t>-1</w:t>
      </w:r>
      <w:r w:rsidR="00FE0DCB">
        <w:rPr>
          <w:rFonts w:ascii="Arial" w:eastAsia="Calibri" w:hAnsi="Arial" w:cs="Arial"/>
          <w:color w:val="000000" w:themeColor="text1"/>
          <w:sz w:val="24"/>
          <w:szCs w:val="24"/>
        </w:rPr>
        <w:t xml:space="preserve"> soil</w:t>
      </w:r>
      <w:r w:rsidR="00FE0DCB" w:rsidRPr="002B3D8A" w:rsidDel="00FE0DCB">
        <w:rPr>
          <w:rFonts w:ascii="Arial" w:eastAsia="Calibri" w:hAnsi="Arial" w:cs="Arial"/>
          <w:color w:val="000000" w:themeColor="text1"/>
          <w:sz w:val="24"/>
          <w:szCs w:val="24"/>
        </w:rPr>
        <w:t xml:space="preserve"> </w:t>
      </w:r>
      <w:r w:rsidR="00EE5200" w:rsidRPr="002B3D8A">
        <w:rPr>
          <w:rFonts w:ascii="Arial" w:eastAsia="Calibri" w:hAnsi="Arial" w:cs="Arial"/>
          <w:i/>
          <w:color w:val="000000" w:themeColor="text1"/>
          <w:sz w:val="24"/>
          <w:szCs w:val="24"/>
        </w:rPr>
        <w:t>P.teres</w:t>
      </w:r>
      <w:r w:rsidR="00EE5200" w:rsidRPr="002B3D8A">
        <w:rPr>
          <w:rFonts w:ascii="Arial" w:eastAsia="Calibri" w:hAnsi="Arial" w:cs="Arial"/>
          <w:color w:val="000000" w:themeColor="text1"/>
          <w:sz w:val="24"/>
          <w:szCs w:val="24"/>
        </w:rPr>
        <w:t xml:space="preserve"> while 2cm and 1cm corers yielded 580 and 390</w:t>
      </w:r>
      <w:r w:rsidR="00FE0DCB" w:rsidRPr="00FE0DCB">
        <w:rPr>
          <w:rFonts w:ascii="Arial" w:eastAsia="Calibri" w:hAnsi="Arial" w:cs="Arial"/>
          <w:color w:val="000000" w:themeColor="text1"/>
          <w:sz w:val="24"/>
          <w:szCs w:val="24"/>
        </w:rPr>
        <w:t xml:space="preserve"> </w:t>
      </w:r>
      <w:r w:rsidR="00FE0DCB">
        <w:rPr>
          <w:rFonts w:ascii="Arial" w:eastAsia="Calibri" w:hAnsi="Arial" w:cs="Arial"/>
          <w:color w:val="000000" w:themeColor="text1"/>
          <w:sz w:val="24"/>
          <w:szCs w:val="24"/>
        </w:rPr>
        <w:t>l</w:t>
      </w:r>
      <w:r w:rsidR="00FE0DCB" w:rsidRPr="00E573BD">
        <w:rPr>
          <w:rFonts w:ascii="Arial" w:eastAsia="Calibri" w:hAnsi="Arial" w:cs="Arial"/>
          <w:color w:val="000000" w:themeColor="text1"/>
          <w:sz w:val="24"/>
          <w:szCs w:val="24"/>
          <w:vertAlign w:val="superscript"/>
        </w:rPr>
        <w:t>-1</w:t>
      </w:r>
      <w:r w:rsidR="00FE0DCB">
        <w:rPr>
          <w:rFonts w:ascii="Arial" w:eastAsia="Calibri" w:hAnsi="Arial" w:cs="Arial"/>
          <w:color w:val="000000" w:themeColor="text1"/>
          <w:sz w:val="24"/>
          <w:szCs w:val="24"/>
        </w:rPr>
        <w:t xml:space="preserve"> soil</w:t>
      </w:r>
      <w:r w:rsidR="00FE0DCB" w:rsidRPr="002B3D8A" w:rsidDel="00FE0DCB">
        <w:rPr>
          <w:rFonts w:ascii="Arial" w:eastAsia="Calibri" w:hAnsi="Arial" w:cs="Arial"/>
          <w:color w:val="000000" w:themeColor="text1"/>
          <w:sz w:val="24"/>
          <w:szCs w:val="24"/>
        </w:rPr>
        <w:t xml:space="preserve"> </w:t>
      </w:r>
      <w:r w:rsidR="00EE5200" w:rsidRPr="002B3D8A">
        <w:rPr>
          <w:rFonts w:ascii="Arial" w:eastAsia="Calibri" w:hAnsi="Arial" w:cs="Arial"/>
          <w:color w:val="000000" w:themeColor="text1"/>
          <w:sz w:val="24"/>
          <w:szCs w:val="24"/>
        </w:rPr>
        <w:t>respectively</w:t>
      </w:r>
      <w:r w:rsidR="00FE0DCB">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w:t>
      </w:r>
      <w:r w:rsidR="00270823" w:rsidRPr="002B3D8A">
        <w:rPr>
          <w:rFonts w:ascii="Arial" w:eastAsia="Calibri" w:hAnsi="Arial" w:cs="Arial"/>
          <w:color w:val="000000" w:themeColor="text1"/>
          <w:sz w:val="24"/>
          <w:szCs w:val="24"/>
        </w:rPr>
        <w:t>this was explained by the fact that</w:t>
      </w:r>
      <w:r w:rsidRPr="002B3D8A">
        <w:rPr>
          <w:rFonts w:ascii="Arial" w:eastAsia="Calibri" w:hAnsi="Arial" w:cs="Arial"/>
          <w:color w:val="000000" w:themeColor="text1"/>
          <w:sz w:val="24"/>
          <w:szCs w:val="24"/>
        </w:rPr>
        <w:t xml:space="preserve"> a narrow corer exerts more mechanical </w:t>
      </w:r>
      <w:r w:rsidR="008646BC" w:rsidRPr="002B3D8A">
        <w:rPr>
          <w:rFonts w:ascii="Arial" w:eastAsia="Calibri" w:hAnsi="Arial" w:cs="Arial"/>
          <w:color w:val="000000" w:themeColor="text1"/>
          <w:sz w:val="24"/>
          <w:szCs w:val="24"/>
        </w:rPr>
        <w:t xml:space="preserve">pressure </w:t>
      </w:r>
      <w:r w:rsidRPr="002B3D8A">
        <w:rPr>
          <w:rFonts w:ascii="Arial" w:eastAsia="Calibri" w:hAnsi="Arial" w:cs="Arial"/>
          <w:color w:val="000000" w:themeColor="text1"/>
          <w:sz w:val="24"/>
          <w:szCs w:val="24"/>
        </w:rPr>
        <w:t xml:space="preserve">during sampling compared to a wider diameter corer </w:t>
      </w:r>
      <w:r w:rsidR="00EE5200"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{"citationItems":[{"id":"ITEM-1","itemData":{"author":[{"dropping-particle":"","family":"Bor","given":"N A","non-dropping-particle":"","parse-names":false,"suffix":""},{"dropping-particle":"","family":"Kuiper","given":"K","non-dropping-particle":"","parse-names":false,"suffix":""}],"id":"ITEM-1","issued":{"date-parts":[["1966"]]},"publisher":"Plantenziektenkundige Dienst","title":"Gevoeligheid van Trichodorus teres en T. pachydermus voor uitwendige invloeden","type":"book"},"uris":["http://www.mendeley.com/documents/?uuid=7ca2c62a-1c23-40d0-8309-7de303fc4396"]}],"mendeley":{"formattedCitation":"(Bor and Kuiper, 1966)","plainTextFormattedCitation":"(Bor and Kuiper, 1966)","previouslyFormattedCitation":"(Bor and Kuiper, 1966)"},"properties":{"noteIndex":0},"schema":"https://github.com/citation-style-language/schema/raw/master/csl-citation.json"}</w:instrText>
      </w:r>
      <w:r w:rsidR="00EE5200"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(Bor and Kuiper, 1966)</w:t>
      </w:r>
      <w:r w:rsidR="00EE5200" w:rsidRPr="002B3D8A">
        <w:rPr>
          <w:rFonts w:ascii="Arial" w:eastAsia="Calibri" w:hAnsi="Arial" w:cs="Arial"/>
          <w:color w:val="000000" w:themeColor="text1"/>
          <w:sz w:val="24"/>
          <w:szCs w:val="24"/>
        </w:rPr>
        <w:fldChar w:fldCharType="end"/>
      </w:r>
      <w:r w:rsidR="00EE5200" w:rsidRPr="002B3D8A">
        <w:rPr>
          <w:rFonts w:ascii="Arial" w:eastAsia="Calibri" w:hAnsi="Arial" w:cs="Arial"/>
          <w:color w:val="000000" w:themeColor="text1"/>
          <w:sz w:val="24"/>
          <w:szCs w:val="24"/>
        </w:rPr>
        <w:t xml:space="preserve">. </w:t>
      </w:r>
      <w:r w:rsidR="00FE0DCB">
        <w:rPr>
          <w:rFonts w:ascii="Arial" w:eastAsia="Calibri" w:hAnsi="Arial" w:cs="Arial"/>
          <w:color w:val="000000" w:themeColor="text1"/>
          <w:sz w:val="24"/>
          <w:szCs w:val="24"/>
        </w:rPr>
        <w:t xml:space="preserve">The effect of soil sample handling </w:t>
      </w:r>
      <w:r w:rsidR="008646BC" w:rsidRPr="002B3D8A">
        <w:rPr>
          <w:rFonts w:ascii="Arial" w:eastAsia="Calibri" w:hAnsi="Arial" w:cs="Arial"/>
          <w:color w:val="000000" w:themeColor="text1"/>
          <w:sz w:val="24"/>
          <w:szCs w:val="24"/>
        </w:rPr>
        <w:t>on the survival of the nematodes was also investigated in this study, where the effect of dropping soil from certain heights and mixing the soil was investigated</w:t>
      </w:r>
      <w:r w:rsidR="00EE5200" w:rsidRPr="002B3D8A">
        <w:rPr>
          <w:rFonts w:ascii="Arial" w:eastAsia="Calibri" w:hAnsi="Arial" w:cs="Arial"/>
          <w:color w:val="000000" w:themeColor="text1"/>
          <w:sz w:val="24"/>
          <w:szCs w:val="24"/>
        </w:rPr>
        <w:t>.</w:t>
      </w:r>
      <w:r w:rsidR="008646BC" w:rsidRPr="002B3D8A">
        <w:rPr>
          <w:rFonts w:ascii="Arial" w:eastAsia="Calibri" w:hAnsi="Arial" w:cs="Arial"/>
          <w:color w:val="000000" w:themeColor="text1"/>
          <w:sz w:val="24"/>
          <w:szCs w:val="24"/>
        </w:rPr>
        <w:t xml:space="preserve"> Significantly high</w:t>
      </w:r>
      <w:r w:rsidR="00FE0DCB">
        <w:rPr>
          <w:rFonts w:ascii="Arial" w:eastAsia="Calibri" w:hAnsi="Arial" w:cs="Arial"/>
          <w:color w:val="000000" w:themeColor="text1"/>
          <w:sz w:val="24"/>
          <w:szCs w:val="24"/>
        </w:rPr>
        <w:t>er</w:t>
      </w:r>
      <w:r w:rsidR="008646BC" w:rsidRPr="002B3D8A">
        <w:rPr>
          <w:rFonts w:ascii="Arial" w:eastAsia="Calibri" w:hAnsi="Arial" w:cs="Arial"/>
          <w:color w:val="000000" w:themeColor="text1"/>
          <w:sz w:val="24"/>
          <w:szCs w:val="24"/>
        </w:rPr>
        <w:t xml:space="preserve"> numbers of nematodes died when soil</w:t>
      </w:r>
      <w:r w:rsidR="00FE0DCB">
        <w:rPr>
          <w:rFonts w:ascii="Arial" w:eastAsia="Calibri" w:hAnsi="Arial" w:cs="Arial"/>
          <w:color w:val="000000" w:themeColor="text1"/>
          <w:sz w:val="24"/>
          <w:szCs w:val="24"/>
        </w:rPr>
        <w:t xml:space="preserve"> samples</w:t>
      </w:r>
      <w:r w:rsidR="008646BC" w:rsidRPr="002B3D8A">
        <w:rPr>
          <w:rFonts w:ascii="Arial" w:eastAsia="Calibri" w:hAnsi="Arial" w:cs="Arial"/>
          <w:color w:val="000000" w:themeColor="text1"/>
          <w:sz w:val="24"/>
          <w:szCs w:val="24"/>
        </w:rPr>
        <w:t xml:space="preserve"> </w:t>
      </w:r>
      <w:r w:rsidR="00FE0DCB">
        <w:rPr>
          <w:rFonts w:ascii="Arial" w:eastAsia="Calibri" w:hAnsi="Arial" w:cs="Arial"/>
          <w:color w:val="000000" w:themeColor="text1"/>
          <w:sz w:val="24"/>
          <w:szCs w:val="24"/>
        </w:rPr>
        <w:t>were</w:t>
      </w:r>
      <w:r w:rsidR="008646BC" w:rsidRPr="002B3D8A">
        <w:rPr>
          <w:rFonts w:ascii="Arial" w:eastAsia="Calibri" w:hAnsi="Arial" w:cs="Arial"/>
          <w:color w:val="000000" w:themeColor="text1"/>
          <w:sz w:val="24"/>
          <w:szCs w:val="24"/>
        </w:rPr>
        <w:t xml:space="preserve"> dropped from 100-350 cm as compared to the control where soil was not dropped</w:t>
      </w:r>
      <w:r w:rsidR="00FE0DCB">
        <w:rPr>
          <w:rFonts w:ascii="Arial" w:eastAsia="Calibri" w:hAnsi="Arial" w:cs="Arial"/>
          <w:color w:val="000000" w:themeColor="text1"/>
          <w:sz w:val="24"/>
          <w:szCs w:val="24"/>
        </w:rPr>
        <w:t>.</w:t>
      </w:r>
      <w:r w:rsidR="008646BC" w:rsidRPr="002B3D8A">
        <w:rPr>
          <w:rFonts w:ascii="Arial" w:eastAsia="Calibri" w:hAnsi="Arial" w:cs="Arial"/>
          <w:color w:val="000000" w:themeColor="text1"/>
          <w:sz w:val="24"/>
          <w:szCs w:val="24"/>
        </w:rPr>
        <w:t xml:space="preserve"> </w:t>
      </w:r>
      <w:r w:rsidR="00FE0DCB">
        <w:rPr>
          <w:rFonts w:ascii="Arial" w:eastAsia="Calibri" w:hAnsi="Arial" w:cs="Arial"/>
          <w:color w:val="000000" w:themeColor="text1"/>
          <w:sz w:val="24"/>
          <w:szCs w:val="24"/>
        </w:rPr>
        <w:t>In contrast, m</w:t>
      </w:r>
      <w:r w:rsidR="00EE5200" w:rsidRPr="002B3D8A">
        <w:rPr>
          <w:rFonts w:ascii="Arial" w:eastAsia="Calibri" w:hAnsi="Arial" w:cs="Arial"/>
          <w:color w:val="000000" w:themeColor="text1"/>
          <w:sz w:val="24"/>
          <w:szCs w:val="24"/>
        </w:rPr>
        <w:t xml:space="preserve">ixing of the soil did not cause </w:t>
      </w:r>
      <w:r w:rsidR="00FE0DCB">
        <w:rPr>
          <w:rFonts w:ascii="Arial" w:eastAsia="Calibri" w:hAnsi="Arial" w:cs="Arial"/>
          <w:color w:val="000000" w:themeColor="text1"/>
          <w:sz w:val="24"/>
          <w:szCs w:val="24"/>
        </w:rPr>
        <w:t>significant</w:t>
      </w:r>
      <w:r w:rsidR="00EE5200" w:rsidRPr="002B3D8A">
        <w:rPr>
          <w:rFonts w:ascii="Arial" w:eastAsia="Calibri" w:hAnsi="Arial" w:cs="Arial"/>
          <w:color w:val="000000" w:themeColor="text1"/>
          <w:sz w:val="24"/>
          <w:szCs w:val="24"/>
        </w:rPr>
        <w:t xml:space="preserve"> mortality when compared the control</w:t>
      </w:r>
      <w:r w:rsidRPr="002B3D8A">
        <w:rPr>
          <w:rFonts w:ascii="Arial" w:eastAsia="Calibri" w:hAnsi="Arial" w:cs="Arial"/>
          <w:color w:val="000000" w:themeColor="text1"/>
          <w:sz w:val="24"/>
          <w:szCs w:val="24"/>
        </w:rPr>
        <w:t xml:space="preserve"> </w:t>
      </w:r>
      <w:r w:rsidR="00EE5200" w:rsidRPr="002B3D8A">
        <w:rPr>
          <w:rFonts w:ascii="Arial" w:eastAsia="Calibri" w:hAnsi="Arial" w:cs="Arial"/>
          <w:color w:val="000000" w:themeColor="text1"/>
          <w:sz w:val="24"/>
          <w:szCs w:val="24"/>
        </w:rPr>
        <w:t>(no dropping/mixing)</w:t>
      </w:r>
      <w:r w:rsidR="009D586E" w:rsidRPr="002B3D8A">
        <w:rPr>
          <w:rFonts w:ascii="Arial" w:eastAsia="Calibri" w:hAnsi="Arial" w:cs="Arial"/>
          <w:color w:val="000000" w:themeColor="text1"/>
          <w:sz w:val="24"/>
          <w:szCs w:val="24"/>
        </w:rPr>
        <w:t xml:space="preserve"> </w:t>
      </w:r>
      <w:r w:rsidR="009D586E"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{"citationItems":[{"id":"ITEM-1","itemData":{"author":[{"dropping-particle":"","family":"Bor","given":"N A","non-dropping-particle":"","parse-names":false,"suffix":""},{"dropping-particle":"","family":"Kuiper","given":"K","non-dropping-particle":"","parse-names":false,"suffix":""}],"id":"ITEM-1","issued":{"date-parts":[["1966"]]},"publisher":"Plantenziektenkundige Dienst","title":"Gevoeligheid van Trichodorus teres en T. pachydermus voor uitwendige invloeden","type":"book"},"uris":["http://www.mendeley.com/documents/?uuid=7ca2c62a-1c23-40d0-8309-7de303fc4396"]}],"mendeley":{"formattedCitation":"(Bor and Kuiper, 1966)","plainTextFormattedCitation":"(Bor and Kuiper, 1966)","previouslyFormattedCitation":"(Bor and Kuiper, 1966)"},"properties":{"noteIndex":0},"schema":"https://github.com/citation-style-language/schema/raw/master/csl-citation.json"}</w:instrText>
      </w:r>
      <w:r w:rsidR="009D586E"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(Bor and Kuiper, 1966)</w:t>
      </w:r>
      <w:r w:rsidR="009D586E" w:rsidRPr="002B3D8A">
        <w:rPr>
          <w:rFonts w:ascii="Arial" w:eastAsia="Calibri" w:hAnsi="Arial" w:cs="Arial"/>
          <w:color w:val="000000" w:themeColor="text1"/>
          <w:sz w:val="24"/>
          <w:szCs w:val="24"/>
        </w:rPr>
        <w:fldChar w:fldCharType="end"/>
      </w:r>
      <w:r w:rsidR="00FE0DCB">
        <w:rPr>
          <w:rFonts w:ascii="Arial" w:eastAsia="Calibri" w:hAnsi="Arial" w:cs="Arial"/>
          <w:color w:val="000000" w:themeColor="text1"/>
          <w:sz w:val="24"/>
          <w:szCs w:val="24"/>
        </w:rPr>
        <w:t>.</w:t>
      </w:r>
      <w:r w:rsidR="00EE5200" w:rsidRPr="002B3D8A">
        <w:rPr>
          <w:rFonts w:ascii="Arial" w:eastAsia="Calibri" w:hAnsi="Arial" w:cs="Arial"/>
          <w:color w:val="000000" w:themeColor="text1"/>
          <w:sz w:val="24"/>
          <w:szCs w:val="24"/>
        </w:rPr>
        <w:t xml:space="preserve"> </w:t>
      </w:r>
      <w:r w:rsidR="0010118C" w:rsidRPr="002B3D8A">
        <w:rPr>
          <w:rFonts w:ascii="Arial" w:eastAsia="Calibri" w:hAnsi="Arial" w:cs="Arial"/>
          <w:color w:val="000000" w:themeColor="text1"/>
          <w:sz w:val="24"/>
          <w:szCs w:val="24"/>
        </w:rPr>
        <w:t xml:space="preserve">Sensitivity of the nematodes to </w:t>
      </w:r>
      <w:r w:rsidR="009D586E" w:rsidRPr="002B3D8A">
        <w:rPr>
          <w:rFonts w:ascii="Arial" w:eastAsia="Calibri" w:hAnsi="Arial" w:cs="Arial"/>
          <w:color w:val="000000" w:themeColor="text1"/>
          <w:sz w:val="24"/>
          <w:szCs w:val="24"/>
        </w:rPr>
        <w:t>chemical compounds has also been shown</w:t>
      </w:r>
      <w:r w:rsidR="00FE0D25" w:rsidRPr="002B3D8A">
        <w:rPr>
          <w:rFonts w:ascii="Arial" w:eastAsia="Calibri" w:hAnsi="Arial" w:cs="Arial"/>
          <w:color w:val="000000" w:themeColor="text1"/>
          <w:sz w:val="24"/>
          <w:szCs w:val="24"/>
        </w:rPr>
        <w:t xml:space="preserve"> in </w:t>
      </w:r>
      <w:r w:rsidR="009D586E" w:rsidRPr="002B3D8A">
        <w:rPr>
          <w:rFonts w:ascii="Arial" w:eastAsia="Calibri" w:hAnsi="Arial" w:cs="Arial"/>
          <w:color w:val="000000" w:themeColor="text1"/>
          <w:sz w:val="24"/>
          <w:szCs w:val="24"/>
        </w:rPr>
        <w:t xml:space="preserve">experiments using </w:t>
      </w:r>
      <w:r w:rsidR="0010118C" w:rsidRPr="002B3D8A">
        <w:rPr>
          <w:rFonts w:ascii="Arial" w:eastAsia="Calibri" w:hAnsi="Arial" w:cs="Arial"/>
          <w:color w:val="000000" w:themeColor="text1"/>
          <w:sz w:val="24"/>
          <w:szCs w:val="24"/>
        </w:rPr>
        <w:t>CuS</w:t>
      </w:r>
      <w:r w:rsidR="00226FEC">
        <w:rPr>
          <w:rFonts w:ascii="Arial" w:eastAsia="Calibri" w:hAnsi="Arial" w:cs="Arial"/>
          <w:color w:val="000000" w:themeColor="text1"/>
          <w:sz w:val="24"/>
          <w:szCs w:val="24"/>
        </w:rPr>
        <w:t>O</w:t>
      </w:r>
      <w:r w:rsidR="0010118C" w:rsidRPr="00F63475">
        <w:rPr>
          <w:rFonts w:ascii="Arial" w:eastAsia="Calibri" w:hAnsi="Arial" w:cs="Arial"/>
          <w:color w:val="000000" w:themeColor="text1"/>
          <w:sz w:val="24"/>
          <w:szCs w:val="24"/>
          <w:vertAlign w:val="subscript"/>
        </w:rPr>
        <w:t>4</w:t>
      </w:r>
      <w:r w:rsidR="0010118C" w:rsidRPr="002B3D8A">
        <w:rPr>
          <w:rFonts w:ascii="Arial" w:eastAsia="Calibri" w:hAnsi="Arial" w:cs="Arial"/>
          <w:color w:val="000000" w:themeColor="text1"/>
          <w:sz w:val="24"/>
          <w:szCs w:val="24"/>
        </w:rPr>
        <w:t xml:space="preserve"> or MnS</w:t>
      </w:r>
      <w:r w:rsidR="00226FEC">
        <w:rPr>
          <w:rFonts w:ascii="Arial" w:eastAsia="Calibri" w:hAnsi="Arial" w:cs="Arial"/>
          <w:color w:val="000000" w:themeColor="text1"/>
          <w:sz w:val="24"/>
          <w:szCs w:val="24"/>
        </w:rPr>
        <w:t>O</w:t>
      </w:r>
      <w:r w:rsidR="0010118C" w:rsidRPr="00F63475">
        <w:rPr>
          <w:rFonts w:ascii="Arial" w:eastAsia="Calibri" w:hAnsi="Arial" w:cs="Arial"/>
          <w:color w:val="000000" w:themeColor="text1"/>
          <w:sz w:val="24"/>
          <w:szCs w:val="24"/>
          <w:vertAlign w:val="subscript"/>
        </w:rPr>
        <w:t>4</w:t>
      </w:r>
      <w:r w:rsidR="00FE0D25" w:rsidRPr="002B3D8A">
        <w:rPr>
          <w:rFonts w:ascii="Arial" w:eastAsia="Calibri" w:hAnsi="Arial" w:cs="Arial"/>
          <w:color w:val="000000" w:themeColor="text1"/>
          <w:sz w:val="24"/>
          <w:szCs w:val="24"/>
        </w:rPr>
        <w:t>. V</w:t>
      </w:r>
      <w:r w:rsidR="0010118C" w:rsidRPr="002B3D8A">
        <w:rPr>
          <w:rFonts w:ascii="Arial" w:eastAsia="Calibri" w:hAnsi="Arial" w:cs="Arial"/>
          <w:color w:val="000000" w:themeColor="text1"/>
          <w:sz w:val="24"/>
          <w:szCs w:val="24"/>
        </w:rPr>
        <w:t xml:space="preserve">ariability in </w:t>
      </w:r>
      <w:r w:rsidR="009D586E" w:rsidRPr="002B3D8A">
        <w:rPr>
          <w:rFonts w:ascii="Arial" w:eastAsia="Calibri" w:hAnsi="Arial" w:cs="Arial"/>
          <w:color w:val="000000" w:themeColor="text1"/>
          <w:sz w:val="24"/>
          <w:szCs w:val="24"/>
        </w:rPr>
        <w:t xml:space="preserve">nematode </w:t>
      </w:r>
      <w:r w:rsidR="0010118C" w:rsidRPr="002B3D8A">
        <w:rPr>
          <w:rFonts w:ascii="Arial" w:eastAsia="Calibri" w:hAnsi="Arial" w:cs="Arial"/>
          <w:color w:val="000000" w:themeColor="text1"/>
          <w:sz w:val="24"/>
          <w:szCs w:val="24"/>
        </w:rPr>
        <w:t>sensitivity</w:t>
      </w:r>
      <w:r w:rsidR="009D586E" w:rsidRPr="002B3D8A">
        <w:rPr>
          <w:rFonts w:ascii="Arial" w:eastAsia="Calibri" w:hAnsi="Arial" w:cs="Arial"/>
          <w:color w:val="000000" w:themeColor="text1"/>
          <w:sz w:val="24"/>
          <w:szCs w:val="24"/>
        </w:rPr>
        <w:t xml:space="preserve"> upon exposure to three different concentration,</w:t>
      </w:r>
      <w:r w:rsidR="0010118C" w:rsidRPr="002B3D8A">
        <w:rPr>
          <w:rFonts w:ascii="Arial" w:eastAsia="Calibri" w:hAnsi="Arial" w:cs="Arial"/>
          <w:color w:val="000000" w:themeColor="text1"/>
          <w:sz w:val="24"/>
          <w:szCs w:val="24"/>
        </w:rPr>
        <w:t xml:space="preserve"> depend</w:t>
      </w:r>
      <w:r w:rsidR="009D586E" w:rsidRPr="002B3D8A">
        <w:rPr>
          <w:rFonts w:ascii="Arial" w:eastAsia="Calibri" w:hAnsi="Arial" w:cs="Arial"/>
          <w:color w:val="000000" w:themeColor="text1"/>
          <w:sz w:val="24"/>
          <w:szCs w:val="24"/>
        </w:rPr>
        <w:t>ed</w:t>
      </w:r>
      <w:r w:rsidR="0010118C" w:rsidRPr="002B3D8A">
        <w:rPr>
          <w:rFonts w:ascii="Arial" w:eastAsia="Calibri" w:hAnsi="Arial" w:cs="Arial"/>
          <w:color w:val="000000" w:themeColor="text1"/>
          <w:sz w:val="24"/>
          <w:szCs w:val="24"/>
        </w:rPr>
        <w:t xml:space="preserve"> on the species.</w:t>
      </w:r>
      <w:r w:rsidR="009D586E" w:rsidRPr="002B3D8A">
        <w:rPr>
          <w:rFonts w:ascii="Arial" w:eastAsia="Calibri" w:hAnsi="Arial" w:cs="Arial"/>
          <w:color w:val="000000" w:themeColor="text1"/>
          <w:sz w:val="24"/>
          <w:szCs w:val="24"/>
        </w:rPr>
        <w:t xml:space="preserve"> In this experiment,</w:t>
      </w:r>
      <w:r w:rsidR="0010118C" w:rsidRPr="002B3D8A">
        <w:rPr>
          <w:rFonts w:ascii="Arial" w:eastAsia="Calibri" w:hAnsi="Arial" w:cs="Arial"/>
          <w:color w:val="000000" w:themeColor="text1"/>
          <w:sz w:val="24"/>
          <w:szCs w:val="24"/>
        </w:rPr>
        <w:t xml:space="preserve"> </w:t>
      </w:r>
      <w:r w:rsidR="00EE5200" w:rsidRPr="002B3D8A">
        <w:rPr>
          <w:rFonts w:ascii="Arial" w:eastAsia="Calibri" w:hAnsi="Arial" w:cs="Arial"/>
          <w:i/>
          <w:color w:val="000000" w:themeColor="text1"/>
          <w:sz w:val="24"/>
          <w:szCs w:val="24"/>
        </w:rPr>
        <w:t xml:space="preserve">P. pachydermus, T. </w:t>
      </w:r>
      <w:r w:rsidR="0010118C" w:rsidRPr="002B3D8A">
        <w:rPr>
          <w:rFonts w:ascii="Arial" w:eastAsia="Calibri" w:hAnsi="Arial" w:cs="Arial"/>
          <w:i/>
          <w:color w:val="000000" w:themeColor="text1"/>
          <w:sz w:val="24"/>
          <w:szCs w:val="24"/>
        </w:rPr>
        <w:t>cylindricus,</w:t>
      </w:r>
      <w:r w:rsidR="0010118C" w:rsidRPr="002B3D8A">
        <w:rPr>
          <w:rFonts w:ascii="Arial" w:eastAsia="Calibri" w:hAnsi="Arial" w:cs="Arial"/>
          <w:color w:val="000000" w:themeColor="text1"/>
          <w:sz w:val="24"/>
          <w:szCs w:val="24"/>
        </w:rPr>
        <w:t xml:space="preserve"> </w:t>
      </w:r>
      <w:r w:rsidR="00EE5200" w:rsidRPr="002B3D8A">
        <w:rPr>
          <w:rFonts w:ascii="Arial" w:eastAsia="Calibri" w:hAnsi="Arial" w:cs="Arial"/>
          <w:i/>
          <w:color w:val="000000" w:themeColor="text1"/>
          <w:sz w:val="24"/>
          <w:szCs w:val="24"/>
        </w:rPr>
        <w:t>T primitivus</w:t>
      </w:r>
      <w:r w:rsidR="0010118C" w:rsidRPr="002B3D8A">
        <w:rPr>
          <w:rFonts w:ascii="Arial" w:eastAsia="Calibri" w:hAnsi="Arial" w:cs="Arial"/>
          <w:color w:val="000000" w:themeColor="text1"/>
          <w:sz w:val="24"/>
          <w:szCs w:val="24"/>
        </w:rPr>
        <w:t xml:space="preserve"> (Trichodorids) </w:t>
      </w:r>
      <w:r w:rsidR="00EE5200" w:rsidRPr="002B3D8A">
        <w:rPr>
          <w:rFonts w:ascii="Arial" w:eastAsia="Calibri" w:hAnsi="Arial" w:cs="Arial"/>
          <w:color w:val="000000" w:themeColor="text1"/>
          <w:sz w:val="24"/>
          <w:szCs w:val="24"/>
        </w:rPr>
        <w:t xml:space="preserve">and other soil nematodes were </w:t>
      </w:r>
      <w:r w:rsidR="009D586E" w:rsidRPr="002B3D8A">
        <w:rPr>
          <w:rFonts w:ascii="Arial" w:eastAsia="Calibri" w:hAnsi="Arial" w:cs="Arial"/>
          <w:color w:val="000000" w:themeColor="text1"/>
          <w:sz w:val="24"/>
          <w:szCs w:val="24"/>
        </w:rPr>
        <w:t xml:space="preserve">compared. </w:t>
      </w:r>
      <w:r w:rsidR="0010118C" w:rsidRPr="002B3D8A">
        <w:rPr>
          <w:rFonts w:ascii="Arial" w:eastAsia="Calibri" w:hAnsi="Arial" w:cs="Arial"/>
          <w:color w:val="000000" w:themeColor="text1"/>
          <w:sz w:val="24"/>
          <w:szCs w:val="24"/>
        </w:rPr>
        <w:t>Results</w:t>
      </w:r>
      <w:r w:rsidR="00EE5200" w:rsidRPr="002B3D8A">
        <w:rPr>
          <w:rFonts w:ascii="Arial" w:eastAsia="Calibri" w:hAnsi="Arial" w:cs="Arial"/>
          <w:color w:val="000000" w:themeColor="text1"/>
          <w:sz w:val="24"/>
          <w:szCs w:val="24"/>
        </w:rPr>
        <w:t xml:space="preserve"> showed</w:t>
      </w:r>
      <w:r w:rsidR="0010118C" w:rsidRPr="002B3D8A">
        <w:rPr>
          <w:rFonts w:ascii="Arial" w:eastAsia="Calibri" w:hAnsi="Arial" w:cs="Arial"/>
          <w:color w:val="000000" w:themeColor="text1"/>
          <w:sz w:val="24"/>
          <w:szCs w:val="24"/>
        </w:rPr>
        <w:t xml:space="preserve"> that</w:t>
      </w:r>
      <w:r w:rsidR="00EE5200" w:rsidRPr="002B3D8A">
        <w:rPr>
          <w:rFonts w:ascii="Arial" w:eastAsia="Calibri" w:hAnsi="Arial" w:cs="Arial"/>
          <w:color w:val="000000" w:themeColor="text1"/>
          <w:sz w:val="24"/>
          <w:szCs w:val="24"/>
        </w:rPr>
        <w:t xml:space="preserve"> </w:t>
      </w:r>
      <w:r w:rsidR="0010118C" w:rsidRPr="002B3D8A">
        <w:rPr>
          <w:rFonts w:ascii="Arial" w:eastAsia="Calibri" w:hAnsi="Arial" w:cs="Arial"/>
          <w:color w:val="000000" w:themeColor="text1"/>
          <w:sz w:val="24"/>
          <w:szCs w:val="24"/>
        </w:rPr>
        <w:t xml:space="preserve">Trichodorids were </w:t>
      </w:r>
      <w:r w:rsidR="00EE5200" w:rsidRPr="002B3D8A">
        <w:rPr>
          <w:rFonts w:ascii="Arial" w:eastAsia="Calibri" w:hAnsi="Arial" w:cs="Arial"/>
          <w:color w:val="000000" w:themeColor="text1"/>
          <w:sz w:val="24"/>
          <w:szCs w:val="24"/>
        </w:rPr>
        <w:t>more sensitive than other parasitic nematodes as none of the</w:t>
      </w:r>
      <w:r w:rsidR="0010118C" w:rsidRPr="002B3D8A">
        <w:rPr>
          <w:rFonts w:ascii="Arial" w:eastAsia="Calibri" w:hAnsi="Arial" w:cs="Arial"/>
          <w:color w:val="000000" w:themeColor="text1"/>
          <w:sz w:val="24"/>
          <w:szCs w:val="24"/>
        </w:rPr>
        <w:t xml:space="preserve">m </w:t>
      </w:r>
      <w:r w:rsidR="00EE5200" w:rsidRPr="002B3D8A">
        <w:rPr>
          <w:rFonts w:ascii="Arial" w:eastAsia="Calibri" w:hAnsi="Arial" w:cs="Arial"/>
          <w:color w:val="000000" w:themeColor="text1"/>
          <w:sz w:val="24"/>
          <w:szCs w:val="24"/>
        </w:rPr>
        <w:t>w</w:t>
      </w:r>
      <w:r w:rsidR="001F5019">
        <w:rPr>
          <w:rFonts w:ascii="Arial" w:eastAsia="Calibri" w:hAnsi="Arial" w:cs="Arial"/>
          <w:color w:val="000000" w:themeColor="text1"/>
          <w:sz w:val="24"/>
          <w:szCs w:val="24"/>
        </w:rPr>
        <w:t>ere</w:t>
      </w:r>
      <w:r w:rsidR="00EE5200" w:rsidRPr="002B3D8A">
        <w:rPr>
          <w:rFonts w:ascii="Arial" w:eastAsia="Calibri" w:hAnsi="Arial" w:cs="Arial"/>
          <w:color w:val="000000" w:themeColor="text1"/>
          <w:sz w:val="24"/>
          <w:szCs w:val="24"/>
        </w:rPr>
        <w:t xml:space="preserve"> mobile after 36 hours exposure time. </w:t>
      </w:r>
      <w:r w:rsidR="0010118C" w:rsidRPr="002B3D8A">
        <w:rPr>
          <w:rFonts w:ascii="Arial" w:eastAsia="Calibri" w:hAnsi="Arial" w:cs="Arial"/>
          <w:i/>
          <w:color w:val="000000" w:themeColor="text1"/>
          <w:sz w:val="24"/>
          <w:szCs w:val="24"/>
        </w:rPr>
        <w:t>P. pachydermus</w:t>
      </w:r>
      <w:r w:rsidR="00EE5200" w:rsidRPr="002B3D8A">
        <w:rPr>
          <w:rFonts w:ascii="Arial" w:eastAsia="Calibri" w:hAnsi="Arial" w:cs="Arial"/>
          <w:i/>
          <w:color w:val="000000" w:themeColor="text1"/>
          <w:sz w:val="24"/>
          <w:szCs w:val="24"/>
        </w:rPr>
        <w:t xml:space="preserve"> </w:t>
      </w:r>
      <w:r w:rsidR="00EE5200" w:rsidRPr="002B3D8A">
        <w:rPr>
          <w:rFonts w:ascii="Arial" w:eastAsia="Calibri" w:hAnsi="Arial" w:cs="Arial"/>
          <w:color w:val="000000" w:themeColor="text1"/>
          <w:sz w:val="24"/>
          <w:szCs w:val="24"/>
        </w:rPr>
        <w:t xml:space="preserve">was the most </w:t>
      </w:r>
      <w:r w:rsidR="0010118C" w:rsidRPr="002B3D8A">
        <w:rPr>
          <w:rFonts w:ascii="Arial" w:eastAsia="Calibri" w:hAnsi="Arial" w:cs="Arial"/>
          <w:color w:val="000000" w:themeColor="text1"/>
          <w:sz w:val="24"/>
          <w:szCs w:val="24"/>
        </w:rPr>
        <w:t>sensitive to</w:t>
      </w:r>
      <w:r w:rsidR="00EE5200" w:rsidRPr="002B3D8A">
        <w:rPr>
          <w:rFonts w:ascii="Arial" w:eastAsia="Calibri" w:hAnsi="Arial" w:cs="Arial"/>
          <w:color w:val="000000" w:themeColor="text1"/>
          <w:sz w:val="24"/>
          <w:szCs w:val="24"/>
        </w:rPr>
        <w:t xml:space="preserve"> copper and manganese</w:t>
      </w:r>
      <w:r w:rsidR="001F5019">
        <w:rPr>
          <w:rFonts w:ascii="Arial" w:eastAsia="Calibri" w:hAnsi="Arial" w:cs="Arial"/>
          <w:color w:val="000000" w:themeColor="text1"/>
          <w:sz w:val="24"/>
          <w:szCs w:val="24"/>
        </w:rPr>
        <w:t xml:space="preserve"> while</w:t>
      </w:r>
      <w:r w:rsidR="00EE5200" w:rsidRPr="002B3D8A">
        <w:rPr>
          <w:rFonts w:ascii="Arial" w:eastAsia="Calibri" w:hAnsi="Arial" w:cs="Arial"/>
          <w:color w:val="000000" w:themeColor="text1"/>
          <w:sz w:val="24"/>
          <w:szCs w:val="24"/>
        </w:rPr>
        <w:t xml:space="preserve"> </w:t>
      </w:r>
      <w:r w:rsidR="00EE5200" w:rsidRPr="002B3D8A">
        <w:rPr>
          <w:rFonts w:ascii="Arial" w:eastAsia="Calibri" w:hAnsi="Arial" w:cs="Arial"/>
          <w:i/>
          <w:color w:val="000000" w:themeColor="text1"/>
          <w:sz w:val="24"/>
          <w:szCs w:val="24"/>
        </w:rPr>
        <w:t xml:space="preserve">Trichodorus primitivus </w:t>
      </w:r>
      <w:r w:rsidR="00EE5200" w:rsidRPr="002B3D8A">
        <w:rPr>
          <w:rFonts w:ascii="Arial" w:eastAsia="Calibri" w:hAnsi="Arial" w:cs="Arial"/>
          <w:color w:val="000000" w:themeColor="text1"/>
          <w:sz w:val="24"/>
          <w:szCs w:val="24"/>
        </w:rPr>
        <w:t>was the least sensitive. The most copper sensitive species (</w:t>
      </w:r>
      <w:r w:rsidR="0010118C" w:rsidRPr="002B3D8A">
        <w:rPr>
          <w:rFonts w:ascii="Arial" w:eastAsia="Calibri" w:hAnsi="Arial" w:cs="Arial"/>
          <w:i/>
          <w:color w:val="000000" w:themeColor="text1"/>
          <w:sz w:val="24"/>
          <w:szCs w:val="24"/>
        </w:rPr>
        <w:t>Parat</w:t>
      </w:r>
      <w:r w:rsidR="00EE5200" w:rsidRPr="002B3D8A">
        <w:rPr>
          <w:rFonts w:ascii="Arial" w:eastAsia="Calibri" w:hAnsi="Arial" w:cs="Arial"/>
          <w:i/>
          <w:color w:val="000000" w:themeColor="text1"/>
          <w:sz w:val="24"/>
          <w:szCs w:val="24"/>
        </w:rPr>
        <w:t>richodorus pachydermus</w:t>
      </w:r>
      <w:r w:rsidR="00EE5200" w:rsidRPr="002B3D8A">
        <w:rPr>
          <w:rFonts w:ascii="Arial" w:eastAsia="Calibri" w:hAnsi="Arial" w:cs="Arial"/>
          <w:color w:val="000000" w:themeColor="text1"/>
          <w:sz w:val="24"/>
          <w:szCs w:val="24"/>
        </w:rPr>
        <w:t>) was found to mainly occur in calcium and manganese deficient soils</w:t>
      </w:r>
      <w:r w:rsidR="0010118C" w:rsidRPr="002B3D8A">
        <w:rPr>
          <w:rFonts w:ascii="Arial" w:eastAsia="Calibri" w:hAnsi="Arial" w:cs="Arial"/>
          <w:color w:val="000000" w:themeColor="text1"/>
          <w:sz w:val="24"/>
          <w:szCs w:val="24"/>
        </w:rPr>
        <w:t xml:space="preserve">. However, further </w:t>
      </w:r>
      <w:r w:rsidR="00EE5200" w:rsidRPr="002B3D8A">
        <w:rPr>
          <w:rFonts w:ascii="Arial" w:eastAsia="Calibri" w:hAnsi="Arial" w:cs="Arial"/>
          <w:color w:val="000000" w:themeColor="text1"/>
          <w:sz w:val="24"/>
          <w:szCs w:val="24"/>
        </w:rPr>
        <w:t>field tests</w:t>
      </w:r>
      <w:r w:rsidR="0010118C" w:rsidRPr="002B3D8A">
        <w:rPr>
          <w:rFonts w:ascii="Arial" w:eastAsia="Calibri" w:hAnsi="Arial" w:cs="Arial"/>
          <w:color w:val="000000" w:themeColor="text1"/>
          <w:sz w:val="24"/>
          <w:szCs w:val="24"/>
        </w:rPr>
        <w:t xml:space="preserve"> to evaluate the sensitivity of the</w:t>
      </w:r>
      <w:r w:rsidR="0010118C" w:rsidRPr="002B3D8A">
        <w:rPr>
          <w:rFonts w:ascii="Arial" w:eastAsia="Calibri" w:hAnsi="Arial" w:cs="Arial"/>
          <w:i/>
          <w:color w:val="000000" w:themeColor="text1"/>
          <w:sz w:val="24"/>
          <w:szCs w:val="24"/>
        </w:rPr>
        <w:t xml:space="preserve"> </w:t>
      </w:r>
      <w:bookmarkStart w:id="17" w:name="_Hlk77760548"/>
      <w:r w:rsidR="0010118C" w:rsidRPr="002B3D8A">
        <w:rPr>
          <w:rFonts w:ascii="Arial" w:eastAsia="Calibri" w:hAnsi="Arial" w:cs="Arial"/>
          <w:i/>
          <w:color w:val="000000" w:themeColor="text1"/>
          <w:sz w:val="24"/>
          <w:szCs w:val="24"/>
        </w:rPr>
        <w:t>Paratrichodorus</w:t>
      </w:r>
      <w:r w:rsidR="0010118C" w:rsidRPr="002B3D8A">
        <w:rPr>
          <w:rFonts w:ascii="Arial" w:eastAsia="Calibri" w:hAnsi="Arial" w:cs="Arial"/>
          <w:color w:val="000000" w:themeColor="text1"/>
          <w:sz w:val="24"/>
          <w:szCs w:val="24"/>
        </w:rPr>
        <w:t xml:space="preserve"> </w:t>
      </w:r>
      <w:bookmarkEnd w:id="17"/>
      <w:r w:rsidR="0010118C" w:rsidRPr="002B3D8A">
        <w:rPr>
          <w:rFonts w:ascii="Arial" w:eastAsia="Calibri" w:hAnsi="Arial" w:cs="Arial"/>
          <w:color w:val="000000" w:themeColor="text1"/>
          <w:sz w:val="24"/>
          <w:szCs w:val="24"/>
        </w:rPr>
        <w:t>spp</w:t>
      </w:r>
      <w:r w:rsidR="00EE5200" w:rsidRPr="002B3D8A">
        <w:rPr>
          <w:rFonts w:ascii="Arial" w:eastAsia="Calibri" w:hAnsi="Arial" w:cs="Arial"/>
          <w:color w:val="000000" w:themeColor="text1"/>
          <w:sz w:val="24"/>
          <w:szCs w:val="24"/>
        </w:rPr>
        <w:t xml:space="preserve"> by </w:t>
      </w:r>
      <w:r w:rsidR="00FE0D25" w:rsidRPr="002B3D8A">
        <w:rPr>
          <w:rFonts w:ascii="Arial" w:eastAsia="Calibri" w:hAnsi="Arial" w:cs="Arial"/>
          <w:color w:val="000000" w:themeColor="text1"/>
          <w:sz w:val="24"/>
          <w:szCs w:val="24"/>
        </w:rPr>
        <w:t xml:space="preserve">artificial </w:t>
      </w:r>
      <w:r w:rsidR="00EE5200" w:rsidRPr="002B3D8A">
        <w:rPr>
          <w:rFonts w:ascii="Arial" w:eastAsia="Calibri" w:hAnsi="Arial" w:cs="Arial"/>
          <w:color w:val="000000" w:themeColor="text1"/>
          <w:sz w:val="24"/>
          <w:szCs w:val="24"/>
        </w:rPr>
        <w:t>application of cupric and manganous sulphate</w:t>
      </w:r>
      <w:r w:rsidR="0010118C" w:rsidRPr="002B3D8A">
        <w:rPr>
          <w:rFonts w:ascii="Arial" w:eastAsia="Calibri" w:hAnsi="Arial" w:cs="Arial"/>
          <w:color w:val="000000" w:themeColor="text1"/>
          <w:sz w:val="24"/>
          <w:szCs w:val="24"/>
        </w:rPr>
        <w:t>, did not reduce the densities of</w:t>
      </w:r>
      <w:r w:rsidR="0010118C" w:rsidRPr="002B3D8A">
        <w:rPr>
          <w:rFonts w:ascii="Arial" w:eastAsia="Calibri" w:hAnsi="Arial" w:cs="Arial"/>
          <w:i/>
          <w:color w:val="000000" w:themeColor="text1"/>
          <w:sz w:val="24"/>
          <w:szCs w:val="24"/>
        </w:rPr>
        <w:t xml:space="preserve"> Paratrichodorus spp</w:t>
      </w:r>
      <w:r w:rsidR="0010118C" w:rsidRPr="002B3D8A">
        <w:rPr>
          <w:rFonts w:ascii="Arial" w:eastAsia="Calibri" w:hAnsi="Arial" w:cs="Arial"/>
          <w:color w:val="000000" w:themeColor="text1"/>
          <w:sz w:val="24"/>
          <w:szCs w:val="24"/>
        </w:rPr>
        <w:t xml:space="preserve"> after 16 months of application </w:t>
      </w:r>
      <w:r w:rsidR="0010118C" w:rsidRPr="002B3D8A">
        <w:rPr>
          <w:rFonts w:ascii="Arial" w:eastAsia="Calibri" w:hAnsi="Arial" w:cs="Arial"/>
          <w:color w:val="000000" w:themeColor="text1"/>
          <w:sz w:val="24"/>
          <w:szCs w:val="24"/>
        </w:rPr>
        <w:fldChar w:fldCharType="begin" w:fldLock="1"/>
      </w:r>
      <w:r w:rsidR="0010118C" w:rsidRPr="002B3D8A">
        <w:rPr>
          <w:rFonts w:ascii="Arial" w:eastAsia="Calibri" w:hAnsi="Arial" w:cs="Arial"/>
          <w:color w:val="000000" w:themeColor="text1"/>
          <w:sz w:val="24"/>
          <w:szCs w:val="24"/>
        </w:rPr>
        <w:instrText>ADDIN CSL_CITATION {"citationItems":[{"id":"ITEM-1","itemData":{"DOI":"10.1111/j.1365-3059.1971.tb00510.x","ISSN":"13653059","abstract":"Tobacco rattle virus (TRV) was transmitted from tubers of 13 out of 15 potato cultivars with spraing (20/22 stocks tested) and cucumber bait seedlings became infected with the virus when grown in soil from all the fields where crops had become affected with spraing. Trichodorus pachydermus Seinhorst and/or T. primitivus (de Man) occurred in all 106 TRV</w:instrText>
      </w:r>
      <w:r w:rsidR="0010118C" w:rsidRPr="002B3D8A">
        <w:rPr>
          <w:rFonts w:ascii="Cambria Math" w:eastAsia="Calibri" w:hAnsi="Cambria Math" w:cs="Cambria Math"/>
          <w:color w:val="000000" w:themeColor="text1"/>
          <w:sz w:val="24"/>
          <w:szCs w:val="24"/>
        </w:rPr>
        <w:instrText>‐</w:instrText>
      </w:r>
      <w:r w:rsidR="0010118C" w:rsidRPr="002B3D8A">
        <w:rPr>
          <w:rFonts w:ascii="Arial" w:eastAsia="Calibri" w:hAnsi="Arial" w:cs="Arial"/>
          <w:color w:val="000000" w:themeColor="text1"/>
          <w:sz w:val="24"/>
          <w:szCs w:val="24"/>
        </w:rPr>
        <w:instrText>infested soils examined; in addition, T. nanus Allen was found in five, T. cylindricus Hooper in two and an unidentified species in one TRV</w:instrText>
      </w:r>
      <w:r w:rsidR="0010118C" w:rsidRPr="002B3D8A">
        <w:rPr>
          <w:rFonts w:ascii="Cambria Math" w:eastAsia="Calibri" w:hAnsi="Cambria Math" w:cs="Cambria Math"/>
          <w:color w:val="000000" w:themeColor="text1"/>
          <w:sz w:val="24"/>
          <w:szCs w:val="24"/>
        </w:rPr>
        <w:instrText>‐</w:instrText>
      </w:r>
      <w:r w:rsidR="0010118C" w:rsidRPr="002B3D8A">
        <w:rPr>
          <w:rFonts w:ascii="Arial" w:eastAsia="Calibri" w:hAnsi="Arial" w:cs="Arial"/>
          <w:color w:val="000000" w:themeColor="text1"/>
          <w:sz w:val="24"/>
          <w:szCs w:val="24"/>
        </w:rPr>
        <w:instrText>infested soil. TRV is considered to be the major cause of potato spraing in Scotland, and T. pachydermus and T. primitivus to be the main vectors. TRV occurred in 106 out of 153 (68 per cent) freely drained podsols derived from fluvioglacial, raised beach, till, alluvial or sand</w:instrText>
      </w:r>
      <w:r w:rsidR="0010118C" w:rsidRPr="002B3D8A">
        <w:rPr>
          <w:rFonts w:ascii="Cambria Math" w:eastAsia="Calibri" w:hAnsi="Cambria Math" w:cs="Cambria Math"/>
          <w:color w:val="000000" w:themeColor="text1"/>
          <w:sz w:val="24"/>
          <w:szCs w:val="24"/>
        </w:rPr>
        <w:instrText>‐</w:instrText>
      </w:r>
      <w:r w:rsidR="0010118C" w:rsidRPr="002B3D8A">
        <w:rPr>
          <w:rFonts w:ascii="Arial" w:eastAsia="Calibri" w:hAnsi="Arial" w:cs="Arial"/>
          <w:color w:val="000000" w:themeColor="text1"/>
          <w:sz w:val="24"/>
          <w:szCs w:val="24"/>
        </w:rPr>
        <w:instrText>dune deposits but was not found on heavy, badly drained soils. About 12 per cent of Scotland's potato acreage is estimated to be on TRV</w:instrText>
      </w:r>
      <w:r w:rsidR="0010118C" w:rsidRPr="002B3D8A">
        <w:rPr>
          <w:rFonts w:ascii="Cambria Math" w:eastAsia="Calibri" w:hAnsi="Cambria Math" w:cs="Cambria Math"/>
          <w:color w:val="000000" w:themeColor="text1"/>
          <w:sz w:val="24"/>
          <w:szCs w:val="24"/>
        </w:rPr>
        <w:instrText>‐</w:instrText>
      </w:r>
      <w:r w:rsidR="0010118C" w:rsidRPr="002B3D8A">
        <w:rPr>
          <w:rFonts w:ascii="Arial" w:eastAsia="Calibri" w:hAnsi="Arial" w:cs="Arial"/>
          <w:color w:val="000000" w:themeColor="text1"/>
          <w:sz w:val="24"/>
          <w:szCs w:val="24"/>
        </w:rPr>
        <w:instrText>infested soil and 15–20 per cent of the total arable acreage is probably infested with Trichodorus spp. Many of the soils infested with Trichodorus spp. are inherently deficient in copper and manganese. In laboratory experiments, solutions of cupric sulphate (16 p.p.m. Cu) were toxic to T. pachydermus, T. primitivus and T. cylindricus but not to a mixture of other saprozoic and stylet</w:instrText>
      </w:r>
      <w:r w:rsidR="0010118C" w:rsidRPr="002B3D8A">
        <w:rPr>
          <w:rFonts w:ascii="Cambria Math" w:eastAsia="Calibri" w:hAnsi="Cambria Math" w:cs="Cambria Math"/>
          <w:color w:val="000000" w:themeColor="text1"/>
          <w:sz w:val="24"/>
          <w:szCs w:val="24"/>
        </w:rPr>
        <w:instrText>‐</w:instrText>
      </w:r>
      <w:r w:rsidR="0010118C" w:rsidRPr="002B3D8A">
        <w:rPr>
          <w:rFonts w:ascii="Arial" w:eastAsia="Calibri" w:hAnsi="Arial" w:cs="Arial"/>
          <w:color w:val="000000" w:themeColor="text1"/>
          <w:sz w:val="24"/>
          <w:szCs w:val="24"/>
        </w:rPr>
        <w:instrText>bearing nematodes from a Trichodorus infested soil. Copyright © 1971, Wiley Blackwell. All rights reserved","author":[{"dropping-particle":"","family":"Cooper","given":"J. I.","non-dropping-particle":"","parse-names":false,"suffix":""}],"container-title":"Plant Pathology","id":"ITEM-1","issue":"2","issued":{"date-parts":[["1971"]]},"page":"51-58","title":"The Distribution in Scotland of Tobacco Rattle Virus and its Nematode Vectors in Relation to Soil Type","type":"article-journal","volume":"20"},"uris":["http://www.mendeley.com/documents/?uuid=c2cd7cd1-28fe-3b73-8108-6235e396d616"]}],"mendeley":{"formattedCitation":"(Cooper, 1971)","plainTextFormattedCitation":"(Cooper, 1971)","previouslyFormattedCitation":"(Cooper, 1971)"},"properties":{"noteIndex":0},"schema":"https://github.com/citation-style-language/schema/raw/master/csl-citation.json"}</w:instrText>
      </w:r>
      <w:r w:rsidR="0010118C" w:rsidRPr="002B3D8A">
        <w:rPr>
          <w:rFonts w:ascii="Arial" w:eastAsia="Calibri" w:hAnsi="Arial" w:cs="Arial"/>
          <w:color w:val="000000" w:themeColor="text1"/>
          <w:sz w:val="24"/>
          <w:szCs w:val="24"/>
        </w:rPr>
        <w:fldChar w:fldCharType="separate"/>
      </w:r>
      <w:r w:rsidR="0010118C" w:rsidRPr="002B3D8A">
        <w:rPr>
          <w:rFonts w:ascii="Arial" w:eastAsia="Calibri" w:hAnsi="Arial" w:cs="Arial"/>
          <w:noProof/>
          <w:color w:val="000000" w:themeColor="text1"/>
          <w:sz w:val="24"/>
          <w:szCs w:val="24"/>
        </w:rPr>
        <w:t>(Cooper, 1971)</w:t>
      </w:r>
      <w:r w:rsidR="0010118C" w:rsidRPr="002B3D8A">
        <w:rPr>
          <w:rFonts w:ascii="Arial" w:eastAsia="Calibri" w:hAnsi="Arial" w:cs="Arial"/>
          <w:color w:val="000000" w:themeColor="text1"/>
          <w:sz w:val="24"/>
          <w:szCs w:val="24"/>
        </w:rPr>
        <w:fldChar w:fldCharType="end"/>
      </w:r>
      <w:r w:rsidR="009D586E" w:rsidRPr="002B3D8A">
        <w:rPr>
          <w:rFonts w:ascii="Arial" w:eastAsia="Calibri" w:hAnsi="Arial" w:cs="Arial"/>
          <w:color w:val="000000" w:themeColor="text1"/>
          <w:sz w:val="24"/>
          <w:szCs w:val="24"/>
        </w:rPr>
        <w:t xml:space="preserve">. </w:t>
      </w:r>
    </w:p>
    <w:p w14:paraId="79D066E4" w14:textId="1DD16D8D" w:rsidR="00081D06" w:rsidRPr="002B3D8A" w:rsidRDefault="001A0616" w:rsidP="004A7DDE">
      <w:pPr>
        <w:pStyle w:val="Heading3"/>
        <w:spacing w:line="360" w:lineRule="auto"/>
        <w:rPr>
          <w:rFonts w:ascii="Arial" w:eastAsia="Calibri" w:hAnsi="Arial" w:cs="Arial"/>
          <w:b/>
          <w:color w:val="000000" w:themeColor="text1"/>
          <w:sz w:val="24"/>
          <w:szCs w:val="24"/>
        </w:rPr>
      </w:pPr>
      <w:bookmarkStart w:id="18" w:name="_Toc110341278"/>
      <w:r w:rsidRPr="002B3D8A">
        <w:rPr>
          <w:rFonts w:ascii="Arial" w:eastAsia="Calibri" w:hAnsi="Arial" w:cs="Arial"/>
          <w:b/>
          <w:color w:val="000000" w:themeColor="text1"/>
          <w:sz w:val="24"/>
          <w:szCs w:val="24"/>
        </w:rPr>
        <w:lastRenderedPageBreak/>
        <w:t>1.2.</w:t>
      </w:r>
      <w:r w:rsidR="00F52458">
        <w:rPr>
          <w:rFonts w:ascii="Arial" w:eastAsia="Calibri" w:hAnsi="Arial" w:cs="Arial"/>
          <w:b/>
          <w:color w:val="000000" w:themeColor="text1"/>
          <w:sz w:val="24"/>
          <w:szCs w:val="24"/>
        </w:rPr>
        <w:t>6</w:t>
      </w:r>
      <w:r w:rsidR="00AA6D77" w:rsidRPr="002B3D8A">
        <w:rPr>
          <w:rFonts w:ascii="Arial" w:eastAsia="Calibri" w:hAnsi="Arial" w:cs="Arial"/>
          <w:b/>
          <w:color w:val="000000" w:themeColor="text1"/>
          <w:sz w:val="24"/>
          <w:szCs w:val="24"/>
        </w:rPr>
        <w:t xml:space="preserve">. </w:t>
      </w:r>
      <w:r w:rsidR="00081D06" w:rsidRPr="002B3D8A">
        <w:rPr>
          <w:rFonts w:ascii="Arial" w:eastAsia="Calibri" w:hAnsi="Arial" w:cs="Arial"/>
          <w:b/>
          <w:color w:val="000000" w:themeColor="text1"/>
          <w:sz w:val="24"/>
          <w:szCs w:val="24"/>
        </w:rPr>
        <w:t>Host range</w:t>
      </w:r>
      <w:bookmarkEnd w:id="18"/>
      <w:r w:rsidR="00081D06" w:rsidRPr="002B3D8A">
        <w:rPr>
          <w:rFonts w:ascii="Arial" w:eastAsia="Calibri" w:hAnsi="Arial" w:cs="Arial"/>
          <w:b/>
          <w:color w:val="000000" w:themeColor="text1"/>
          <w:sz w:val="24"/>
          <w:szCs w:val="24"/>
        </w:rPr>
        <w:t xml:space="preserve"> </w:t>
      </w:r>
    </w:p>
    <w:p w14:paraId="3D415EFE" w14:textId="16533073" w:rsidR="00B77DDD" w:rsidRDefault="00081D06" w:rsidP="00616CDC">
      <w:pPr>
        <w:spacing w:line="360" w:lineRule="auto"/>
        <w:ind w:left="-284"/>
        <w:jc w:val="both"/>
        <w:rPr>
          <w:rFonts w:ascii="Arial" w:eastAsia="Calibri" w:hAnsi="Arial" w:cs="Arial"/>
          <w:color w:val="000000" w:themeColor="text1"/>
          <w:sz w:val="24"/>
          <w:szCs w:val="24"/>
        </w:rPr>
      </w:pPr>
      <w:r w:rsidRPr="002B3D8A">
        <w:rPr>
          <w:rFonts w:ascii="Arial" w:eastAsia="Calibri" w:hAnsi="Arial" w:cs="Arial"/>
          <w:color w:val="000000" w:themeColor="text1"/>
          <w:sz w:val="24"/>
          <w:szCs w:val="24"/>
        </w:rPr>
        <w:t>The family Trichodoridae</w:t>
      </w:r>
      <w:r w:rsidRPr="6AC1B2C3">
        <w:rPr>
          <w:rFonts w:ascii="Arial" w:eastAsia="Calibri" w:hAnsi="Arial" w:cs="Arial"/>
          <w:i/>
          <w:iCs/>
          <w:color w:val="000000" w:themeColor="text1"/>
          <w:sz w:val="24"/>
          <w:szCs w:val="24"/>
        </w:rPr>
        <w:t xml:space="preserve"> </w:t>
      </w:r>
      <w:r w:rsidRPr="002B3D8A">
        <w:rPr>
          <w:rFonts w:ascii="Arial" w:eastAsia="Calibri" w:hAnsi="Arial" w:cs="Arial"/>
          <w:color w:val="000000" w:themeColor="text1"/>
          <w:sz w:val="24"/>
          <w:szCs w:val="24"/>
        </w:rPr>
        <w:t xml:space="preserve">has a wide host range attacking crops in diverse plant families. Host preference varies </w:t>
      </w:r>
      <w:r w:rsidR="00463314">
        <w:rPr>
          <w:rFonts w:ascii="Arial" w:eastAsia="Calibri" w:hAnsi="Arial" w:cs="Arial"/>
          <w:color w:val="000000" w:themeColor="text1"/>
          <w:sz w:val="24"/>
          <w:szCs w:val="24"/>
        </w:rPr>
        <w:t>for</w:t>
      </w:r>
      <w:r w:rsidR="00463314"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 xml:space="preserve">different </w:t>
      </w:r>
      <w:r w:rsidRPr="6AC1B2C3">
        <w:rPr>
          <w:rFonts w:ascii="Arial" w:eastAsia="Calibri" w:hAnsi="Arial" w:cs="Arial"/>
          <w:i/>
          <w:iCs/>
          <w:color w:val="000000" w:themeColor="text1"/>
          <w:sz w:val="24"/>
          <w:szCs w:val="24"/>
        </w:rPr>
        <w:t>Trichodorus</w:t>
      </w:r>
      <w:r w:rsidRPr="002B3D8A">
        <w:rPr>
          <w:rFonts w:ascii="Arial" w:eastAsia="Calibri" w:hAnsi="Arial" w:cs="Arial"/>
          <w:color w:val="000000" w:themeColor="text1"/>
          <w:sz w:val="24"/>
          <w:szCs w:val="24"/>
        </w:rPr>
        <w:t xml:space="preserve"> and</w:t>
      </w:r>
      <w:r w:rsidRPr="6AC1B2C3">
        <w:rPr>
          <w:rFonts w:ascii="Arial" w:eastAsia="Calibri" w:hAnsi="Arial" w:cs="Arial"/>
          <w:i/>
          <w:iCs/>
          <w:color w:val="000000" w:themeColor="text1"/>
          <w:sz w:val="24"/>
          <w:szCs w:val="24"/>
        </w:rPr>
        <w:t xml:space="preserve"> Paratrichodorus </w:t>
      </w:r>
      <w:r w:rsidRPr="002B3D8A">
        <w:rPr>
          <w:rFonts w:ascii="Arial" w:eastAsia="Calibri" w:hAnsi="Arial" w:cs="Arial"/>
          <w:color w:val="000000" w:themeColor="text1"/>
          <w:sz w:val="24"/>
          <w:szCs w:val="24"/>
        </w:rPr>
        <w:t xml:space="preserve">spp. </w:t>
      </w:r>
      <w:r w:rsidR="00463314">
        <w:rPr>
          <w:rFonts w:ascii="Arial" w:eastAsia="Calibri" w:hAnsi="Arial" w:cs="Arial"/>
          <w:color w:val="000000" w:themeColor="text1"/>
          <w:sz w:val="24"/>
          <w:szCs w:val="24"/>
        </w:rPr>
        <w:t>Overall,</w:t>
      </w:r>
      <w:r w:rsidRPr="002B3D8A">
        <w:rPr>
          <w:rFonts w:ascii="Arial" w:eastAsia="Calibri" w:hAnsi="Arial" w:cs="Arial"/>
          <w:color w:val="000000" w:themeColor="text1"/>
          <w:sz w:val="24"/>
          <w:szCs w:val="24"/>
        </w:rPr>
        <w:t xml:space="preserve"> </w:t>
      </w:r>
      <w:r w:rsidR="00721E88" w:rsidRPr="002B3D8A">
        <w:rPr>
          <w:rFonts w:ascii="Arial" w:eastAsia="Calibri" w:hAnsi="Arial" w:cs="Arial"/>
          <w:color w:val="000000" w:themeColor="text1"/>
          <w:sz w:val="24"/>
          <w:szCs w:val="24"/>
        </w:rPr>
        <w:t>t</w:t>
      </w:r>
      <w:r w:rsidRPr="002B3D8A">
        <w:rPr>
          <w:rFonts w:ascii="Arial" w:eastAsia="Calibri" w:hAnsi="Arial" w:cs="Arial"/>
          <w:color w:val="000000" w:themeColor="text1"/>
          <w:sz w:val="24"/>
          <w:szCs w:val="24"/>
        </w:rPr>
        <w:t>richodorids appear to have a wide host range,</w:t>
      </w:r>
      <w:r w:rsidR="00463314">
        <w:rPr>
          <w:rFonts w:ascii="Arial" w:eastAsia="Calibri" w:hAnsi="Arial" w:cs="Arial"/>
          <w:color w:val="000000" w:themeColor="text1"/>
          <w:sz w:val="24"/>
          <w:szCs w:val="24"/>
        </w:rPr>
        <w:t xml:space="preserve"> with</w:t>
      </w:r>
      <w:r w:rsidRPr="002B3D8A">
        <w:rPr>
          <w:rFonts w:ascii="Arial" w:eastAsia="Calibri" w:hAnsi="Arial" w:cs="Arial"/>
          <w:color w:val="000000" w:themeColor="text1"/>
          <w:sz w:val="24"/>
          <w:szCs w:val="24"/>
        </w:rPr>
        <w:t xml:space="preserve"> densities </w:t>
      </w:r>
      <w:r w:rsidR="00463314">
        <w:rPr>
          <w:rFonts w:ascii="Arial" w:eastAsia="Calibri" w:hAnsi="Arial" w:cs="Arial"/>
          <w:color w:val="000000" w:themeColor="text1"/>
          <w:sz w:val="24"/>
          <w:szCs w:val="24"/>
        </w:rPr>
        <w:t>being</w:t>
      </w:r>
      <w:r w:rsidR="00463314"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 xml:space="preserve">considerably influenced by cropping, this is because </w:t>
      </w:r>
      <w:r w:rsidR="00EC5D71">
        <w:rPr>
          <w:rFonts w:ascii="Arial" w:eastAsia="Calibri" w:hAnsi="Arial" w:cs="Arial"/>
          <w:color w:val="000000" w:themeColor="text1"/>
          <w:sz w:val="24"/>
          <w:szCs w:val="24"/>
        </w:rPr>
        <w:t xml:space="preserve">nematode </w:t>
      </w:r>
      <w:r w:rsidRPr="002B3D8A">
        <w:rPr>
          <w:rFonts w:ascii="Arial" w:eastAsia="Calibri" w:hAnsi="Arial" w:cs="Arial"/>
          <w:color w:val="000000" w:themeColor="text1"/>
          <w:sz w:val="24"/>
          <w:szCs w:val="24"/>
        </w:rPr>
        <w:t>numbers in the soil prior to planting a crop may result from the previous crop or sequence of crops in a rotation</w:t>
      </w:r>
      <w:r w:rsidR="00EC5D71">
        <w:rPr>
          <w:rFonts w:ascii="Arial" w:eastAsia="Calibri" w:hAnsi="Arial" w:cs="Arial"/>
          <w:color w:val="000000" w:themeColor="text1"/>
          <w:sz w:val="24"/>
          <w:szCs w:val="24"/>
        </w:rPr>
        <w:t xml:space="preserve"> which might have been good hosts hence proliferating the densities</w:t>
      </w:r>
      <w:r w:rsidR="008F1D03">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Knowledge of species present and the host status of the crops in the rotation can therefore assist in maximizing the yields of susceptible crops. In a series of rotations testing the effects of Bermuda grass or bahia (</w:t>
      </w:r>
      <w:r w:rsidRPr="6AC1B2C3">
        <w:rPr>
          <w:rFonts w:ascii="Arial" w:eastAsia="Calibri" w:hAnsi="Arial" w:cs="Arial"/>
          <w:i/>
          <w:iCs/>
          <w:color w:val="000000" w:themeColor="text1"/>
          <w:sz w:val="24"/>
          <w:szCs w:val="24"/>
        </w:rPr>
        <w:t>Paspalum notatum</w:t>
      </w:r>
      <w:r w:rsidRPr="002B3D8A">
        <w:rPr>
          <w:rFonts w:ascii="Arial" w:eastAsia="Calibri" w:hAnsi="Arial" w:cs="Arial"/>
          <w:color w:val="000000" w:themeColor="text1"/>
          <w:sz w:val="24"/>
          <w:szCs w:val="24"/>
        </w:rPr>
        <w:t xml:space="preserve">), </w:t>
      </w:r>
      <w:r w:rsidRPr="6AC1B2C3">
        <w:rPr>
          <w:rFonts w:ascii="Arial" w:eastAsia="Calibri" w:hAnsi="Arial" w:cs="Arial"/>
          <w:i/>
          <w:iCs/>
          <w:color w:val="000000" w:themeColor="text1"/>
          <w:sz w:val="24"/>
          <w:szCs w:val="24"/>
        </w:rPr>
        <w:t>Paratrichodorus christiei</w:t>
      </w:r>
      <w:r w:rsidRPr="002B3D8A">
        <w:rPr>
          <w:rFonts w:ascii="Arial" w:eastAsia="Calibri" w:hAnsi="Arial" w:cs="Arial"/>
          <w:color w:val="000000" w:themeColor="text1"/>
          <w:sz w:val="24"/>
          <w:szCs w:val="24"/>
        </w:rPr>
        <w:t xml:space="preserve"> was slightly favoured by a continuous row-crop (cotton-maize-peanut) rotation </w:t>
      </w:r>
      <w:r w:rsidRPr="00C01FEC">
        <w:rPr>
          <w:rFonts w:ascii="Arial" w:eastAsia="Calibri" w:hAnsi="Arial" w:cs="Arial"/>
          <w:color w:val="000000" w:themeColor="text1"/>
          <w:sz w:val="24"/>
          <w:szCs w:val="24"/>
        </w:rPr>
        <w:t>where cotton</w:t>
      </w:r>
      <w:r w:rsidR="00EC5D71">
        <w:rPr>
          <w:rFonts w:ascii="Arial" w:eastAsia="Calibri" w:hAnsi="Arial" w:cs="Arial"/>
          <w:color w:val="000000" w:themeColor="text1"/>
          <w:sz w:val="24"/>
          <w:szCs w:val="24"/>
        </w:rPr>
        <w:t xml:space="preserve"> </w:t>
      </w:r>
      <w:r w:rsidR="00EC5D71" w:rsidRPr="00616CDC">
        <w:rPr>
          <w:rStyle w:val="Heading1Char"/>
          <w:rFonts w:ascii="Arial" w:hAnsi="Arial" w:cs="Arial"/>
          <w:color w:val="000000" w:themeColor="text1"/>
          <w:sz w:val="24"/>
          <w:szCs w:val="24"/>
          <w:shd w:val="clear" w:color="auto" w:fill="FFFFFF"/>
        </w:rPr>
        <w:t>(</w:t>
      </w:r>
      <w:r w:rsidR="00EC5D71" w:rsidRPr="6AC1B2C3">
        <w:rPr>
          <w:rStyle w:val="Emphasis"/>
          <w:rFonts w:ascii="Arial" w:hAnsi="Arial" w:cs="Arial"/>
          <w:color w:val="000000" w:themeColor="text1"/>
          <w:sz w:val="24"/>
          <w:szCs w:val="24"/>
          <w:shd w:val="clear" w:color="auto" w:fill="FFFFFF"/>
        </w:rPr>
        <w:t>Gossypium</w:t>
      </w:r>
      <w:r w:rsidR="00EC5D71" w:rsidRPr="00EC5D71">
        <w:rPr>
          <w:rFonts w:ascii="Arial" w:hAnsi="Arial" w:cs="Arial"/>
          <w:color w:val="000000" w:themeColor="text1"/>
          <w:sz w:val="24"/>
          <w:szCs w:val="24"/>
          <w:shd w:val="clear" w:color="auto" w:fill="FFFFFF"/>
        </w:rPr>
        <w:t xml:space="preserve"> </w:t>
      </w:r>
      <w:proofErr w:type="spellStart"/>
      <w:r w:rsidR="00EC5D71" w:rsidRPr="00EC5D71">
        <w:rPr>
          <w:rFonts w:ascii="Arial" w:hAnsi="Arial" w:cs="Arial"/>
          <w:color w:val="000000" w:themeColor="text1"/>
          <w:sz w:val="24"/>
          <w:szCs w:val="24"/>
          <w:shd w:val="clear" w:color="auto" w:fill="FFFFFF"/>
        </w:rPr>
        <w:t>herbaceum</w:t>
      </w:r>
      <w:proofErr w:type="spellEnd"/>
      <w:r w:rsidR="00EC5D71" w:rsidRPr="00EC5D71">
        <w:rPr>
          <w:rFonts w:ascii="Arial" w:hAnsi="Arial" w:cs="Arial"/>
          <w:color w:val="000000" w:themeColor="text1"/>
          <w:sz w:val="24"/>
          <w:szCs w:val="24"/>
          <w:shd w:val="clear" w:color="auto" w:fill="FFFFFF"/>
        </w:rPr>
        <w:t xml:space="preserve"> Linnaeus</w:t>
      </w:r>
      <w:r w:rsidR="00EC5D71" w:rsidRPr="00EC5D71">
        <w:rPr>
          <w:rFonts w:ascii="Arial" w:eastAsia="Calibri" w:hAnsi="Arial" w:cs="Arial"/>
          <w:color w:val="000000" w:themeColor="text1"/>
          <w:sz w:val="24"/>
          <w:szCs w:val="24"/>
        </w:rPr>
        <w:t>)</w:t>
      </w:r>
      <w:r w:rsidR="00EC5D71">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and maize (</w:t>
      </w:r>
      <w:r w:rsidRPr="6AC1B2C3">
        <w:rPr>
          <w:rFonts w:ascii="Arial" w:eastAsia="Calibri" w:hAnsi="Arial" w:cs="Arial"/>
          <w:i/>
          <w:iCs/>
          <w:color w:val="000000" w:themeColor="text1"/>
          <w:sz w:val="24"/>
          <w:szCs w:val="24"/>
        </w:rPr>
        <w:t>Zea may</w:t>
      </w:r>
      <w:r w:rsidR="00B77DDD" w:rsidRPr="6AC1B2C3">
        <w:rPr>
          <w:rFonts w:ascii="Arial" w:eastAsia="Calibri" w:hAnsi="Arial" w:cs="Arial"/>
          <w:i/>
          <w:iCs/>
          <w:color w:val="000000" w:themeColor="text1"/>
          <w:sz w:val="24"/>
          <w:szCs w:val="24"/>
        </w:rPr>
        <w:t>s</w:t>
      </w:r>
      <w:r w:rsidRPr="002B3D8A">
        <w:rPr>
          <w:rFonts w:ascii="Arial" w:eastAsia="Calibri" w:hAnsi="Arial" w:cs="Arial"/>
          <w:color w:val="000000" w:themeColor="text1"/>
          <w:sz w:val="24"/>
          <w:szCs w:val="24"/>
        </w:rPr>
        <w:t>) increased numbers while peanut (</w:t>
      </w:r>
      <w:r w:rsidRPr="6AC1B2C3">
        <w:rPr>
          <w:rFonts w:ascii="Arial" w:eastAsia="Calibri" w:hAnsi="Arial" w:cs="Arial"/>
          <w:i/>
          <w:iCs/>
          <w:color w:val="000000" w:themeColor="text1"/>
          <w:sz w:val="24"/>
          <w:szCs w:val="24"/>
        </w:rPr>
        <w:t>Arachis hypogea</w:t>
      </w:r>
      <w:r w:rsidRPr="002B3D8A">
        <w:rPr>
          <w:rFonts w:ascii="Arial" w:eastAsia="Calibri" w:hAnsi="Arial" w:cs="Arial"/>
          <w:color w:val="000000" w:themeColor="text1"/>
          <w:sz w:val="24"/>
          <w:szCs w:val="24"/>
        </w:rPr>
        <w:t>) supressed the densities. Low densities were recorded in a rotation sequence where cotton and maize did not follow each other after a grass ley. Susceptibility of hosts often differs depending on the species attacking and variations even in species from different populations have been observed. In a host range experiment</w:t>
      </w:r>
      <w:r w:rsidR="00BD5500">
        <w:rPr>
          <w:rFonts w:ascii="Arial" w:eastAsia="Calibri" w:hAnsi="Arial" w:cs="Arial"/>
          <w:color w:val="000000" w:themeColor="text1"/>
          <w:sz w:val="24"/>
          <w:szCs w:val="24"/>
        </w:rPr>
        <w:t>,</w:t>
      </w:r>
      <w:r w:rsidRPr="002B3D8A">
        <w:rPr>
          <w:rFonts w:ascii="Arial" w:eastAsia="Calibri" w:hAnsi="Arial" w:cs="Arial"/>
          <w:color w:val="000000" w:themeColor="text1"/>
          <w:sz w:val="24"/>
          <w:szCs w:val="24"/>
        </w:rPr>
        <w:t xml:space="preserve"> </w:t>
      </w:r>
      <w:r w:rsidR="00ED1351" w:rsidRPr="002B3D8A">
        <w:rPr>
          <w:rFonts w:ascii="Arial" w:eastAsia="Calibri" w:hAnsi="Arial" w:cs="Arial"/>
          <w:color w:val="000000" w:themeColor="text1"/>
          <w:sz w:val="24"/>
          <w:szCs w:val="24"/>
        </w:rPr>
        <w:t>peas and spinach were rated as good hosts</w:t>
      </w:r>
      <w:r w:rsidR="00ED1351">
        <w:rPr>
          <w:rFonts w:ascii="Arial" w:eastAsia="Calibri" w:hAnsi="Arial" w:cs="Arial"/>
          <w:color w:val="000000" w:themeColor="text1"/>
          <w:sz w:val="24"/>
          <w:szCs w:val="24"/>
        </w:rPr>
        <w:t xml:space="preserve"> for</w:t>
      </w:r>
      <w:r w:rsidR="00ED1351" w:rsidRPr="6AC1B2C3">
        <w:rPr>
          <w:rFonts w:ascii="Arial" w:eastAsia="Calibri" w:hAnsi="Arial" w:cs="Arial"/>
          <w:i/>
          <w:iCs/>
          <w:color w:val="000000" w:themeColor="text1"/>
          <w:sz w:val="24"/>
          <w:szCs w:val="24"/>
        </w:rPr>
        <w:t xml:space="preserve"> </w:t>
      </w:r>
      <w:r w:rsidRPr="6AC1B2C3">
        <w:rPr>
          <w:rFonts w:ascii="Arial" w:eastAsia="Calibri" w:hAnsi="Arial" w:cs="Arial"/>
          <w:i/>
          <w:iCs/>
          <w:color w:val="000000" w:themeColor="text1"/>
          <w:sz w:val="24"/>
          <w:szCs w:val="24"/>
        </w:rPr>
        <w:t>Trichodorus christie</w:t>
      </w:r>
      <w:r w:rsidRPr="002B3D8A">
        <w:rPr>
          <w:rFonts w:ascii="Arial" w:eastAsia="Calibri" w:hAnsi="Arial" w:cs="Arial"/>
          <w:color w:val="000000" w:themeColor="text1"/>
          <w:sz w:val="24"/>
          <w:szCs w:val="24"/>
        </w:rPr>
        <w:t xml:space="preserve"> (Riveside isolate)</w:t>
      </w:r>
      <w:r w:rsidR="00463314">
        <w:rPr>
          <w:rFonts w:ascii="Arial" w:eastAsia="Calibri" w:hAnsi="Arial" w:cs="Arial"/>
          <w:color w:val="000000" w:themeColor="text1"/>
          <w:sz w:val="24"/>
          <w:szCs w:val="24"/>
        </w:rPr>
        <w:t>, while</w:t>
      </w:r>
      <w:r w:rsidR="00ED1351">
        <w:rPr>
          <w:rFonts w:ascii="Arial" w:eastAsia="Calibri" w:hAnsi="Arial" w:cs="Arial"/>
          <w:color w:val="000000" w:themeColor="text1"/>
          <w:sz w:val="24"/>
          <w:szCs w:val="24"/>
        </w:rPr>
        <w:t xml:space="preserve"> they were</w:t>
      </w:r>
      <w:r w:rsidR="00463314">
        <w:rPr>
          <w:rFonts w:ascii="Arial" w:eastAsia="Calibri" w:hAnsi="Arial" w:cs="Arial"/>
          <w:color w:val="000000" w:themeColor="text1"/>
          <w:sz w:val="24"/>
          <w:szCs w:val="24"/>
        </w:rPr>
        <w:t xml:space="preserve"> </w:t>
      </w:r>
      <w:r w:rsidR="00ED1351" w:rsidRPr="002B3D8A">
        <w:rPr>
          <w:rFonts w:ascii="Arial" w:eastAsia="Calibri" w:hAnsi="Arial" w:cs="Arial"/>
          <w:color w:val="000000" w:themeColor="text1"/>
          <w:sz w:val="24"/>
          <w:szCs w:val="24"/>
        </w:rPr>
        <w:t>poor hosts</w:t>
      </w:r>
      <w:r w:rsidR="00ED1351" w:rsidRPr="002B3D8A" w:rsidDel="00463314">
        <w:rPr>
          <w:rFonts w:ascii="Arial" w:eastAsia="Calibri" w:hAnsi="Arial" w:cs="Arial"/>
          <w:color w:val="000000" w:themeColor="text1"/>
          <w:sz w:val="24"/>
          <w:szCs w:val="24"/>
        </w:rPr>
        <w:t xml:space="preserve"> </w:t>
      </w:r>
      <w:r w:rsidR="00463314">
        <w:rPr>
          <w:rFonts w:ascii="Arial" w:eastAsia="Calibri" w:hAnsi="Arial" w:cs="Arial"/>
          <w:color w:val="000000" w:themeColor="text1"/>
          <w:sz w:val="24"/>
          <w:szCs w:val="24"/>
        </w:rPr>
        <w:t>for</w:t>
      </w:r>
      <w:r w:rsidRPr="002B3D8A">
        <w:rPr>
          <w:rFonts w:ascii="Arial" w:eastAsia="Calibri" w:hAnsi="Arial" w:cs="Arial"/>
          <w:color w:val="000000" w:themeColor="text1"/>
          <w:sz w:val="24"/>
          <w:szCs w:val="24"/>
        </w:rPr>
        <w:t xml:space="preserve"> </w:t>
      </w:r>
      <w:r w:rsidRPr="6AC1B2C3">
        <w:rPr>
          <w:rFonts w:ascii="Arial" w:eastAsia="Calibri" w:hAnsi="Arial" w:cs="Arial"/>
          <w:i/>
          <w:iCs/>
          <w:color w:val="000000" w:themeColor="text1"/>
          <w:sz w:val="24"/>
          <w:szCs w:val="24"/>
        </w:rPr>
        <w:t xml:space="preserve">Trichodorus </w:t>
      </w:r>
      <w:r w:rsidR="00463314" w:rsidRPr="6AC1B2C3">
        <w:rPr>
          <w:rFonts w:ascii="Arial" w:eastAsia="Calibri" w:hAnsi="Arial" w:cs="Arial"/>
          <w:i/>
          <w:iCs/>
          <w:color w:val="000000" w:themeColor="text1"/>
          <w:sz w:val="24"/>
          <w:szCs w:val="24"/>
        </w:rPr>
        <w:t>c</w:t>
      </w:r>
      <w:r w:rsidRPr="6AC1B2C3">
        <w:rPr>
          <w:rFonts w:ascii="Arial" w:eastAsia="Calibri" w:hAnsi="Arial" w:cs="Arial"/>
          <w:i/>
          <w:iCs/>
          <w:color w:val="000000" w:themeColor="text1"/>
          <w:sz w:val="24"/>
          <w:szCs w:val="24"/>
        </w:rPr>
        <w:t>hristie</w:t>
      </w:r>
      <w:r w:rsidRPr="002B3D8A">
        <w:rPr>
          <w:rFonts w:ascii="Arial" w:eastAsia="Calibri" w:hAnsi="Arial" w:cs="Arial"/>
          <w:color w:val="000000" w:themeColor="text1"/>
          <w:sz w:val="24"/>
          <w:szCs w:val="24"/>
        </w:rPr>
        <w:t xml:space="preserve"> (Florida isolate). Cabbage was also an excellent host for the Florida isolate while it was ranked a good host for the Riverside isolate showing the difference in host responses due to difference</w:t>
      </w:r>
      <w:r w:rsidR="00ED1351">
        <w:rPr>
          <w:rFonts w:ascii="Arial" w:eastAsia="Calibri" w:hAnsi="Arial" w:cs="Arial"/>
          <w:color w:val="000000" w:themeColor="text1"/>
          <w:sz w:val="24"/>
          <w:szCs w:val="24"/>
        </w:rPr>
        <w:t>s</w:t>
      </w:r>
      <w:r w:rsidRPr="002B3D8A">
        <w:rPr>
          <w:rFonts w:ascii="Arial" w:eastAsia="Calibri" w:hAnsi="Arial" w:cs="Arial"/>
          <w:color w:val="000000" w:themeColor="text1"/>
          <w:sz w:val="24"/>
          <w:szCs w:val="24"/>
        </w:rPr>
        <w:t xml:space="preserve"> in population</w:t>
      </w:r>
      <w:r w:rsidR="00ED1351">
        <w:rPr>
          <w:rFonts w:ascii="Arial" w:eastAsia="Calibri" w:hAnsi="Arial" w:cs="Arial"/>
          <w:color w:val="000000" w:themeColor="text1"/>
          <w:sz w:val="24"/>
          <w:szCs w:val="24"/>
        </w:rPr>
        <w:t xml:space="preserve"> densities (Pf or final population)</w:t>
      </w:r>
      <w:r w:rsidR="00F42919" w:rsidRPr="002B3D8A">
        <w:rPr>
          <w:rFonts w:ascii="Arial" w:eastAsia="Calibri" w:hAnsi="Arial" w:cs="Arial"/>
          <w:color w:val="000000" w:themeColor="text1"/>
          <w:sz w:val="24"/>
          <w:szCs w:val="24"/>
        </w:rPr>
        <w:t>.</w:t>
      </w:r>
      <w:r w:rsidR="003F62C4" w:rsidRPr="002B3D8A">
        <w:rPr>
          <w:rFonts w:ascii="Arial" w:eastAsia="Calibri" w:hAnsi="Arial" w:cs="Arial"/>
          <w:color w:val="000000" w:themeColor="text1"/>
          <w:sz w:val="24"/>
          <w:szCs w:val="24"/>
        </w:rPr>
        <w:t xml:space="preserve"> </w:t>
      </w:r>
      <w:r w:rsidR="00EC5D71">
        <w:rPr>
          <w:rFonts w:ascii="Arial" w:eastAsia="Calibri" w:hAnsi="Arial" w:cs="Arial"/>
          <w:color w:val="000000" w:themeColor="text1"/>
          <w:sz w:val="24"/>
          <w:szCs w:val="24"/>
        </w:rPr>
        <w:t>Figure 2-4</w:t>
      </w:r>
      <w:r w:rsidR="003F62C4" w:rsidRPr="002B3D8A">
        <w:rPr>
          <w:rFonts w:ascii="Arial" w:eastAsia="Calibri" w:hAnsi="Arial" w:cs="Arial"/>
          <w:color w:val="000000" w:themeColor="text1"/>
          <w:sz w:val="24"/>
          <w:szCs w:val="24"/>
        </w:rPr>
        <w:t xml:space="preserve"> below</w:t>
      </w:r>
      <w:r w:rsidR="00EC5D71">
        <w:rPr>
          <w:rFonts w:ascii="Arial" w:eastAsia="Calibri" w:hAnsi="Arial" w:cs="Arial"/>
          <w:color w:val="000000" w:themeColor="text1"/>
          <w:sz w:val="24"/>
          <w:szCs w:val="24"/>
        </w:rPr>
        <w:t>,</w:t>
      </w:r>
      <w:r w:rsidR="003F62C4" w:rsidRPr="002B3D8A">
        <w:rPr>
          <w:rFonts w:ascii="Arial" w:eastAsia="Calibri" w:hAnsi="Arial" w:cs="Arial"/>
          <w:color w:val="000000" w:themeColor="text1"/>
          <w:sz w:val="24"/>
          <w:szCs w:val="24"/>
        </w:rPr>
        <w:t xml:space="preserve"> </w:t>
      </w:r>
      <w:r w:rsidR="00791A9B" w:rsidRPr="002B3D8A">
        <w:rPr>
          <w:rFonts w:ascii="Arial" w:eastAsia="Calibri" w:hAnsi="Arial" w:cs="Arial"/>
          <w:color w:val="000000" w:themeColor="text1"/>
          <w:sz w:val="24"/>
          <w:szCs w:val="24"/>
        </w:rPr>
        <w:t>show</w:t>
      </w:r>
      <w:r w:rsidR="003F62C4" w:rsidRPr="002B3D8A">
        <w:rPr>
          <w:rFonts w:ascii="Arial" w:eastAsia="Calibri" w:hAnsi="Arial" w:cs="Arial"/>
          <w:color w:val="000000" w:themeColor="text1"/>
          <w:sz w:val="24"/>
          <w:szCs w:val="24"/>
        </w:rPr>
        <w:t xml:space="preserve"> the host status of different field crops, vegetables and green manure cover crops</w:t>
      </w:r>
      <w:r w:rsidR="0022535A">
        <w:rPr>
          <w:rFonts w:ascii="Arial" w:eastAsia="Calibri" w:hAnsi="Arial" w:cs="Arial"/>
          <w:color w:val="000000" w:themeColor="text1"/>
          <w:sz w:val="24"/>
          <w:szCs w:val="24"/>
        </w:rPr>
        <w:t xml:space="preserve"> to SRN species</w:t>
      </w:r>
      <w:r w:rsidR="003F62C4" w:rsidRPr="002B3D8A">
        <w:rPr>
          <w:rFonts w:ascii="Arial" w:eastAsia="Calibri" w:hAnsi="Arial" w:cs="Arial"/>
          <w:color w:val="000000" w:themeColor="text1"/>
          <w:sz w:val="24"/>
          <w:szCs w:val="24"/>
        </w:rPr>
        <w:t xml:space="preserve"> </w:t>
      </w:r>
    </w:p>
    <w:p w14:paraId="1F79028F" w14:textId="3E955CB8" w:rsidR="005D6BA7" w:rsidRDefault="005D6BA7" w:rsidP="004A7DDE">
      <w:pPr>
        <w:spacing w:line="360" w:lineRule="auto"/>
        <w:jc w:val="both"/>
        <w:rPr>
          <w:rFonts w:ascii="Arial" w:eastAsia="Calibri" w:hAnsi="Arial" w:cs="Arial"/>
          <w:color w:val="000000" w:themeColor="text1"/>
          <w:sz w:val="24"/>
          <w:szCs w:val="24"/>
        </w:rPr>
      </w:pPr>
    </w:p>
    <w:p w14:paraId="0312E5F3" w14:textId="57C5F071" w:rsidR="005D6BA7" w:rsidRDefault="005D6BA7" w:rsidP="004A7DDE">
      <w:pPr>
        <w:spacing w:line="360" w:lineRule="auto"/>
        <w:jc w:val="both"/>
        <w:rPr>
          <w:rFonts w:ascii="Arial" w:eastAsia="Calibri" w:hAnsi="Arial" w:cs="Arial"/>
          <w:color w:val="000000" w:themeColor="text1"/>
          <w:sz w:val="24"/>
          <w:szCs w:val="24"/>
        </w:rPr>
      </w:pPr>
    </w:p>
    <w:p w14:paraId="5FA612BD" w14:textId="41403645" w:rsidR="005D6BA7" w:rsidRDefault="005D6BA7" w:rsidP="004A7DDE">
      <w:pPr>
        <w:spacing w:line="360" w:lineRule="auto"/>
        <w:jc w:val="both"/>
        <w:rPr>
          <w:rFonts w:ascii="Arial" w:eastAsia="Calibri" w:hAnsi="Arial" w:cs="Arial"/>
          <w:color w:val="000000" w:themeColor="text1"/>
          <w:sz w:val="24"/>
          <w:szCs w:val="24"/>
        </w:rPr>
      </w:pPr>
    </w:p>
    <w:p w14:paraId="576EC9E2" w14:textId="293B888C" w:rsidR="00B34484" w:rsidRDefault="00B34484" w:rsidP="004A7DDE">
      <w:pPr>
        <w:spacing w:line="360" w:lineRule="auto"/>
        <w:jc w:val="both"/>
        <w:rPr>
          <w:rFonts w:ascii="Arial" w:eastAsia="Calibri" w:hAnsi="Arial" w:cs="Arial"/>
          <w:color w:val="000000" w:themeColor="text1"/>
          <w:sz w:val="24"/>
          <w:szCs w:val="24"/>
        </w:rPr>
      </w:pPr>
    </w:p>
    <w:p w14:paraId="6BF23461" w14:textId="36B34790" w:rsidR="00B34484" w:rsidRDefault="00B34484" w:rsidP="004A7DDE">
      <w:pPr>
        <w:spacing w:line="360" w:lineRule="auto"/>
        <w:jc w:val="both"/>
        <w:rPr>
          <w:rFonts w:ascii="Arial" w:eastAsia="Calibri" w:hAnsi="Arial" w:cs="Arial"/>
          <w:color w:val="000000" w:themeColor="text1"/>
          <w:sz w:val="24"/>
          <w:szCs w:val="24"/>
        </w:rPr>
      </w:pPr>
    </w:p>
    <w:p w14:paraId="16CD3B41" w14:textId="134A5AF9" w:rsidR="00487AD5" w:rsidRDefault="00487AD5" w:rsidP="004A7DDE">
      <w:pPr>
        <w:spacing w:line="360" w:lineRule="auto"/>
        <w:jc w:val="both"/>
        <w:rPr>
          <w:rFonts w:ascii="Arial" w:eastAsia="Calibri" w:hAnsi="Arial" w:cs="Arial"/>
          <w:color w:val="000000" w:themeColor="text1"/>
          <w:sz w:val="24"/>
          <w:szCs w:val="24"/>
        </w:rPr>
      </w:pPr>
    </w:p>
    <w:p w14:paraId="2690CBAA" w14:textId="5586D642" w:rsidR="00487AD5" w:rsidRDefault="00487AD5" w:rsidP="004A7DDE">
      <w:pPr>
        <w:spacing w:line="360" w:lineRule="auto"/>
        <w:jc w:val="both"/>
        <w:rPr>
          <w:rFonts w:ascii="Arial" w:eastAsia="Calibri" w:hAnsi="Arial" w:cs="Arial"/>
          <w:color w:val="000000" w:themeColor="text1"/>
          <w:sz w:val="24"/>
          <w:szCs w:val="24"/>
        </w:rPr>
      </w:pPr>
    </w:p>
    <w:p w14:paraId="7AC7A40B" w14:textId="77777777" w:rsidR="00487AD5" w:rsidRDefault="00487AD5" w:rsidP="004A7DDE">
      <w:pPr>
        <w:spacing w:line="360" w:lineRule="auto"/>
        <w:jc w:val="both"/>
        <w:rPr>
          <w:rFonts w:ascii="Arial" w:eastAsia="Calibri" w:hAnsi="Arial" w:cs="Arial"/>
          <w:color w:val="000000" w:themeColor="text1"/>
          <w:sz w:val="24"/>
          <w:szCs w:val="24"/>
        </w:rPr>
        <w:sectPr w:rsidR="00487AD5" w:rsidSect="00B27D90">
          <w:pgSz w:w="11906" w:h="16838"/>
          <w:pgMar w:top="1440" w:right="1440" w:bottom="1440" w:left="1440" w:header="708" w:footer="708" w:gutter="0"/>
          <w:cols w:space="708"/>
          <w:docGrid w:linePitch="360"/>
        </w:sectPr>
      </w:pPr>
    </w:p>
    <w:p w14:paraId="30D69691" w14:textId="4B544429" w:rsidR="00487AD5" w:rsidRPr="002B3D8A" w:rsidRDefault="00487AD5" w:rsidP="004A7DDE">
      <w:pPr>
        <w:spacing w:line="360" w:lineRule="auto"/>
        <w:jc w:val="both"/>
        <w:rPr>
          <w:rFonts w:ascii="Arial" w:eastAsia="Calibri" w:hAnsi="Arial" w:cs="Arial"/>
          <w:color w:val="000000" w:themeColor="text1"/>
          <w:sz w:val="24"/>
          <w:szCs w:val="24"/>
        </w:rPr>
      </w:pPr>
    </w:p>
    <w:tbl>
      <w:tblPr>
        <w:tblW w:w="9724" w:type="dxa"/>
        <w:jc w:val="center"/>
        <w:tblLook w:val="04A0" w:firstRow="1" w:lastRow="0" w:firstColumn="1" w:lastColumn="0" w:noHBand="0" w:noVBand="1"/>
      </w:tblPr>
      <w:tblGrid>
        <w:gridCol w:w="282"/>
        <w:gridCol w:w="1794"/>
        <w:gridCol w:w="1993"/>
        <w:gridCol w:w="1770"/>
        <w:gridCol w:w="1951"/>
        <w:gridCol w:w="1934"/>
      </w:tblGrid>
      <w:tr w:rsidR="00F63475" w:rsidRPr="003B38BC" w14:paraId="18CD309E" w14:textId="77777777" w:rsidTr="00616CDC">
        <w:trPr>
          <w:trHeight w:val="177"/>
          <w:jc w:val="center"/>
        </w:trPr>
        <w:tc>
          <w:tcPr>
            <w:tcW w:w="282" w:type="dxa"/>
            <w:tcBorders>
              <w:top w:val="nil"/>
              <w:left w:val="nil"/>
              <w:bottom w:val="nil"/>
              <w:right w:val="nil"/>
            </w:tcBorders>
            <w:shd w:val="clear" w:color="auto" w:fill="auto"/>
            <w:noWrap/>
            <w:vAlign w:val="bottom"/>
            <w:hideMark/>
          </w:tcPr>
          <w:p w14:paraId="79C5026D" w14:textId="77777777" w:rsidR="003B38BC" w:rsidRPr="003B38BC" w:rsidRDefault="003B38BC" w:rsidP="003B38BC">
            <w:pPr>
              <w:spacing w:after="0" w:line="240" w:lineRule="auto"/>
              <w:rPr>
                <w:rFonts w:ascii="Times New Roman" w:eastAsia="Times New Roman" w:hAnsi="Times New Roman" w:cs="Times New Roman"/>
                <w:sz w:val="24"/>
                <w:szCs w:val="24"/>
                <w:lang w:eastAsia="en-GB"/>
              </w:rPr>
            </w:pPr>
          </w:p>
        </w:tc>
        <w:tc>
          <w:tcPr>
            <w:tcW w:w="1794" w:type="dxa"/>
            <w:tcBorders>
              <w:top w:val="nil"/>
              <w:left w:val="nil"/>
              <w:right w:val="nil"/>
            </w:tcBorders>
            <w:shd w:val="clear" w:color="auto" w:fill="auto"/>
            <w:noWrap/>
            <w:vAlign w:val="bottom"/>
            <w:hideMark/>
          </w:tcPr>
          <w:p w14:paraId="15FB0D55" w14:textId="77777777" w:rsidR="003B38BC" w:rsidRPr="00F63475" w:rsidRDefault="003B38BC" w:rsidP="003B38BC">
            <w:pPr>
              <w:spacing w:after="0" w:line="240" w:lineRule="auto"/>
              <w:rPr>
                <w:rFonts w:ascii="Arial" w:eastAsia="Times New Roman" w:hAnsi="Arial" w:cs="Arial"/>
                <w:lang w:eastAsia="en-GB"/>
              </w:rPr>
            </w:pPr>
          </w:p>
        </w:tc>
        <w:tc>
          <w:tcPr>
            <w:tcW w:w="1993" w:type="dxa"/>
            <w:tcBorders>
              <w:top w:val="nil"/>
              <w:left w:val="nil"/>
              <w:right w:val="nil"/>
            </w:tcBorders>
            <w:shd w:val="clear" w:color="auto" w:fill="auto"/>
            <w:noWrap/>
            <w:vAlign w:val="bottom"/>
            <w:hideMark/>
          </w:tcPr>
          <w:p w14:paraId="5B3B2190" w14:textId="77777777" w:rsidR="003B38BC" w:rsidRPr="00F63475" w:rsidRDefault="003B38BC" w:rsidP="003B38BC">
            <w:pPr>
              <w:spacing w:after="0" w:line="240" w:lineRule="auto"/>
              <w:rPr>
                <w:rFonts w:ascii="Arial" w:eastAsia="Times New Roman" w:hAnsi="Arial" w:cs="Arial"/>
                <w:lang w:eastAsia="en-GB"/>
              </w:rPr>
            </w:pPr>
          </w:p>
        </w:tc>
        <w:tc>
          <w:tcPr>
            <w:tcW w:w="1770" w:type="dxa"/>
            <w:tcBorders>
              <w:top w:val="nil"/>
              <w:left w:val="nil"/>
              <w:right w:val="nil"/>
            </w:tcBorders>
            <w:shd w:val="clear" w:color="auto" w:fill="auto"/>
            <w:noWrap/>
            <w:vAlign w:val="bottom"/>
            <w:hideMark/>
          </w:tcPr>
          <w:p w14:paraId="0683672F" w14:textId="77777777" w:rsidR="003B38BC" w:rsidRPr="00F63475" w:rsidRDefault="003B38BC" w:rsidP="003B38BC">
            <w:pPr>
              <w:spacing w:after="0" w:line="240" w:lineRule="auto"/>
              <w:rPr>
                <w:rFonts w:ascii="Arial" w:eastAsia="Times New Roman" w:hAnsi="Arial" w:cs="Arial"/>
                <w:lang w:eastAsia="en-GB"/>
              </w:rPr>
            </w:pPr>
          </w:p>
        </w:tc>
        <w:tc>
          <w:tcPr>
            <w:tcW w:w="1951" w:type="dxa"/>
            <w:tcBorders>
              <w:top w:val="nil"/>
              <w:left w:val="nil"/>
              <w:right w:val="nil"/>
            </w:tcBorders>
            <w:shd w:val="clear" w:color="auto" w:fill="auto"/>
            <w:noWrap/>
            <w:vAlign w:val="bottom"/>
            <w:hideMark/>
          </w:tcPr>
          <w:p w14:paraId="7A1A2FB1" w14:textId="77777777" w:rsidR="003B38BC" w:rsidRPr="00F63475" w:rsidRDefault="003B38BC" w:rsidP="003B38BC">
            <w:pPr>
              <w:spacing w:after="0" w:line="240" w:lineRule="auto"/>
              <w:rPr>
                <w:rFonts w:ascii="Arial" w:eastAsia="Times New Roman" w:hAnsi="Arial" w:cs="Arial"/>
                <w:lang w:eastAsia="en-GB"/>
              </w:rPr>
            </w:pPr>
          </w:p>
        </w:tc>
        <w:tc>
          <w:tcPr>
            <w:tcW w:w="1934" w:type="dxa"/>
            <w:tcBorders>
              <w:top w:val="nil"/>
              <w:left w:val="nil"/>
              <w:right w:val="nil"/>
            </w:tcBorders>
            <w:shd w:val="clear" w:color="auto" w:fill="auto"/>
            <w:noWrap/>
            <w:vAlign w:val="bottom"/>
            <w:hideMark/>
          </w:tcPr>
          <w:p w14:paraId="59A48D4A" w14:textId="77777777" w:rsidR="003B38BC" w:rsidRPr="00F63475" w:rsidRDefault="003B38BC" w:rsidP="003B38BC">
            <w:pPr>
              <w:spacing w:after="0" w:line="240" w:lineRule="auto"/>
              <w:rPr>
                <w:rFonts w:ascii="Arial" w:eastAsia="Times New Roman" w:hAnsi="Arial" w:cs="Arial"/>
                <w:lang w:eastAsia="en-GB"/>
              </w:rPr>
            </w:pPr>
          </w:p>
        </w:tc>
      </w:tr>
      <w:tr w:rsidR="00F63475" w:rsidRPr="003B38BC" w14:paraId="29C6D582" w14:textId="77777777" w:rsidTr="00616CDC">
        <w:trPr>
          <w:trHeight w:val="2870"/>
          <w:jc w:val="center"/>
        </w:trPr>
        <w:tc>
          <w:tcPr>
            <w:tcW w:w="282" w:type="dxa"/>
            <w:tcBorders>
              <w:top w:val="nil"/>
              <w:left w:val="nil"/>
              <w:bottom w:val="nil"/>
            </w:tcBorders>
            <w:shd w:val="clear" w:color="auto" w:fill="auto"/>
            <w:noWrap/>
            <w:vAlign w:val="bottom"/>
            <w:hideMark/>
          </w:tcPr>
          <w:p w14:paraId="12CEE3FC" w14:textId="77777777" w:rsidR="003B38BC" w:rsidRPr="003B38BC" w:rsidRDefault="003B38BC" w:rsidP="003B38BC">
            <w:pPr>
              <w:spacing w:after="0" w:line="240" w:lineRule="auto"/>
              <w:rPr>
                <w:rFonts w:ascii="Times New Roman" w:eastAsia="Times New Roman" w:hAnsi="Times New Roman" w:cs="Times New Roman"/>
                <w:sz w:val="20"/>
                <w:szCs w:val="20"/>
                <w:lang w:eastAsia="en-GB"/>
              </w:rPr>
            </w:pPr>
          </w:p>
        </w:tc>
        <w:tc>
          <w:tcPr>
            <w:tcW w:w="1794" w:type="dxa"/>
            <w:tcBorders>
              <w:bottom w:val="single" w:sz="4" w:space="0" w:color="auto"/>
              <w:right w:val="single" w:sz="4" w:space="0" w:color="auto"/>
            </w:tcBorders>
            <w:shd w:val="clear" w:color="auto" w:fill="auto"/>
            <w:noWrap/>
            <w:textDirection w:val="btLr"/>
            <w:vAlign w:val="bottom"/>
            <w:hideMark/>
          </w:tcPr>
          <w:p w14:paraId="260CF212" w14:textId="77777777" w:rsidR="003B38BC" w:rsidRPr="00F63475" w:rsidRDefault="003B38BC" w:rsidP="003B38BC">
            <w:pPr>
              <w:spacing w:after="0" w:line="240" w:lineRule="auto"/>
              <w:jc w:val="center"/>
              <w:rPr>
                <w:rFonts w:ascii="Arial" w:eastAsia="Times New Roman" w:hAnsi="Arial" w:cs="Arial"/>
                <w:color w:val="000000"/>
                <w:lang w:eastAsia="en-GB"/>
              </w:rPr>
            </w:pPr>
            <w:r w:rsidRPr="00F63475">
              <w:rPr>
                <w:rFonts w:ascii="Arial" w:eastAsia="Times New Roman" w:hAnsi="Arial" w:cs="Arial"/>
                <w:color w:val="000000"/>
                <w:lang w:eastAsia="en-GB"/>
              </w:rPr>
              <w:t xml:space="preserve">Host crop </w:t>
            </w:r>
          </w:p>
        </w:tc>
        <w:tc>
          <w:tcPr>
            <w:tcW w:w="1993" w:type="dxa"/>
            <w:tcBorders>
              <w:left w:val="nil"/>
              <w:bottom w:val="single" w:sz="4" w:space="0" w:color="auto"/>
              <w:right w:val="single" w:sz="4" w:space="0" w:color="auto"/>
            </w:tcBorders>
            <w:shd w:val="clear" w:color="auto" w:fill="auto"/>
            <w:noWrap/>
            <w:textDirection w:val="btLr"/>
            <w:vAlign w:val="bottom"/>
            <w:hideMark/>
          </w:tcPr>
          <w:p w14:paraId="59AF66DE" w14:textId="6E94495B" w:rsidR="003B38BC" w:rsidRPr="00F63475" w:rsidRDefault="003B38BC" w:rsidP="003B38BC">
            <w:pPr>
              <w:spacing w:after="0" w:line="240" w:lineRule="auto"/>
              <w:jc w:val="center"/>
              <w:rPr>
                <w:rFonts w:ascii="Arial" w:eastAsia="Times New Roman" w:hAnsi="Arial" w:cs="Arial"/>
                <w:i/>
                <w:iCs/>
                <w:color w:val="000000"/>
                <w:lang w:eastAsia="en-GB"/>
              </w:rPr>
            </w:pPr>
            <w:r w:rsidRPr="00F63475">
              <w:rPr>
                <w:rFonts w:ascii="Arial" w:eastAsia="Times New Roman" w:hAnsi="Arial" w:cs="Arial"/>
                <w:i/>
                <w:iCs/>
                <w:color w:val="000000"/>
                <w:lang w:eastAsia="en-GB"/>
              </w:rPr>
              <w:t>Par</w:t>
            </w:r>
            <w:r w:rsidR="00E25B86">
              <w:rPr>
                <w:rFonts w:ascii="Arial" w:eastAsia="Times New Roman" w:hAnsi="Arial" w:cs="Arial"/>
                <w:i/>
                <w:iCs/>
                <w:color w:val="000000"/>
                <w:lang w:eastAsia="en-GB"/>
              </w:rPr>
              <w:t>a</w:t>
            </w:r>
            <w:r w:rsidRPr="00F63475">
              <w:rPr>
                <w:rFonts w:ascii="Arial" w:eastAsia="Times New Roman" w:hAnsi="Arial" w:cs="Arial"/>
                <w:i/>
                <w:iCs/>
                <w:color w:val="000000"/>
                <w:lang w:eastAsia="en-GB"/>
              </w:rPr>
              <w:t xml:space="preserve">trichodorus pachydermus </w:t>
            </w:r>
          </w:p>
        </w:tc>
        <w:tc>
          <w:tcPr>
            <w:tcW w:w="1770" w:type="dxa"/>
            <w:tcBorders>
              <w:left w:val="nil"/>
              <w:bottom w:val="single" w:sz="4" w:space="0" w:color="auto"/>
              <w:right w:val="single" w:sz="4" w:space="0" w:color="auto"/>
            </w:tcBorders>
            <w:shd w:val="clear" w:color="auto" w:fill="auto"/>
            <w:noWrap/>
            <w:textDirection w:val="btLr"/>
            <w:vAlign w:val="bottom"/>
            <w:hideMark/>
          </w:tcPr>
          <w:p w14:paraId="390A33AE" w14:textId="77777777" w:rsidR="003B38BC" w:rsidRPr="00F63475" w:rsidRDefault="003B38BC" w:rsidP="003B38BC">
            <w:pPr>
              <w:spacing w:after="0" w:line="240" w:lineRule="auto"/>
              <w:jc w:val="center"/>
              <w:rPr>
                <w:rFonts w:ascii="Arial" w:eastAsia="Times New Roman" w:hAnsi="Arial" w:cs="Arial"/>
                <w:i/>
                <w:iCs/>
                <w:color w:val="000000"/>
                <w:lang w:eastAsia="en-GB"/>
              </w:rPr>
            </w:pPr>
            <w:r w:rsidRPr="00F63475">
              <w:rPr>
                <w:rFonts w:ascii="Arial" w:eastAsia="Times New Roman" w:hAnsi="Arial" w:cs="Arial"/>
                <w:i/>
                <w:iCs/>
                <w:color w:val="000000"/>
                <w:lang w:eastAsia="en-GB"/>
              </w:rPr>
              <w:t xml:space="preserve">Paratrichodorus teres </w:t>
            </w:r>
          </w:p>
        </w:tc>
        <w:tc>
          <w:tcPr>
            <w:tcW w:w="1951" w:type="dxa"/>
            <w:tcBorders>
              <w:left w:val="nil"/>
              <w:bottom w:val="single" w:sz="4" w:space="0" w:color="auto"/>
              <w:right w:val="single" w:sz="4" w:space="0" w:color="auto"/>
            </w:tcBorders>
            <w:shd w:val="clear" w:color="auto" w:fill="auto"/>
            <w:noWrap/>
            <w:textDirection w:val="btLr"/>
            <w:vAlign w:val="bottom"/>
            <w:hideMark/>
          </w:tcPr>
          <w:p w14:paraId="576D7CAA" w14:textId="77777777" w:rsidR="003B38BC" w:rsidRPr="00F63475" w:rsidRDefault="003B38BC" w:rsidP="003B38BC">
            <w:pPr>
              <w:spacing w:after="0" w:line="240" w:lineRule="auto"/>
              <w:jc w:val="center"/>
              <w:rPr>
                <w:rFonts w:ascii="Arial" w:eastAsia="Times New Roman" w:hAnsi="Arial" w:cs="Arial"/>
                <w:i/>
                <w:iCs/>
                <w:color w:val="000000"/>
                <w:lang w:eastAsia="en-GB"/>
              </w:rPr>
            </w:pPr>
            <w:r w:rsidRPr="00F63475">
              <w:rPr>
                <w:rFonts w:ascii="Arial" w:eastAsia="Times New Roman" w:hAnsi="Arial" w:cs="Arial"/>
                <w:i/>
                <w:iCs/>
                <w:color w:val="000000"/>
                <w:lang w:eastAsia="en-GB"/>
              </w:rPr>
              <w:t xml:space="preserve">Trichodorus primitivus </w:t>
            </w:r>
          </w:p>
        </w:tc>
        <w:tc>
          <w:tcPr>
            <w:tcW w:w="1934" w:type="dxa"/>
            <w:tcBorders>
              <w:left w:val="nil"/>
              <w:bottom w:val="single" w:sz="4" w:space="0" w:color="auto"/>
            </w:tcBorders>
            <w:shd w:val="clear" w:color="auto" w:fill="auto"/>
            <w:noWrap/>
            <w:textDirection w:val="btLr"/>
            <w:vAlign w:val="bottom"/>
            <w:hideMark/>
          </w:tcPr>
          <w:p w14:paraId="1E547986" w14:textId="77777777" w:rsidR="003B38BC" w:rsidRPr="00F63475" w:rsidRDefault="003B38BC" w:rsidP="003B38BC">
            <w:pPr>
              <w:spacing w:after="0" w:line="240" w:lineRule="auto"/>
              <w:jc w:val="center"/>
              <w:rPr>
                <w:rFonts w:ascii="Arial" w:eastAsia="Times New Roman" w:hAnsi="Arial" w:cs="Arial"/>
                <w:i/>
                <w:iCs/>
                <w:color w:val="000000"/>
                <w:lang w:eastAsia="en-GB"/>
              </w:rPr>
            </w:pPr>
            <w:r w:rsidRPr="00F63475">
              <w:rPr>
                <w:rFonts w:ascii="Arial" w:eastAsia="Times New Roman" w:hAnsi="Arial" w:cs="Arial"/>
                <w:i/>
                <w:iCs/>
                <w:color w:val="000000"/>
                <w:lang w:eastAsia="en-GB"/>
              </w:rPr>
              <w:t xml:space="preserve">Trichodorus similis </w:t>
            </w:r>
          </w:p>
        </w:tc>
      </w:tr>
      <w:tr w:rsidR="00F63475" w:rsidRPr="003B38BC" w14:paraId="628391B2" w14:textId="77777777" w:rsidTr="00616CDC">
        <w:trPr>
          <w:trHeight w:val="186"/>
          <w:jc w:val="center"/>
        </w:trPr>
        <w:tc>
          <w:tcPr>
            <w:tcW w:w="282" w:type="dxa"/>
            <w:tcBorders>
              <w:top w:val="nil"/>
              <w:left w:val="nil"/>
              <w:bottom w:val="nil"/>
            </w:tcBorders>
            <w:shd w:val="clear" w:color="auto" w:fill="auto"/>
            <w:noWrap/>
            <w:vAlign w:val="bottom"/>
            <w:hideMark/>
          </w:tcPr>
          <w:p w14:paraId="4BF9AF2C" w14:textId="77777777" w:rsidR="003B38BC" w:rsidRPr="003B38BC" w:rsidRDefault="003B38BC" w:rsidP="003B38BC">
            <w:pPr>
              <w:spacing w:after="0" w:line="240" w:lineRule="auto"/>
              <w:jc w:val="center"/>
              <w:rPr>
                <w:rFonts w:ascii="Arial" w:eastAsia="Times New Roman" w:hAnsi="Arial" w:cs="Arial"/>
                <w:i/>
                <w:iCs/>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44C207BF"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Barley </w:t>
            </w:r>
          </w:p>
        </w:tc>
        <w:tc>
          <w:tcPr>
            <w:tcW w:w="1993" w:type="dxa"/>
            <w:tcBorders>
              <w:top w:val="nil"/>
              <w:left w:val="nil"/>
              <w:bottom w:val="single" w:sz="4" w:space="0" w:color="auto"/>
              <w:right w:val="single" w:sz="4" w:space="0" w:color="auto"/>
            </w:tcBorders>
            <w:shd w:val="clear" w:color="000000" w:fill="FFFF00"/>
            <w:noWrap/>
            <w:vAlign w:val="bottom"/>
            <w:hideMark/>
          </w:tcPr>
          <w:p w14:paraId="62AFFF47"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770" w:type="dxa"/>
            <w:tcBorders>
              <w:top w:val="nil"/>
              <w:left w:val="nil"/>
              <w:bottom w:val="single" w:sz="4" w:space="0" w:color="auto"/>
              <w:right w:val="single" w:sz="4" w:space="0" w:color="auto"/>
            </w:tcBorders>
            <w:shd w:val="clear" w:color="000000" w:fill="FFFF00"/>
            <w:noWrap/>
            <w:vAlign w:val="bottom"/>
            <w:hideMark/>
          </w:tcPr>
          <w:p w14:paraId="14E13F48"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1951" w:type="dxa"/>
            <w:tcBorders>
              <w:top w:val="nil"/>
              <w:left w:val="nil"/>
              <w:bottom w:val="single" w:sz="4" w:space="0" w:color="auto"/>
              <w:right w:val="single" w:sz="4" w:space="0" w:color="auto"/>
            </w:tcBorders>
            <w:shd w:val="clear" w:color="000000" w:fill="FFFF00"/>
            <w:noWrap/>
            <w:vAlign w:val="bottom"/>
            <w:hideMark/>
          </w:tcPr>
          <w:p w14:paraId="204563A2"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1934" w:type="dxa"/>
            <w:tcBorders>
              <w:top w:val="single" w:sz="4" w:space="0" w:color="auto"/>
              <w:left w:val="nil"/>
              <w:bottom w:val="single" w:sz="4" w:space="0" w:color="auto"/>
            </w:tcBorders>
            <w:shd w:val="clear" w:color="000000" w:fill="FFFF00"/>
            <w:noWrap/>
            <w:vAlign w:val="bottom"/>
            <w:hideMark/>
          </w:tcPr>
          <w:p w14:paraId="210BF35A"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3B38BC" w14:paraId="5CE2C76F" w14:textId="77777777" w:rsidTr="00616CDC">
        <w:trPr>
          <w:trHeight w:val="186"/>
          <w:jc w:val="center"/>
        </w:trPr>
        <w:tc>
          <w:tcPr>
            <w:tcW w:w="282" w:type="dxa"/>
            <w:tcBorders>
              <w:top w:val="nil"/>
              <w:left w:val="nil"/>
              <w:bottom w:val="nil"/>
            </w:tcBorders>
            <w:shd w:val="clear" w:color="auto" w:fill="auto"/>
            <w:noWrap/>
            <w:vAlign w:val="bottom"/>
            <w:hideMark/>
          </w:tcPr>
          <w:p w14:paraId="6C7936DF"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013B07B8"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Beet (Sugar, Fodder </w:t>
            </w:r>
          </w:p>
        </w:tc>
        <w:tc>
          <w:tcPr>
            <w:tcW w:w="1993" w:type="dxa"/>
            <w:tcBorders>
              <w:top w:val="nil"/>
              <w:left w:val="nil"/>
              <w:bottom w:val="single" w:sz="4" w:space="0" w:color="auto"/>
              <w:right w:val="single" w:sz="4" w:space="0" w:color="auto"/>
            </w:tcBorders>
            <w:shd w:val="clear" w:color="000000" w:fill="FF0000"/>
            <w:noWrap/>
            <w:vAlign w:val="bottom"/>
            <w:hideMark/>
          </w:tcPr>
          <w:p w14:paraId="50A3D750"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770" w:type="dxa"/>
            <w:tcBorders>
              <w:top w:val="nil"/>
              <w:left w:val="nil"/>
              <w:bottom w:val="single" w:sz="4" w:space="0" w:color="auto"/>
              <w:right w:val="single" w:sz="4" w:space="0" w:color="auto"/>
            </w:tcBorders>
            <w:shd w:val="clear" w:color="000000" w:fill="FCE4D6"/>
            <w:noWrap/>
            <w:vAlign w:val="bottom"/>
            <w:hideMark/>
          </w:tcPr>
          <w:p w14:paraId="3887FE1E"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951" w:type="dxa"/>
            <w:tcBorders>
              <w:top w:val="nil"/>
              <w:left w:val="nil"/>
              <w:bottom w:val="single" w:sz="4" w:space="0" w:color="auto"/>
              <w:right w:val="single" w:sz="4" w:space="0" w:color="auto"/>
            </w:tcBorders>
            <w:shd w:val="clear" w:color="000000" w:fill="FF0000"/>
            <w:noWrap/>
            <w:vAlign w:val="bottom"/>
            <w:hideMark/>
          </w:tcPr>
          <w:p w14:paraId="542C92F9"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1934" w:type="dxa"/>
            <w:tcBorders>
              <w:top w:val="single" w:sz="4" w:space="0" w:color="auto"/>
              <w:left w:val="nil"/>
              <w:bottom w:val="single" w:sz="4" w:space="0" w:color="auto"/>
            </w:tcBorders>
            <w:shd w:val="clear" w:color="000000" w:fill="FFFF00"/>
            <w:noWrap/>
            <w:vAlign w:val="bottom"/>
            <w:hideMark/>
          </w:tcPr>
          <w:p w14:paraId="4D0F3EA3"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r>
      <w:tr w:rsidR="00F63475" w:rsidRPr="003B38BC" w14:paraId="31BED692" w14:textId="77777777" w:rsidTr="00616CDC">
        <w:trPr>
          <w:trHeight w:val="186"/>
          <w:jc w:val="center"/>
        </w:trPr>
        <w:tc>
          <w:tcPr>
            <w:tcW w:w="282" w:type="dxa"/>
            <w:tcBorders>
              <w:top w:val="nil"/>
              <w:left w:val="nil"/>
              <w:bottom w:val="nil"/>
            </w:tcBorders>
            <w:shd w:val="clear" w:color="auto" w:fill="auto"/>
            <w:noWrap/>
            <w:vAlign w:val="bottom"/>
            <w:hideMark/>
          </w:tcPr>
          <w:p w14:paraId="0309CD76"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2A1BDD11"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Black fallow </w:t>
            </w:r>
          </w:p>
        </w:tc>
        <w:tc>
          <w:tcPr>
            <w:tcW w:w="1993" w:type="dxa"/>
            <w:tcBorders>
              <w:top w:val="nil"/>
              <w:left w:val="nil"/>
              <w:bottom w:val="single" w:sz="4" w:space="0" w:color="auto"/>
              <w:right w:val="single" w:sz="4" w:space="0" w:color="auto"/>
            </w:tcBorders>
            <w:shd w:val="clear" w:color="auto" w:fill="auto"/>
            <w:noWrap/>
            <w:vAlign w:val="bottom"/>
            <w:hideMark/>
          </w:tcPr>
          <w:p w14:paraId="09FCADAC"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Active population decline</w:t>
            </w:r>
          </w:p>
        </w:tc>
        <w:tc>
          <w:tcPr>
            <w:tcW w:w="1770" w:type="dxa"/>
            <w:tcBorders>
              <w:top w:val="nil"/>
              <w:left w:val="nil"/>
              <w:bottom w:val="single" w:sz="4" w:space="0" w:color="auto"/>
              <w:right w:val="single" w:sz="4" w:space="0" w:color="auto"/>
            </w:tcBorders>
            <w:shd w:val="clear" w:color="auto" w:fill="auto"/>
            <w:noWrap/>
            <w:vAlign w:val="bottom"/>
            <w:hideMark/>
          </w:tcPr>
          <w:p w14:paraId="3D9F5775"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Active population decline</w:t>
            </w:r>
          </w:p>
        </w:tc>
        <w:tc>
          <w:tcPr>
            <w:tcW w:w="1951" w:type="dxa"/>
            <w:tcBorders>
              <w:top w:val="nil"/>
              <w:left w:val="nil"/>
              <w:bottom w:val="single" w:sz="4" w:space="0" w:color="auto"/>
              <w:right w:val="single" w:sz="4" w:space="0" w:color="auto"/>
            </w:tcBorders>
            <w:shd w:val="clear" w:color="auto" w:fill="auto"/>
            <w:noWrap/>
            <w:vAlign w:val="bottom"/>
            <w:hideMark/>
          </w:tcPr>
          <w:p w14:paraId="24EAF148"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Active population decline</w:t>
            </w:r>
          </w:p>
        </w:tc>
        <w:tc>
          <w:tcPr>
            <w:tcW w:w="1934" w:type="dxa"/>
            <w:tcBorders>
              <w:top w:val="single" w:sz="4" w:space="0" w:color="auto"/>
              <w:left w:val="nil"/>
              <w:bottom w:val="single" w:sz="4" w:space="0" w:color="auto"/>
            </w:tcBorders>
            <w:shd w:val="clear" w:color="auto" w:fill="auto"/>
            <w:noWrap/>
            <w:vAlign w:val="bottom"/>
            <w:hideMark/>
          </w:tcPr>
          <w:p w14:paraId="64371F76"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Active population decline</w:t>
            </w:r>
          </w:p>
        </w:tc>
      </w:tr>
      <w:tr w:rsidR="00F63475" w:rsidRPr="003B38BC" w14:paraId="23709F34" w14:textId="77777777" w:rsidTr="00616CDC">
        <w:trPr>
          <w:trHeight w:val="186"/>
          <w:jc w:val="center"/>
        </w:trPr>
        <w:tc>
          <w:tcPr>
            <w:tcW w:w="282" w:type="dxa"/>
            <w:tcBorders>
              <w:top w:val="nil"/>
              <w:left w:val="nil"/>
              <w:bottom w:val="nil"/>
            </w:tcBorders>
            <w:shd w:val="clear" w:color="auto" w:fill="auto"/>
            <w:noWrap/>
            <w:vAlign w:val="bottom"/>
            <w:hideMark/>
          </w:tcPr>
          <w:p w14:paraId="013A7DAD"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3BF41922"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Clover </w:t>
            </w:r>
          </w:p>
        </w:tc>
        <w:tc>
          <w:tcPr>
            <w:tcW w:w="1993" w:type="dxa"/>
            <w:tcBorders>
              <w:top w:val="nil"/>
              <w:left w:val="nil"/>
              <w:bottom w:val="single" w:sz="4" w:space="0" w:color="auto"/>
              <w:right w:val="single" w:sz="4" w:space="0" w:color="auto"/>
            </w:tcBorders>
            <w:shd w:val="clear" w:color="auto" w:fill="auto"/>
            <w:noWrap/>
            <w:vAlign w:val="bottom"/>
            <w:hideMark/>
          </w:tcPr>
          <w:p w14:paraId="1E750B8A"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0" w:type="dxa"/>
            <w:tcBorders>
              <w:top w:val="nil"/>
              <w:left w:val="nil"/>
              <w:bottom w:val="single" w:sz="4" w:space="0" w:color="auto"/>
              <w:right w:val="single" w:sz="4" w:space="0" w:color="auto"/>
            </w:tcBorders>
            <w:shd w:val="clear" w:color="auto" w:fill="auto"/>
            <w:noWrap/>
            <w:vAlign w:val="bottom"/>
            <w:hideMark/>
          </w:tcPr>
          <w:p w14:paraId="0B487870"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951" w:type="dxa"/>
            <w:tcBorders>
              <w:top w:val="nil"/>
              <w:left w:val="nil"/>
              <w:bottom w:val="single" w:sz="4" w:space="0" w:color="auto"/>
              <w:right w:val="single" w:sz="4" w:space="0" w:color="auto"/>
            </w:tcBorders>
            <w:shd w:val="clear" w:color="auto" w:fill="auto"/>
            <w:noWrap/>
            <w:vAlign w:val="bottom"/>
            <w:hideMark/>
          </w:tcPr>
          <w:p w14:paraId="76412937"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34" w:type="dxa"/>
            <w:tcBorders>
              <w:top w:val="single" w:sz="4" w:space="0" w:color="auto"/>
              <w:left w:val="nil"/>
              <w:bottom w:val="single" w:sz="4" w:space="0" w:color="auto"/>
            </w:tcBorders>
            <w:shd w:val="clear" w:color="auto" w:fill="auto"/>
            <w:noWrap/>
            <w:vAlign w:val="bottom"/>
            <w:hideMark/>
          </w:tcPr>
          <w:p w14:paraId="3CD71C97"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3B38BC" w14:paraId="7CC5A596" w14:textId="77777777" w:rsidTr="00616CDC">
        <w:trPr>
          <w:trHeight w:val="186"/>
          <w:jc w:val="center"/>
        </w:trPr>
        <w:tc>
          <w:tcPr>
            <w:tcW w:w="282" w:type="dxa"/>
            <w:tcBorders>
              <w:top w:val="nil"/>
              <w:left w:val="nil"/>
              <w:bottom w:val="nil"/>
            </w:tcBorders>
            <w:shd w:val="clear" w:color="auto" w:fill="auto"/>
            <w:noWrap/>
            <w:vAlign w:val="bottom"/>
            <w:hideMark/>
          </w:tcPr>
          <w:p w14:paraId="32985945"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19A57B91" w14:textId="77777777" w:rsidR="003B38BC" w:rsidRPr="00F63475" w:rsidRDefault="003B38BC" w:rsidP="003B38BC">
            <w:pPr>
              <w:spacing w:after="0" w:line="240" w:lineRule="auto"/>
              <w:rPr>
                <w:rFonts w:ascii="Arial" w:eastAsia="Times New Roman" w:hAnsi="Arial" w:cs="Arial"/>
                <w:color w:val="000000"/>
                <w:lang w:eastAsia="en-GB"/>
              </w:rPr>
            </w:pPr>
            <w:proofErr w:type="spellStart"/>
            <w:r w:rsidRPr="00F63475">
              <w:rPr>
                <w:rFonts w:ascii="Arial" w:eastAsia="Times New Roman" w:hAnsi="Arial" w:cs="Arial"/>
                <w:color w:val="000000"/>
                <w:lang w:eastAsia="en-GB"/>
              </w:rPr>
              <w:t>Faba</w:t>
            </w:r>
            <w:proofErr w:type="spellEnd"/>
            <w:r w:rsidRPr="00F63475">
              <w:rPr>
                <w:rFonts w:ascii="Arial" w:eastAsia="Times New Roman" w:hAnsi="Arial" w:cs="Arial"/>
                <w:color w:val="000000"/>
                <w:lang w:eastAsia="en-GB"/>
              </w:rPr>
              <w:t xml:space="preserve"> bean </w:t>
            </w:r>
          </w:p>
        </w:tc>
        <w:tc>
          <w:tcPr>
            <w:tcW w:w="1993" w:type="dxa"/>
            <w:tcBorders>
              <w:top w:val="nil"/>
              <w:left w:val="nil"/>
              <w:bottom w:val="single" w:sz="4" w:space="0" w:color="auto"/>
              <w:right w:val="single" w:sz="4" w:space="0" w:color="auto"/>
            </w:tcBorders>
            <w:shd w:val="clear" w:color="000000" w:fill="FCE4D6"/>
            <w:noWrap/>
            <w:vAlign w:val="bottom"/>
            <w:hideMark/>
          </w:tcPr>
          <w:p w14:paraId="7C8238CC"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0" w:type="dxa"/>
            <w:tcBorders>
              <w:top w:val="nil"/>
              <w:left w:val="nil"/>
              <w:bottom w:val="single" w:sz="4" w:space="0" w:color="auto"/>
              <w:right w:val="single" w:sz="4" w:space="0" w:color="auto"/>
            </w:tcBorders>
            <w:shd w:val="clear" w:color="000000" w:fill="FCE4D6"/>
            <w:noWrap/>
            <w:vAlign w:val="bottom"/>
            <w:hideMark/>
          </w:tcPr>
          <w:p w14:paraId="2AC9E31F"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51" w:type="dxa"/>
            <w:tcBorders>
              <w:top w:val="nil"/>
              <w:left w:val="nil"/>
              <w:bottom w:val="single" w:sz="4" w:space="0" w:color="auto"/>
              <w:right w:val="single" w:sz="4" w:space="0" w:color="auto"/>
            </w:tcBorders>
            <w:shd w:val="clear" w:color="000000" w:fill="FCE4D6"/>
            <w:noWrap/>
            <w:vAlign w:val="bottom"/>
            <w:hideMark/>
          </w:tcPr>
          <w:p w14:paraId="1E1ADD3A"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34" w:type="dxa"/>
            <w:tcBorders>
              <w:top w:val="single" w:sz="4" w:space="0" w:color="auto"/>
              <w:left w:val="nil"/>
              <w:bottom w:val="single" w:sz="4" w:space="0" w:color="auto"/>
            </w:tcBorders>
            <w:shd w:val="clear" w:color="000000" w:fill="FCE4D6"/>
            <w:noWrap/>
            <w:vAlign w:val="bottom"/>
            <w:hideMark/>
          </w:tcPr>
          <w:p w14:paraId="07A5C00F"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3B38BC" w14:paraId="52F8C189" w14:textId="77777777" w:rsidTr="00616CDC">
        <w:trPr>
          <w:trHeight w:val="186"/>
          <w:jc w:val="center"/>
        </w:trPr>
        <w:tc>
          <w:tcPr>
            <w:tcW w:w="282" w:type="dxa"/>
            <w:tcBorders>
              <w:top w:val="nil"/>
              <w:left w:val="nil"/>
              <w:bottom w:val="nil"/>
            </w:tcBorders>
            <w:shd w:val="clear" w:color="auto" w:fill="auto"/>
            <w:noWrap/>
            <w:vAlign w:val="bottom"/>
            <w:hideMark/>
          </w:tcPr>
          <w:p w14:paraId="456E56CA"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3504616B"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Hemp </w:t>
            </w:r>
          </w:p>
        </w:tc>
        <w:tc>
          <w:tcPr>
            <w:tcW w:w="1993" w:type="dxa"/>
            <w:tcBorders>
              <w:top w:val="nil"/>
              <w:left w:val="nil"/>
              <w:bottom w:val="single" w:sz="4" w:space="0" w:color="auto"/>
              <w:right w:val="single" w:sz="4" w:space="0" w:color="auto"/>
            </w:tcBorders>
            <w:shd w:val="clear" w:color="auto" w:fill="auto"/>
            <w:noWrap/>
            <w:vAlign w:val="bottom"/>
            <w:hideMark/>
          </w:tcPr>
          <w:p w14:paraId="041A1E24"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0" w:type="dxa"/>
            <w:tcBorders>
              <w:top w:val="nil"/>
              <w:left w:val="nil"/>
              <w:bottom w:val="single" w:sz="4" w:space="0" w:color="auto"/>
              <w:right w:val="single" w:sz="4" w:space="0" w:color="auto"/>
            </w:tcBorders>
            <w:shd w:val="clear" w:color="auto" w:fill="auto"/>
            <w:noWrap/>
            <w:vAlign w:val="bottom"/>
            <w:hideMark/>
          </w:tcPr>
          <w:p w14:paraId="7902FD80"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51" w:type="dxa"/>
            <w:tcBorders>
              <w:top w:val="nil"/>
              <w:left w:val="nil"/>
              <w:bottom w:val="single" w:sz="4" w:space="0" w:color="auto"/>
              <w:right w:val="single" w:sz="4" w:space="0" w:color="auto"/>
            </w:tcBorders>
            <w:shd w:val="clear" w:color="auto" w:fill="auto"/>
            <w:noWrap/>
            <w:vAlign w:val="bottom"/>
            <w:hideMark/>
          </w:tcPr>
          <w:p w14:paraId="02C42113"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34" w:type="dxa"/>
            <w:tcBorders>
              <w:top w:val="single" w:sz="4" w:space="0" w:color="auto"/>
              <w:left w:val="nil"/>
              <w:bottom w:val="single" w:sz="4" w:space="0" w:color="auto"/>
            </w:tcBorders>
            <w:shd w:val="clear" w:color="auto" w:fill="auto"/>
            <w:noWrap/>
            <w:vAlign w:val="bottom"/>
            <w:hideMark/>
          </w:tcPr>
          <w:p w14:paraId="393575E6"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3B38BC" w14:paraId="71E20E69" w14:textId="77777777" w:rsidTr="00616CDC">
        <w:trPr>
          <w:trHeight w:val="186"/>
          <w:jc w:val="center"/>
        </w:trPr>
        <w:tc>
          <w:tcPr>
            <w:tcW w:w="282" w:type="dxa"/>
            <w:tcBorders>
              <w:top w:val="nil"/>
              <w:left w:val="nil"/>
              <w:bottom w:val="nil"/>
            </w:tcBorders>
            <w:shd w:val="clear" w:color="auto" w:fill="auto"/>
            <w:noWrap/>
            <w:vAlign w:val="bottom"/>
            <w:hideMark/>
          </w:tcPr>
          <w:p w14:paraId="2C259277"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3870B613"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Linseed </w:t>
            </w:r>
          </w:p>
        </w:tc>
        <w:tc>
          <w:tcPr>
            <w:tcW w:w="1993" w:type="dxa"/>
            <w:tcBorders>
              <w:top w:val="nil"/>
              <w:left w:val="nil"/>
              <w:bottom w:val="single" w:sz="4" w:space="0" w:color="auto"/>
              <w:right w:val="single" w:sz="4" w:space="0" w:color="auto"/>
            </w:tcBorders>
            <w:shd w:val="clear" w:color="000000" w:fill="FCE4D6"/>
            <w:noWrap/>
            <w:vAlign w:val="bottom"/>
            <w:hideMark/>
          </w:tcPr>
          <w:p w14:paraId="5705BE62"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0" w:type="dxa"/>
            <w:tcBorders>
              <w:top w:val="nil"/>
              <w:left w:val="nil"/>
              <w:bottom w:val="single" w:sz="4" w:space="0" w:color="auto"/>
              <w:right w:val="single" w:sz="4" w:space="0" w:color="auto"/>
            </w:tcBorders>
            <w:shd w:val="clear" w:color="000000" w:fill="FCE4D6"/>
            <w:noWrap/>
            <w:vAlign w:val="bottom"/>
            <w:hideMark/>
          </w:tcPr>
          <w:p w14:paraId="12659A62"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Poor host </w:t>
            </w:r>
          </w:p>
        </w:tc>
        <w:tc>
          <w:tcPr>
            <w:tcW w:w="1951" w:type="dxa"/>
            <w:tcBorders>
              <w:top w:val="nil"/>
              <w:left w:val="nil"/>
              <w:bottom w:val="single" w:sz="4" w:space="0" w:color="auto"/>
              <w:right w:val="single" w:sz="4" w:space="0" w:color="auto"/>
            </w:tcBorders>
            <w:shd w:val="clear" w:color="000000" w:fill="FCE4D6"/>
            <w:noWrap/>
            <w:vAlign w:val="bottom"/>
            <w:hideMark/>
          </w:tcPr>
          <w:p w14:paraId="5EE060D7"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34" w:type="dxa"/>
            <w:tcBorders>
              <w:top w:val="single" w:sz="4" w:space="0" w:color="auto"/>
              <w:left w:val="nil"/>
              <w:bottom w:val="single" w:sz="4" w:space="0" w:color="auto"/>
            </w:tcBorders>
            <w:shd w:val="clear" w:color="000000" w:fill="FCE4D6"/>
            <w:noWrap/>
            <w:vAlign w:val="bottom"/>
            <w:hideMark/>
          </w:tcPr>
          <w:p w14:paraId="60EFFDA2"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3B38BC" w14:paraId="653A68FC" w14:textId="77777777" w:rsidTr="00616CDC">
        <w:trPr>
          <w:trHeight w:val="186"/>
          <w:jc w:val="center"/>
        </w:trPr>
        <w:tc>
          <w:tcPr>
            <w:tcW w:w="282" w:type="dxa"/>
            <w:tcBorders>
              <w:top w:val="nil"/>
              <w:left w:val="nil"/>
              <w:bottom w:val="nil"/>
            </w:tcBorders>
            <w:shd w:val="clear" w:color="auto" w:fill="auto"/>
            <w:noWrap/>
            <w:vAlign w:val="bottom"/>
            <w:hideMark/>
          </w:tcPr>
          <w:p w14:paraId="084FB4D4"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74D8E508"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Lucerne </w:t>
            </w:r>
          </w:p>
        </w:tc>
        <w:tc>
          <w:tcPr>
            <w:tcW w:w="1993" w:type="dxa"/>
            <w:tcBorders>
              <w:top w:val="nil"/>
              <w:left w:val="nil"/>
              <w:bottom w:val="single" w:sz="4" w:space="0" w:color="auto"/>
              <w:right w:val="single" w:sz="4" w:space="0" w:color="auto"/>
            </w:tcBorders>
            <w:shd w:val="clear" w:color="000000" w:fill="FFFF00"/>
            <w:noWrap/>
            <w:vAlign w:val="bottom"/>
            <w:hideMark/>
          </w:tcPr>
          <w:p w14:paraId="3FD750B4"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0" w:type="dxa"/>
            <w:tcBorders>
              <w:top w:val="nil"/>
              <w:left w:val="nil"/>
              <w:bottom w:val="single" w:sz="4" w:space="0" w:color="auto"/>
              <w:right w:val="single" w:sz="4" w:space="0" w:color="auto"/>
            </w:tcBorders>
            <w:shd w:val="clear" w:color="000000" w:fill="FFFF00"/>
            <w:noWrap/>
            <w:vAlign w:val="bottom"/>
            <w:hideMark/>
          </w:tcPr>
          <w:p w14:paraId="423FD957"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Poor host </w:t>
            </w:r>
          </w:p>
        </w:tc>
        <w:tc>
          <w:tcPr>
            <w:tcW w:w="1951" w:type="dxa"/>
            <w:tcBorders>
              <w:top w:val="nil"/>
              <w:left w:val="nil"/>
              <w:bottom w:val="single" w:sz="4" w:space="0" w:color="auto"/>
              <w:right w:val="single" w:sz="4" w:space="0" w:color="auto"/>
            </w:tcBorders>
            <w:shd w:val="clear" w:color="000000" w:fill="FFFF00"/>
            <w:noWrap/>
            <w:vAlign w:val="bottom"/>
            <w:hideMark/>
          </w:tcPr>
          <w:p w14:paraId="2681B12E"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34" w:type="dxa"/>
            <w:tcBorders>
              <w:top w:val="single" w:sz="4" w:space="0" w:color="auto"/>
              <w:left w:val="nil"/>
              <w:bottom w:val="single" w:sz="4" w:space="0" w:color="auto"/>
            </w:tcBorders>
            <w:shd w:val="clear" w:color="000000" w:fill="FFFF00"/>
            <w:noWrap/>
            <w:vAlign w:val="bottom"/>
            <w:hideMark/>
          </w:tcPr>
          <w:p w14:paraId="5876EBA1"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3B38BC" w14:paraId="0F169A3A" w14:textId="77777777" w:rsidTr="00616CDC">
        <w:trPr>
          <w:trHeight w:val="186"/>
          <w:jc w:val="center"/>
        </w:trPr>
        <w:tc>
          <w:tcPr>
            <w:tcW w:w="282" w:type="dxa"/>
            <w:tcBorders>
              <w:top w:val="nil"/>
              <w:left w:val="nil"/>
              <w:bottom w:val="nil"/>
            </w:tcBorders>
            <w:shd w:val="clear" w:color="auto" w:fill="auto"/>
            <w:noWrap/>
            <w:vAlign w:val="bottom"/>
            <w:hideMark/>
          </w:tcPr>
          <w:p w14:paraId="0CDA8229"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35C026FA"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Lupins </w:t>
            </w:r>
          </w:p>
        </w:tc>
        <w:tc>
          <w:tcPr>
            <w:tcW w:w="1993" w:type="dxa"/>
            <w:tcBorders>
              <w:top w:val="nil"/>
              <w:left w:val="nil"/>
              <w:bottom w:val="single" w:sz="4" w:space="0" w:color="auto"/>
              <w:right w:val="single" w:sz="4" w:space="0" w:color="auto"/>
            </w:tcBorders>
            <w:shd w:val="clear" w:color="auto" w:fill="auto"/>
            <w:noWrap/>
            <w:vAlign w:val="bottom"/>
            <w:hideMark/>
          </w:tcPr>
          <w:p w14:paraId="27A4149F"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0" w:type="dxa"/>
            <w:tcBorders>
              <w:top w:val="nil"/>
              <w:left w:val="nil"/>
              <w:bottom w:val="single" w:sz="4" w:space="0" w:color="auto"/>
              <w:right w:val="single" w:sz="4" w:space="0" w:color="auto"/>
            </w:tcBorders>
            <w:shd w:val="clear" w:color="000000" w:fill="A9D08E"/>
            <w:noWrap/>
            <w:vAlign w:val="bottom"/>
            <w:hideMark/>
          </w:tcPr>
          <w:p w14:paraId="5CB7DC65"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951" w:type="dxa"/>
            <w:tcBorders>
              <w:top w:val="nil"/>
              <w:left w:val="nil"/>
              <w:bottom w:val="single" w:sz="4" w:space="0" w:color="auto"/>
              <w:right w:val="single" w:sz="4" w:space="0" w:color="auto"/>
            </w:tcBorders>
            <w:shd w:val="clear" w:color="000000" w:fill="A9D08E"/>
            <w:noWrap/>
            <w:vAlign w:val="bottom"/>
            <w:hideMark/>
          </w:tcPr>
          <w:p w14:paraId="148EF738"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34" w:type="dxa"/>
            <w:tcBorders>
              <w:top w:val="single" w:sz="4" w:space="0" w:color="auto"/>
              <w:left w:val="nil"/>
              <w:bottom w:val="single" w:sz="4" w:space="0" w:color="auto"/>
            </w:tcBorders>
            <w:shd w:val="clear" w:color="000000" w:fill="A9D08E"/>
            <w:noWrap/>
            <w:vAlign w:val="bottom"/>
            <w:hideMark/>
          </w:tcPr>
          <w:p w14:paraId="4BAEE1BB"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3B38BC" w14:paraId="38B803A2" w14:textId="77777777" w:rsidTr="00616CDC">
        <w:trPr>
          <w:trHeight w:val="186"/>
          <w:jc w:val="center"/>
        </w:trPr>
        <w:tc>
          <w:tcPr>
            <w:tcW w:w="282" w:type="dxa"/>
            <w:tcBorders>
              <w:top w:val="nil"/>
              <w:left w:val="nil"/>
              <w:bottom w:val="nil"/>
            </w:tcBorders>
            <w:shd w:val="clear" w:color="auto" w:fill="auto"/>
            <w:noWrap/>
            <w:vAlign w:val="bottom"/>
            <w:hideMark/>
          </w:tcPr>
          <w:p w14:paraId="71276DFF"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10B3C20E"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Maize (Corn)</w:t>
            </w:r>
          </w:p>
        </w:tc>
        <w:tc>
          <w:tcPr>
            <w:tcW w:w="1993" w:type="dxa"/>
            <w:tcBorders>
              <w:top w:val="nil"/>
              <w:left w:val="nil"/>
              <w:bottom w:val="single" w:sz="4" w:space="0" w:color="auto"/>
              <w:right w:val="single" w:sz="4" w:space="0" w:color="auto"/>
            </w:tcBorders>
            <w:shd w:val="clear" w:color="000000" w:fill="FCE4D6"/>
            <w:noWrap/>
            <w:vAlign w:val="bottom"/>
            <w:hideMark/>
          </w:tcPr>
          <w:p w14:paraId="5B2854A6"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0" w:type="dxa"/>
            <w:tcBorders>
              <w:top w:val="nil"/>
              <w:left w:val="nil"/>
              <w:bottom w:val="single" w:sz="4" w:space="0" w:color="auto"/>
              <w:right w:val="single" w:sz="4" w:space="0" w:color="auto"/>
            </w:tcBorders>
            <w:shd w:val="clear" w:color="000000" w:fill="FCE4D6"/>
            <w:noWrap/>
            <w:vAlign w:val="bottom"/>
            <w:hideMark/>
          </w:tcPr>
          <w:p w14:paraId="35443BAC"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951" w:type="dxa"/>
            <w:tcBorders>
              <w:top w:val="nil"/>
              <w:left w:val="nil"/>
              <w:bottom w:val="single" w:sz="4" w:space="0" w:color="auto"/>
              <w:right w:val="single" w:sz="4" w:space="0" w:color="auto"/>
            </w:tcBorders>
            <w:shd w:val="clear" w:color="000000" w:fill="FCE4D6"/>
            <w:noWrap/>
            <w:vAlign w:val="bottom"/>
            <w:hideMark/>
          </w:tcPr>
          <w:p w14:paraId="15B20762"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34" w:type="dxa"/>
            <w:tcBorders>
              <w:top w:val="single" w:sz="4" w:space="0" w:color="auto"/>
              <w:left w:val="nil"/>
              <w:bottom w:val="single" w:sz="4" w:space="0" w:color="auto"/>
            </w:tcBorders>
            <w:shd w:val="clear" w:color="000000" w:fill="FCE4D6"/>
            <w:noWrap/>
            <w:vAlign w:val="bottom"/>
            <w:hideMark/>
          </w:tcPr>
          <w:p w14:paraId="69D20288"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r>
      <w:tr w:rsidR="00F63475" w:rsidRPr="003B38BC" w14:paraId="47F76DE2" w14:textId="77777777" w:rsidTr="00616CDC">
        <w:trPr>
          <w:trHeight w:val="186"/>
          <w:jc w:val="center"/>
        </w:trPr>
        <w:tc>
          <w:tcPr>
            <w:tcW w:w="282" w:type="dxa"/>
            <w:tcBorders>
              <w:top w:val="nil"/>
              <w:left w:val="nil"/>
              <w:bottom w:val="nil"/>
            </w:tcBorders>
            <w:shd w:val="clear" w:color="auto" w:fill="auto"/>
            <w:noWrap/>
            <w:vAlign w:val="bottom"/>
            <w:hideMark/>
          </w:tcPr>
          <w:p w14:paraId="06702ABB"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18240959"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Oat </w:t>
            </w:r>
          </w:p>
        </w:tc>
        <w:tc>
          <w:tcPr>
            <w:tcW w:w="1993" w:type="dxa"/>
            <w:tcBorders>
              <w:top w:val="nil"/>
              <w:left w:val="nil"/>
              <w:bottom w:val="single" w:sz="4" w:space="0" w:color="auto"/>
              <w:right w:val="single" w:sz="4" w:space="0" w:color="auto"/>
            </w:tcBorders>
            <w:shd w:val="clear" w:color="000000" w:fill="C6E0B4"/>
            <w:noWrap/>
            <w:vAlign w:val="bottom"/>
            <w:hideMark/>
          </w:tcPr>
          <w:p w14:paraId="398764C3"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0" w:type="dxa"/>
            <w:tcBorders>
              <w:top w:val="nil"/>
              <w:left w:val="nil"/>
              <w:bottom w:val="single" w:sz="4" w:space="0" w:color="auto"/>
              <w:right w:val="single" w:sz="4" w:space="0" w:color="auto"/>
            </w:tcBorders>
            <w:shd w:val="clear" w:color="000000" w:fill="C6E0B4"/>
            <w:noWrap/>
            <w:vAlign w:val="bottom"/>
            <w:hideMark/>
          </w:tcPr>
          <w:p w14:paraId="1A3166FB"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1951" w:type="dxa"/>
            <w:tcBorders>
              <w:top w:val="nil"/>
              <w:left w:val="nil"/>
              <w:bottom w:val="single" w:sz="4" w:space="0" w:color="auto"/>
              <w:right w:val="single" w:sz="4" w:space="0" w:color="auto"/>
            </w:tcBorders>
            <w:shd w:val="clear" w:color="000000" w:fill="C6E0B4"/>
            <w:noWrap/>
            <w:vAlign w:val="bottom"/>
            <w:hideMark/>
          </w:tcPr>
          <w:p w14:paraId="7448725D"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34" w:type="dxa"/>
            <w:tcBorders>
              <w:top w:val="single" w:sz="4" w:space="0" w:color="auto"/>
              <w:left w:val="nil"/>
              <w:bottom w:val="single" w:sz="4" w:space="0" w:color="auto"/>
            </w:tcBorders>
            <w:shd w:val="clear" w:color="000000" w:fill="C6E0B4"/>
            <w:noWrap/>
            <w:vAlign w:val="bottom"/>
            <w:hideMark/>
          </w:tcPr>
          <w:p w14:paraId="1A58490E"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3B38BC" w14:paraId="4A77CACC" w14:textId="77777777" w:rsidTr="00616CDC">
        <w:trPr>
          <w:trHeight w:val="186"/>
          <w:jc w:val="center"/>
        </w:trPr>
        <w:tc>
          <w:tcPr>
            <w:tcW w:w="282" w:type="dxa"/>
            <w:tcBorders>
              <w:top w:val="nil"/>
              <w:left w:val="nil"/>
              <w:bottom w:val="nil"/>
            </w:tcBorders>
            <w:shd w:val="clear" w:color="auto" w:fill="auto"/>
            <w:noWrap/>
            <w:vAlign w:val="bottom"/>
            <w:hideMark/>
          </w:tcPr>
          <w:p w14:paraId="7A3F6219"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6CA3419B"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Potato </w:t>
            </w:r>
          </w:p>
        </w:tc>
        <w:tc>
          <w:tcPr>
            <w:tcW w:w="1993" w:type="dxa"/>
            <w:tcBorders>
              <w:top w:val="nil"/>
              <w:left w:val="nil"/>
              <w:bottom w:val="single" w:sz="4" w:space="0" w:color="auto"/>
              <w:right w:val="single" w:sz="4" w:space="0" w:color="auto"/>
            </w:tcBorders>
            <w:shd w:val="clear" w:color="000000" w:fill="FCE4D6"/>
            <w:noWrap/>
            <w:vAlign w:val="bottom"/>
            <w:hideMark/>
          </w:tcPr>
          <w:p w14:paraId="4E18C022"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770" w:type="dxa"/>
            <w:tcBorders>
              <w:top w:val="nil"/>
              <w:left w:val="nil"/>
              <w:bottom w:val="single" w:sz="4" w:space="0" w:color="auto"/>
              <w:right w:val="single" w:sz="4" w:space="0" w:color="auto"/>
            </w:tcBorders>
            <w:shd w:val="clear" w:color="000000" w:fill="FF0000"/>
            <w:noWrap/>
            <w:vAlign w:val="bottom"/>
            <w:hideMark/>
          </w:tcPr>
          <w:p w14:paraId="268FB6B0"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Poor host </w:t>
            </w:r>
          </w:p>
        </w:tc>
        <w:tc>
          <w:tcPr>
            <w:tcW w:w="1951" w:type="dxa"/>
            <w:tcBorders>
              <w:top w:val="nil"/>
              <w:left w:val="nil"/>
              <w:bottom w:val="single" w:sz="4" w:space="0" w:color="auto"/>
              <w:right w:val="single" w:sz="4" w:space="0" w:color="auto"/>
            </w:tcBorders>
            <w:shd w:val="clear" w:color="000000" w:fill="FCE4D6"/>
            <w:noWrap/>
            <w:vAlign w:val="bottom"/>
            <w:hideMark/>
          </w:tcPr>
          <w:p w14:paraId="72604BB6"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1934" w:type="dxa"/>
            <w:tcBorders>
              <w:top w:val="single" w:sz="4" w:space="0" w:color="auto"/>
              <w:left w:val="nil"/>
              <w:bottom w:val="single" w:sz="4" w:space="0" w:color="auto"/>
            </w:tcBorders>
            <w:shd w:val="clear" w:color="000000" w:fill="FCE4D6"/>
            <w:noWrap/>
            <w:vAlign w:val="bottom"/>
            <w:hideMark/>
          </w:tcPr>
          <w:p w14:paraId="734573C9"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r>
      <w:tr w:rsidR="00F63475" w:rsidRPr="003B38BC" w14:paraId="5E000D40" w14:textId="77777777" w:rsidTr="00616CDC">
        <w:trPr>
          <w:trHeight w:val="186"/>
          <w:jc w:val="center"/>
        </w:trPr>
        <w:tc>
          <w:tcPr>
            <w:tcW w:w="282" w:type="dxa"/>
            <w:tcBorders>
              <w:top w:val="nil"/>
              <w:left w:val="nil"/>
              <w:bottom w:val="nil"/>
            </w:tcBorders>
            <w:shd w:val="clear" w:color="auto" w:fill="auto"/>
            <w:noWrap/>
            <w:vAlign w:val="bottom"/>
            <w:hideMark/>
          </w:tcPr>
          <w:p w14:paraId="70ABD9C9"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0BCEE085"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Rapeseed</w:t>
            </w:r>
          </w:p>
        </w:tc>
        <w:tc>
          <w:tcPr>
            <w:tcW w:w="1993" w:type="dxa"/>
            <w:tcBorders>
              <w:top w:val="nil"/>
              <w:left w:val="nil"/>
              <w:bottom w:val="single" w:sz="4" w:space="0" w:color="auto"/>
              <w:right w:val="single" w:sz="4" w:space="0" w:color="auto"/>
            </w:tcBorders>
            <w:shd w:val="clear" w:color="000000" w:fill="FCE4D6"/>
            <w:noWrap/>
            <w:vAlign w:val="bottom"/>
            <w:hideMark/>
          </w:tcPr>
          <w:p w14:paraId="1A880265"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0" w:type="dxa"/>
            <w:tcBorders>
              <w:top w:val="nil"/>
              <w:left w:val="nil"/>
              <w:bottom w:val="single" w:sz="4" w:space="0" w:color="auto"/>
              <w:right w:val="single" w:sz="4" w:space="0" w:color="auto"/>
            </w:tcBorders>
            <w:shd w:val="clear" w:color="000000" w:fill="FCE4D6"/>
            <w:noWrap/>
            <w:vAlign w:val="bottom"/>
            <w:hideMark/>
          </w:tcPr>
          <w:p w14:paraId="6ED09961"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951" w:type="dxa"/>
            <w:tcBorders>
              <w:top w:val="nil"/>
              <w:left w:val="nil"/>
              <w:bottom w:val="single" w:sz="4" w:space="0" w:color="auto"/>
              <w:right w:val="single" w:sz="4" w:space="0" w:color="auto"/>
            </w:tcBorders>
            <w:shd w:val="clear" w:color="000000" w:fill="FCE4D6"/>
            <w:noWrap/>
            <w:vAlign w:val="bottom"/>
            <w:hideMark/>
          </w:tcPr>
          <w:p w14:paraId="53992363"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934" w:type="dxa"/>
            <w:tcBorders>
              <w:top w:val="single" w:sz="4" w:space="0" w:color="auto"/>
              <w:left w:val="nil"/>
              <w:bottom w:val="single" w:sz="4" w:space="0" w:color="auto"/>
            </w:tcBorders>
            <w:shd w:val="clear" w:color="000000" w:fill="FCE4D6"/>
            <w:noWrap/>
            <w:vAlign w:val="bottom"/>
            <w:hideMark/>
          </w:tcPr>
          <w:p w14:paraId="34EF5E43"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3B38BC" w14:paraId="0D97E708" w14:textId="77777777" w:rsidTr="00616CDC">
        <w:trPr>
          <w:trHeight w:val="186"/>
          <w:jc w:val="center"/>
        </w:trPr>
        <w:tc>
          <w:tcPr>
            <w:tcW w:w="282" w:type="dxa"/>
            <w:tcBorders>
              <w:top w:val="nil"/>
              <w:left w:val="nil"/>
              <w:bottom w:val="nil"/>
            </w:tcBorders>
            <w:shd w:val="clear" w:color="auto" w:fill="auto"/>
            <w:noWrap/>
            <w:vAlign w:val="bottom"/>
            <w:hideMark/>
          </w:tcPr>
          <w:p w14:paraId="43093315"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52F97682"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Rice </w:t>
            </w:r>
          </w:p>
        </w:tc>
        <w:tc>
          <w:tcPr>
            <w:tcW w:w="1993" w:type="dxa"/>
            <w:tcBorders>
              <w:top w:val="nil"/>
              <w:left w:val="nil"/>
              <w:bottom w:val="single" w:sz="4" w:space="0" w:color="auto"/>
              <w:right w:val="single" w:sz="4" w:space="0" w:color="auto"/>
            </w:tcBorders>
            <w:shd w:val="clear" w:color="auto" w:fill="auto"/>
            <w:noWrap/>
            <w:vAlign w:val="bottom"/>
            <w:hideMark/>
          </w:tcPr>
          <w:p w14:paraId="474436D0"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0" w:type="dxa"/>
            <w:tcBorders>
              <w:top w:val="nil"/>
              <w:left w:val="nil"/>
              <w:bottom w:val="single" w:sz="4" w:space="0" w:color="auto"/>
              <w:right w:val="single" w:sz="4" w:space="0" w:color="auto"/>
            </w:tcBorders>
            <w:shd w:val="clear" w:color="auto" w:fill="auto"/>
            <w:noWrap/>
            <w:vAlign w:val="bottom"/>
            <w:hideMark/>
          </w:tcPr>
          <w:p w14:paraId="1EF79E62"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51" w:type="dxa"/>
            <w:tcBorders>
              <w:top w:val="nil"/>
              <w:left w:val="nil"/>
              <w:bottom w:val="single" w:sz="4" w:space="0" w:color="auto"/>
              <w:right w:val="single" w:sz="4" w:space="0" w:color="auto"/>
            </w:tcBorders>
            <w:shd w:val="clear" w:color="auto" w:fill="auto"/>
            <w:noWrap/>
            <w:vAlign w:val="bottom"/>
            <w:hideMark/>
          </w:tcPr>
          <w:p w14:paraId="1C83E0C2"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34" w:type="dxa"/>
            <w:tcBorders>
              <w:top w:val="single" w:sz="4" w:space="0" w:color="auto"/>
              <w:left w:val="nil"/>
              <w:bottom w:val="single" w:sz="4" w:space="0" w:color="auto"/>
            </w:tcBorders>
            <w:shd w:val="clear" w:color="auto" w:fill="auto"/>
            <w:noWrap/>
            <w:vAlign w:val="bottom"/>
            <w:hideMark/>
          </w:tcPr>
          <w:p w14:paraId="0A522D13"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3B38BC" w14:paraId="0407C9AD" w14:textId="77777777" w:rsidTr="00616CDC">
        <w:trPr>
          <w:trHeight w:val="186"/>
          <w:jc w:val="center"/>
        </w:trPr>
        <w:tc>
          <w:tcPr>
            <w:tcW w:w="282" w:type="dxa"/>
            <w:tcBorders>
              <w:top w:val="nil"/>
              <w:left w:val="nil"/>
              <w:bottom w:val="nil"/>
            </w:tcBorders>
            <w:shd w:val="clear" w:color="auto" w:fill="auto"/>
            <w:noWrap/>
            <w:vAlign w:val="bottom"/>
            <w:hideMark/>
          </w:tcPr>
          <w:p w14:paraId="1786C911"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28DC5CA1"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Rye </w:t>
            </w:r>
          </w:p>
        </w:tc>
        <w:tc>
          <w:tcPr>
            <w:tcW w:w="1993" w:type="dxa"/>
            <w:tcBorders>
              <w:top w:val="nil"/>
              <w:left w:val="nil"/>
              <w:bottom w:val="single" w:sz="4" w:space="0" w:color="auto"/>
              <w:right w:val="single" w:sz="4" w:space="0" w:color="auto"/>
            </w:tcBorders>
            <w:shd w:val="clear" w:color="000000" w:fill="C6E0B4"/>
            <w:noWrap/>
            <w:vAlign w:val="bottom"/>
            <w:hideMark/>
          </w:tcPr>
          <w:p w14:paraId="28DA62F5"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770" w:type="dxa"/>
            <w:tcBorders>
              <w:top w:val="nil"/>
              <w:left w:val="nil"/>
              <w:bottom w:val="single" w:sz="4" w:space="0" w:color="auto"/>
              <w:right w:val="single" w:sz="4" w:space="0" w:color="auto"/>
            </w:tcBorders>
            <w:shd w:val="clear" w:color="000000" w:fill="C6E0B4"/>
            <w:noWrap/>
            <w:vAlign w:val="bottom"/>
            <w:hideMark/>
          </w:tcPr>
          <w:p w14:paraId="5D131C01"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951" w:type="dxa"/>
            <w:tcBorders>
              <w:top w:val="nil"/>
              <w:left w:val="nil"/>
              <w:bottom w:val="single" w:sz="4" w:space="0" w:color="auto"/>
              <w:right w:val="single" w:sz="4" w:space="0" w:color="auto"/>
            </w:tcBorders>
            <w:shd w:val="clear" w:color="000000" w:fill="C6E0B4"/>
            <w:noWrap/>
            <w:vAlign w:val="bottom"/>
            <w:hideMark/>
          </w:tcPr>
          <w:p w14:paraId="41264BBF"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34" w:type="dxa"/>
            <w:tcBorders>
              <w:top w:val="single" w:sz="4" w:space="0" w:color="auto"/>
              <w:left w:val="nil"/>
              <w:bottom w:val="single" w:sz="4" w:space="0" w:color="auto"/>
            </w:tcBorders>
            <w:shd w:val="clear" w:color="000000" w:fill="C6E0B4"/>
            <w:noWrap/>
            <w:vAlign w:val="bottom"/>
            <w:hideMark/>
          </w:tcPr>
          <w:p w14:paraId="7534C21D"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3B38BC" w14:paraId="37DD8E86" w14:textId="77777777" w:rsidTr="00616CDC">
        <w:trPr>
          <w:trHeight w:val="186"/>
          <w:jc w:val="center"/>
        </w:trPr>
        <w:tc>
          <w:tcPr>
            <w:tcW w:w="282" w:type="dxa"/>
            <w:tcBorders>
              <w:top w:val="nil"/>
              <w:left w:val="nil"/>
              <w:bottom w:val="nil"/>
            </w:tcBorders>
            <w:shd w:val="clear" w:color="auto" w:fill="auto"/>
            <w:noWrap/>
            <w:vAlign w:val="bottom"/>
            <w:hideMark/>
          </w:tcPr>
          <w:p w14:paraId="39D09E22"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134F3F3E"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Soybean</w:t>
            </w:r>
          </w:p>
        </w:tc>
        <w:tc>
          <w:tcPr>
            <w:tcW w:w="1993" w:type="dxa"/>
            <w:tcBorders>
              <w:top w:val="nil"/>
              <w:left w:val="nil"/>
              <w:bottom w:val="single" w:sz="4" w:space="0" w:color="auto"/>
              <w:right w:val="single" w:sz="4" w:space="0" w:color="auto"/>
            </w:tcBorders>
            <w:shd w:val="clear" w:color="auto" w:fill="auto"/>
            <w:noWrap/>
            <w:vAlign w:val="bottom"/>
            <w:hideMark/>
          </w:tcPr>
          <w:p w14:paraId="6239EC89"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0" w:type="dxa"/>
            <w:tcBorders>
              <w:top w:val="nil"/>
              <w:left w:val="nil"/>
              <w:bottom w:val="single" w:sz="4" w:space="0" w:color="auto"/>
              <w:right w:val="single" w:sz="4" w:space="0" w:color="auto"/>
            </w:tcBorders>
            <w:shd w:val="clear" w:color="auto" w:fill="auto"/>
            <w:noWrap/>
            <w:vAlign w:val="bottom"/>
            <w:hideMark/>
          </w:tcPr>
          <w:p w14:paraId="63343AC1"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51" w:type="dxa"/>
            <w:tcBorders>
              <w:top w:val="nil"/>
              <w:left w:val="nil"/>
              <w:bottom w:val="single" w:sz="4" w:space="0" w:color="auto"/>
              <w:right w:val="single" w:sz="4" w:space="0" w:color="auto"/>
            </w:tcBorders>
            <w:shd w:val="clear" w:color="auto" w:fill="auto"/>
            <w:noWrap/>
            <w:vAlign w:val="bottom"/>
            <w:hideMark/>
          </w:tcPr>
          <w:p w14:paraId="65BEE909"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34" w:type="dxa"/>
            <w:tcBorders>
              <w:top w:val="single" w:sz="4" w:space="0" w:color="auto"/>
              <w:left w:val="nil"/>
              <w:bottom w:val="single" w:sz="4" w:space="0" w:color="auto"/>
            </w:tcBorders>
            <w:shd w:val="clear" w:color="auto" w:fill="auto"/>
            <w:noWrap/>
            <w:vAlign w:val="bottom"/>
            <w:hideMark/>
          </w:tcPr>
          <w:p w14:paraId="67FEDFD3"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3B38BC" w14:paraId="1D0E0D0C" w14:textId="77777777" w:rsidTr="00616CDC">
        <w:trPr>
          <w:trHeight w:val="186"/>
          <w:jc w:val="center"/>
        </w:trPr>
        <w:tc>
          <w:tcPr>
            <w:tcW w:w="282" w:type="dxa"/>
            <w:tcBorders>
              <w:top w:val="nil"/>
              <w:left w:val="nil"/>
              <w:bottom w:val="nil"/>
            </w:tcBorders>
            <w:shd w:val="clear" w:color="auto" w:fill="auto"/>
            <w:noWrap/>
            <w:vAlign w:val="bottom"/>
            <w:hideMark/>
          </w:tcPr>
          <w:p w14:paraId="49B18199"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39C59908"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Sunflower </w:t>
            </w:r>
          </w:p>
        </w:tc>
        <w:tc>
          <w:tcPr>
            <w:tcW w:w="1993" w:type="dxa"/>
            <w:tcBorders>
              <w:top w:val="nil"/>
              <w:left w:val="nil"/>
              <w:bottom w:val="single" w:sz="4" w:space="0" w:color="auto"/>
              <w:right w:val="single" w:sz="4" w:space="0" w:color="auto"/>
            </w:tcBorders>
            <w:shd w:val="clear" w:color="auto" w:fill="auto"/>
            <w:noWrap/>
            <w:vAlign w:val="bottom"/>
            <w:hideMark/>
          </w:tcPr>
          <w:p w14:paraId="6C8CA890"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0" w:type="dxa"/>
            <w:tcBorders>
              <w:top w:val="nil"/>
              <w:left w:val="nil"/>
              <w:bottom w:val="single" w:sz="4" w:space="0" w:color="auto"/>
              <w:right w:val="single" w:sz="4" w:space="0" w:color="auto"/>
            </w:tcBorders>
            <w:shd w:val="clear" w:color="auto" w:fill="auto"/>
            <w:noWrap/>
            <w:vAlign w:val="bottom"/>
            <w:hideMark/>
          </w:tcPr>
          <w:p w14:paraId="6B2B824A"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51" w:type="dxa"/>
            <w:tcBorders>
              <w:top w:val="nil"/>
              <w:left w:val="nil"/>
              <w:bottom w:val="single" w:sz="4" w:space="0" w:color="auto"/>
              <w:right w:val="single" w:sz="4" w:space="0" w:color="auto"/>
            </w:tcBorders>
            <w:shd w:val="clear" w:color="auto" w:fill="auto"/>
            <w:noWrap/>
            <w:vAlign w:val="bottom"/>
            <w:hideMark/>
          </w:tcPr>
          <w:p w14:paraId="7F3232F6"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34" w:type="dxa"/>
            <w:tcBorders>
              <w:top w:val="single" w:sz="4" w:space="0" w:color="auto"/>
              <w:left w:val="nil"/>
              <w:bottom w:val="single" w:sz="4" w:space="0" w:color="auto"/>
            </w:tcBorders>
            <w:shd w:val="clear" w:color="auto" w:fill="auto"/>
            <w:noWrap/>
            <w:vAlign w:val="bottom"/>
            <w:hideMark/>
          </w:tcPr>
          <w:p w14:paraId="43D9FEBA"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3B38BC" w14:paraId="7725186D" w14:textId="77777777" w:rsidTr="00616CDC">
        <w:trPr>
          <w:trHeight w:val="186"/>
          <w:jc w:val="center"/>
        </w:trPr>
        <w:tc>
          <w:tcPr>
            <w:tcW w:w="282" w:type="dxa"/>
            <w:tcBorders>
              <w:top w:val="nil"/>
              <w:left w:val="nil"/>
              <w:bottom w:val="nil"/>
            </w:tcBorders>
            <w:shd w:val="clear" w:color="auto" w:fill="auto"/>
            <w:noWrap/>
            <w:vAlign w:val="bottom"/>
            <w:hideMark/>
          </w:tcPr>
          <w:p w14:paraId="3F175948"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7DC8E36A"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Tobacco </w:t>
            </w:r>
          </w:p>
        </w:tc>
        <w:tc>
          <w:tcPr>
            <w:tcW w:w="1993" w:type="dxa"/>
            <w:tcBorders>
              <w:top w:val="nil"/>
              <w:left w:val="nil"/>
              <w:bottom w:val="single" w:sz="4" w:space="0" w:color="auto"/>
              <w:right w:val="single" w:sz="4" w:space="0" w:color="auto"/>
            </w:tcBorders>
            <w:shd w:val="clear" w:color="auto" w:fill="auto"/>
            <w:noWrap/>
            <w:vAlign w:val="bottom"/>
            <w:hideMark/>
          </w:tcPr>
          <w:p w14:paraId="1EC9458F"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0" w:type="dxa"/>
            <w:tcBorders>
              <w:top w:val="nil"/>
              <w:left w:val="nil"/>
              <w:bottom w:val="single" w:sz="4" w:space="0" w:color="auto"/>
              <w:right w:val="single" w:sz="4" w:space="0" w:color="auto"/>
            </w:tcBorders>
            <w:shd w:val="clear" w:color="auto" w:fill="auto"/>
            <w:noWrap/>
            <w:vAlign w:val="bottom"/>
            <w:hideMark/>
          </w:tcPr>
          <w:p w14:paraId="2A7E2FBB"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51" w:type="dxa"/>
            <w:tcBorders>
              <w:top w:val="nil"/>
              <w:left w:val="nil"/>
              <w:bottom w:val="single" w:sz="4" w:space="0" w:color="auto"/>
              <w:right w:val="single" w:sz="4" w:space="0" w:color="auto"/>
            </w:tcBorders>
            <w:shd w:val="clear" w:color="auto" w:fill="auto"/>
            <w:noWrap/>
            <w:vAlign w:val="bottom"/>
            <w:hideMark/>
          </w:tcPr>
          <w:p w14:paraId="45F9D5ED"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34" w:type="dxa"/>
            <w:tcBorders>
              <w:top w:val="single" w:sz="4" w:space="0" w:color="auto"/>
              <w:left w:val="nil"/>
              <w:bottom w:val="single" w:sz="4" w:space="0" w:color="auto"/>
            </w:tcBorders>
            <w:shd w:val="clear" w:color="auto" w:fill="auto"/>
            <w:noWrap/>
            <w:vAlign w:val="bottom"/>
            <w:hideMark/>
          </w:tcPr>
          <w:p w14:paraId="1C90B965"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3B38BC" w14:paraId="35292F4E" w14:textId="77777777" w:rsidTr="00616CDC">
        <w:trPr>
          <w:trHeight w:val="186"/>
          <w:jc w:val="center"/>
        </w:trPr>
        <w:tc>
          <w:tcPr>
            <w:tcW w:w="282" w:type="dxa"/>
            <w:tcBorders>
              <w:top w:val="nil"/>
              <w:left w:val="nil"/>
              <w:bottom w:val="nil"/>
            </w:tcBorders>
            <w:shd w:val="clear" w:color="auto" w:fill="auto"/>
            <w:noWrap/>
            <w:vAlign w:val="bottom"/>
            <w:hideMark/>
          </w:tcPr>
          <w:p w14:paraId="65270B66"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25ED475C"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Triticale</w:t>
            </w:r>
          </w:p>
        </w:tc>
        <w:tc>
          <w:tcPr>
            <w:tcW w:w="1993" w:type="dxa"/>
            <w:tcBorders>
              <w:top w:val="nil"/>
              <w:left w:val="nil"/>
              <w:bottom w:val="single" w:sz="4" w:space="0" w:color="auto"/>
              <w:right w:val="single" w:sz="4" w:space="0" w:color="auto"/>
            </w:tcBorders>
            <w:shd w:val="clear" w:color="000000" w:fill="C6E0B4"/>
            <w:noWrap/>
            <w:vAlign w:val="bottom"/>
            <w:hideMark/>
          </w:tcPr>
          <w:p w14:paraId="1AD75F34"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0" w:type="dxa"/>
            <w:tcBorders>
              <w:top w:val="nil"/>
              <w:left w:val="nil"/>
              <w:bottom w:val="single" w:sz="4" w:space="0" w:color="auto"/>
              <w:right w:val="single" w:sz="4" w:space="0" w:color="auto"/>
            </w:tcBorders>
            <w:shd w:val="clear" w:color="000000" w:fill="C6E0B4"/>
            <w:noWrap/>
            <w:vAlign w:val="bottom"/>
            <w:hideMark/>
          </w:tcPr>
          <w:p w14:paraId="536C0C01"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51" w:type="dxa"/>
            <w:tcBorders>
              <w:top w:val="nil"/>
              <w:left w:val="nil"/>
              <w:bottom w:val="single" w:sz="4" w:space="0" w:color="auto"/>
              <w:right w:val="single" w:sz="4" w:space="0" w:color="auto"/>
            </w:tcBorders>
            <w:shd w:val="clear" w:color="000000" w:fill="C6E0B4"/>
            <w:noWrap/>
            <w:vAlign w:val="bottom"/>
            <w:hideMark/>
          </w:tcPr>
          <w:p w14:paraId="73157274"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934" w:type="dxa"/>
            <w:tcBorders>
              <w:top w:val="single" w:sz="4" w:space="0" w:color="auto"/>
              <w:left w:val="nil"/>
              <w:bottom w:val="single" w:sz="4" w:space="0" w:color="auto"/>
            </w:tcBorders>
            <w:shd w:val="clear" w:color="000000" w:fill="C6E0B4"/>
            <w:noWrap/>
            <w:vAlign w:val="bottom"/>
            <w:hideMark/>
          </w:tcPr>
          <w:p w14:paraId="18D4C228"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3B38BC" w14:paraId="12E069F3" w14:textId="77777777" w:rsidTr="00616CDC">
        <w:trPr>
          <w:trHeight w:val="186"/>
          <w:jc w:val="center"/>
        </w:trPr>
        <w:tc>
          <w:tcPr>
            <w:tcW w:w="282" w:type="dxa"/>
            <w:tcBorders>
              <w:top w:val="nil"/>
              <w:left w:val="nil"/>
              <w:bottom w:val="nil"/>
            </w:tcBorders>
            <w:shd w:val="clear" w:color="auto" w:fill="auto"/>
            <w:noWrap/>
            <w:vAlign w:val="bottom"/>
            <w:hideMark/>
          </w:tcPr>
          <w:p w14:paraId="080894B6" w14:textId="77777777" w:rsidR="003B38BC" w:rsidRPr="003B38BC" w:rsidRDefault="003B38BC" w:rsidP="003B38BC">
            <w:pPr>
              <w:spacing w:after="0" w:line="240" w:lineRule="auto"/>
              <w:rPr>
                <w:rFonts w:ascii="Arial" w:eastAsia="Times New Roman" w:hAnsi="Arial" w:cs="Arial"/>
                <w:color w:val="000000"/>
                <w:sz w:val="24"/>
                <w:szCs w:val="24"/>
                <w:lang w:eastAsia="en-GB"/>
              </w:rPr>
            </w:pPr>
          </w:p>
        </w:tc>
        <w:tc>
          <w:tcPr>
            <w:tcW w:w="1794" w:type="dxa"/>
            <w:tcBorders>
              <w:top w:val="single" w:sz="4" w:space="0" w:color="auto"/>
              <w:bottom w:val="single" w:sz="4" w:space="0" w:color="auto"/>
              <w:right w:val="single" w:sz="4" w:space="0" w:color="auto"/>
            </w:tcBorders>
            <w:shd w:val="clear" w:color="auto" w:fill="auto"/>
            <w:noWrap/>
            <w:vAlign w:val="bottom"/>
            <w:hideMark/>
          </w:tcPr>
          <w:p w14:paraId="4C3DC7A2"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Wheat </w:t>
            </w:r>
          </w:p>
        </w:tc>
        <w:tc>
          <w:tcPr>
            <w:tcW w:w="1993" w:type="dxa"/>
            <w:tcBorders>
              <w:top w:val="nil"/>
              <w:left w:val="nil"/>
              <w:bottom w:val="single" w:sz="4" w:space="0" w:color="auto"/>
              <w:right w:val="single" w:sz="4" w:space="0" w:color="auto"/>
            </w:tcBorders>
            <w:shd w:val="clear" w:color="000000" w:fill="C6E0B4"/>
            <w:noWrap/>
            <w:vAlign w:val="bottom"/>
            <w:hideMark/>
          </w:tcPr>
          <w:p w14:paraId="7920708F"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770" w:type="dxa"/>
            <w:tcBorders>
              <w:top w:val="nil"/>
              <w:left w:val="nil"/>
              <w:bottom w:val="single" w:sz="4" w:space="0" w:color="auto"/>
              <w:right w:val="single" w:sz="4" w:space="0" w:color="auto"/>
            </w:tcBorders>
            <w:shd w:val="clear" w:color="000000" w:fill="C6E0B4"/>
            <w:noWrap/>
            <w:vAlign w:val="bottom"/>
            <w:hideMark/>
          </w:tcPr>
          <w:p w14:paraId="6C8B0E90"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1951" w:type="dxa"/>
            <w:tcBorders>
              <w:top w:val="nil"/>
              <w:left w:val="nil"/>
              <w:bottom w:val="single" w:sz="4" w:space="0" w:color="auto"/>
              <w:right w:val="single" w:sz="4" w:space="0" w:color="auto"/>
            </w:tcBorders>
            <w:shd w:val="clear" w:color="000000" w:fill="C6E0B4"/>
            <w:noWrap/>
            <w:vAlign w:val="bottom"/>
            <w:hideMark/>
          </w:tcPr>
          <w:p w14:paraId="2DBAAAD1"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934" w:type="dxa"/>
            <w:tcBorders>
              <w:top w:val="single" w:sz="4" w:space="0" w:color="auto"/>
              <w:left w:val="nil"/>
              <w:bottom w:val="single" w:sz="4" w:space="0" w:color="auto"/>
            </w:tcBorders>
            <w:shd w:val="clear" w:color="000000" w:fill="C6E0B4"/>
            <w:noWrap/>
            <w:vAlign w:val="bottom"/>
            <w:hideMark/>
          </w:tcPr>
          <w:p w14:paraId="6D37DB2E" w14:textId="77777777" w:rsidR="003B38BC" w:rsidRPr="00F63475" w:rsidRDefault="003B38BC" w:rsidP="003B38BC">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r>
    </w:tbl>
    <w:p w14:paraId="28F0B098" w14:textId="77777777" w:rsidR="00F63475" w:rsidRDefault="00F63475" w:rsidP="000C7BB5">
      <w:pPr>
        <w:rPr>
          <w:rFonts w:ascii="Arial" w:hAnsi="Arial" w:cs="Arial"/>
          <w:color w:val="000000" w:themeColor="text1"/>
          <w:sz w:val="24"/>
          <w:szCs w:val="24"/>
        </w:rPr>
      </w:pPr>
    </w:p>
    <w:p w14:paraId="2737404C" w14:textId="3F4750ED" w:rsidR="003F62C4" w:rsidRPr="002B3D8A" w:rsidRDefault="6AC1B2C3" w:rsidP="000C7BB5">
      <w:pPr>
        <w:rPr>
          <w:rFonts w:ascii="Arial" w:hAnsi="Arial" w:cs="Arial"/>
          <w:color w:val="000000" w:themeColor="text1"/>
          <w:sz w:val="24"/>
          <w:szCs w:val="24"/>
        </w:rPr>
      </w:pPr>
      <w:bookmarkStart w:id="19" w:name="_Toc110342105"/>
      <w:r w:rsidRPr="6AC1B2C3">
        <w:rPr>
          <w:rFonts w:ascii="Arial" w:hAnsi="Arial" w:cs="Arial"/>
          <w:color w:val="000000" w:themeColor="text1"/>
          <w:sz w:val="24"/>
          <w:szCs w:val="24"/>
        </w:rPr>
        <w:t xml:space="preserve">Figure </w:t>
      </w:r>
      <w:r w:rsidR="003F62C4" w:rsidRPr="6AC1B2C3">
        <w:rPr>
          <w:rFonts w:ascii="Arial" w:hAnsi="Arial" w:cs="Arial"/>
          <w:color w:val="000000" w:themeColor="text1"/>
          <w:sz w:val="24"/>
          <w:szCs w:val="24"/>
        </w:rPr>
        <w:fldChar w:fldCharType="begin"/>
      </w:r>
      <w:r w:rsidR="003F62C4" w:rsidRPr="6AC1B2C3">
        <w:rPr>
          <w:rFonts w:ascii="Arial" w:hAnsi="Arial" w:cs="Arial"/>
          <w:color w:val="000000" w:themeColor="text1"/>
          <w:sz w:val="24"/>
          <w:szCs w:val="24"/>
        </w:rPr>
        <w:instrText xml:space="preserve"> SEQ Figure \* ARABIC </w:instrText>
      </w:r>
      <w:r w:rsidR="003F62C4" w:rsidRPr="6AC1B2C3">
        <w:rPr>
          <w:rFonts w:ascii="Arial" w:hAnsi="Arial" w:cs="Arial"/>
          <w:color w:val="000000" w:themeColor="text1"/>
          <w:sz w:val="24"/>
          <w:szCs w:val="24"/>
        </w:rPr>
        <w:fldChar w:fldCharType="separate"/>
      </w:r>
      <w:r w:rsidR="00C10D2B">
        <w:rPr>
          <w:rFonts w:ascii="Arial" w:hAnsi="Arial" w:cs="Arial"/>
          <w:noProof/>
          <w:color w:val="000000" w:themeColor="text1"/>
          <w:sz w:val="24"/>
          <w:szCs w:val="24"/>
        </w:rPr>
        <w:t>2</w:t>
      </w:r>
      <w:r w:rsidR="003F62C4" w:rsidRPr="6AC1B2C3">
        <w:rPr>
          <w:rFonts w:ascii="Arial" w:hAnsi="Arial" w:cs="Arial"/>
          <w:color w:val="000000" w:themeColor="text1"/>
          <w:sz w:val="24"/>
          <w:szCs w:val="24"/>
        </w:rPr>
        <w:fldChar w:fldCharType="end"/>
      </w:r>
      <w:r w:rsidRPr="6AC1B2C3">
        <w:rPr>
          <w:rFonts w:ascii="Arial" w:hAnsi="Arial" w:cs="Arial"/>
          <w:color w:val="000000" w:themeColor="text1"/>
          <w:sz w:val="24"/>
          <w:szCs w:val="24"/>
        </w:rPr>
        <w:t xml:space="preserve">: Host status of field crops to different genera and species of stubby root nematodes. Scheme created from </w:t>
      </w:r>
      <w:hyperlink r:id="rId16">
        <w:r w:rsidRPr="6AC1B2C3">
          <w:rPr>
            <w:rStyle w:val="Hyperlink"/>
            <w:rFonts w:ascii="Arial" w:hAnsi="Arial" w:cs="Arial"/>
            <w:color w:val="000000" w:themeColor="text1"/>
            <w:sz w:val="24"/>
            <w:szCs w:val="24"/>
          </w:rPr>
          <w:t>https://www.best4soil.eu/database</w:t>
        </w:r>
      </w:hyperlink>
      <w:r w:rsidRPr="6AC1B2C3">
        <w:rPr>
          <w:rFonts w:ascii="Arial" w:hAnsi="Arial" w:cs="Arial"/>
          <w:color w:val="000000" w:themeColor="text1"/>
          <w:sz w:val="24"/>
          <w:szCs w:val="24"/>
        </w:rPr>
        <w:t xml:space="preserve"> based on research from Wageningen University and research | Field crops, Lelystad.</w:t>
      </w:r>
      <w:bookmarkEnd w:id="19"/>
    </w:p>
    <w:tbl>
      <w:tblPr>
        <w:tblW w:w="10070"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2546"/>
        <w:gridCol w:w="1989"/>
        <w:gridCol w:w="1766"/>
        <w:gridCol w:w="1948"/>
        <w:gridCol w:w="1821"/>
      </w:tblGrid>
      <w:tr w:rsidR="00F63475" w:rsidRPr="00F63475" w14:paraId="5720482E" w14:textId="77777777" w:rsidTr="00616CDC">
        <w:trPr>
          <w:trHeight w:val="3119"/>
          <w:jc w:val="center"/>
        </w:trPr>
        <w:tc>
          <w:tcPr>
            <w:tcW w:w="2478" w:type="dxa"/>
            <w:shd w:val="clear" w:color="auto" w:fill="auto"/>
            <w:noWrap/>
            <w:textDirection w:val="btLr"/>
            <w:vAlign w:val="bottom"/>
            <w:hideMark/>
          </w:tcPr>
          <w:p w14:paraId="2B32FA81" w14:textId="77777777" w:rsidR="00475D1D" w:rsidRPr="00F63475" w:rsidRDefault="00475D1D" w:rsidP="00A70C3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lastRenderedPageBreak/>
              <w:t xml:space="preserve">Host crop </w:t>
            </w:r>
          </w:p>
        </w:tc>
        <w:tc>
          <w:tcPr>
            <w:tcW w:w="1936" w:type="dxa"/>
            <w:shd w:val="clear" w:color="auto" w:fill="auto"/>
            <w:noWrap/>
            <w:textDirection w:val="btLr"/>
            <w:vAlign w:val="bottom"/>
            <w:hideMark/>
          </w:tcPr>
          <w:p w14:paraId="5DC0E5CD" w14:textId="56E7F046" w:rsidR="00475D1D" w:rsidRPr="00F63475" w:rsidRDefault="00475D1D" w:rsidP="00A70C3D">
            <w:pPr>
              <w:spacing w:after="0" w:line="240" w:lineRule="auto"/>
              <w:rPr>
                <w:rFonts w:ascii="Arial" w:eastAsia="Times New Roman" w:hAnsi="Arial" w:cs="Arial"/>
                <w:i/>
                <w:iCs/>
                <w:color w:val="000000"/>
                <w:lang w:eastAsia="en-GB"/>
              </w:rPr>
            </w:pPr>
            <w:r w:rsidRPr="00F63475">
              <w:rPr>
                <w:rFonts w:ascii="Arial" w:eastAsia="Times New Roman" w:hAnsi="Arial" w:cs="Arial"/>
                <w:i/>
                <w:iCs/>
                <w:color w:val="000000"/>
                <w:lang w:eastAsia="en-GB"/>
              </w:rPr>
              <w:t>Par</w:t>
            </w:r>
            <w:r w:rsidR="00F63475">
              <w:rPr>
                <w:rFonts w:ascii="Arial" w:eastAsia="Times New Roman" w:hAnsi="Arial" w:cs="Arial"/>
                <w:i/>
                <w:iCs/>
                <w:color w:val="000000"/>
                <w:lang w:eastAsia="en-GB"/>
              </w:rPr>
              <w:t>a</w:t>
            </w:r>
            <w:r w:rsidRPr="00F63475">
              <w:rPr>
                <w:rFonts w:ascii="Arial" w:eastAsia="Times New Roman" w:hAnsi="Arial" w:cs="Arial"/>
                <w:i/>
                <w:iCs/>
                <w:color w:val="000000"/>
                <w:lang w:eastAsia="en-GB"/>
              </w:rPr>
              <w:t xml:space="preserve">trichodorus pachydermus </w:t>
            </w:r>
          </w:p>
        </w:tc>
        <w:tc>
          <w:tcPr>
            <w:tcW w:w="1719" w:type="dxa"/>
            <w:shd w:val="clear" w:color="auto" w:fill="auto"/>
            <w:noWrap/>
            <w:textDirection w:val="btLr"/>
            <w:vAlign w:val="bottom"/>
            <w:hideMark/>
          </w:tcPr>
          <w:p w14:paraId="4C3CD97D" w14:textId="77777777" w:rsidR="00475D1D" w:rsidRPr="00F63475" w:rsidRDefault="00475D1D" w:rsidP="00A70C3D">
            <w:pPr>
              <w:spacing w:after="0" w:line="240" w:lineRule="auto"/>
              <w:rPr>
                <w:rFonts w:ascii="Arial" w:eastAsia="Times New Roman" w:hAnsi="Arial" w:cs="Arial"/>
                <w:i/>
                <w:iCs/>
                <w:color w:val="000000"/>
                <w:lang w:eastAsia="en-GB"/>
              </w:rPr>
            </w:pPr>
            <w:r w:rsidRPr="00F63475">
              <w:rPr>
                <w:rFonts w:ascii="Arial" w:eastAsia="Times New Roman" w:hAnsi="Arial" w:cs="Arial"/>
                <w:i/>
                <w:iCs/>
                <w:color w:val="000000"/>
                <w:lang w:eastAsia="en-GB"/>
              </w:rPr>
              <w:t xml:space="preserve">Paratrichodorus teres </w:t>
            </w:r>
          </w:p>
        </w:tc>
        <w:tc>
          <w:tcPr>
            <w:tcW w:w="1896" w:type="dxa"/>
            <w:shd w:val="clear" w:color="auto" w:fill="auto"/>
            <w:noWrap/>
            <w:textDirection w:val="btLr"/>
            <w:vAlign w:val="bottom"/>
            <w:hideMark/>
          </w:tcPr>
          <w:p w14:paraId="55707F74" w14:textId="77777777" w:rsidR="00475D1D" w:rsidRPr="00F63475" w:rsidRDefault="00475D1D" w:rsidP="00A70C3D">
            <w:pPr>
              <w:spacing w:after="0" w:line="240" w:lineRule="auto"/>
              <w:rPr>
                <w:rFonts w:ascii="Arial" w:eastAsia="Times New Roman" w:hAnsi="Arial" w:cs="Arial"/>
                <w:i/>
                <w:iCs/>
                <w:color w:val="000000"/>
                <w:lang w:eastAsia="en-GB"/>
              </w:rPr>
            </w:pPr>
            <w:r w:rsidRPr="00F63475">
              <w:rPr>
                <w:rFonts w:ascii="Arial" w:eastAsia="Times New Roman" w:hAnsi="Arial" w:cs="Arial"/>
                <w:i/>
                <w:iCs/>
                <w:color w:val="000000"/>
                <w:lang w:eastAsia="en-GB"/>
              </w:rPr>
              <w:t xml:space="preserve">Trichodorus primitivus </w:t>
            </w:r>
          </w:p>
        </w:tc>
        <w:tc>
          <w:tcPr>
            <w:tcW w:w="1773" w:type="dxa"/>
            <w:shd w:val="clear" w:color="auto" w:fill="auto"/>
            <w:noWrap/>
            <w:textDirection w:val="btLr"/>
            <w:vAlign w:val="bottom"/>
            <w:hideMark/>
          </w:tcPr>
          <w:p w14:paraId="57D66652" w14:textId="77777777" w:rsidR="00475D1D" w:rsidRPr="00F63475" w:rsidRDefault="00475D1D" w:rsidP="00A70C3D">
            <w:pPr>
              <w:spacing w:after="0" w:line="240" w:lineRule="auto"/>
              <w:rPr>
                <w:rFonts w:ascii="Arial" w:eastAsia="Times New Roman" w:hAnsi="Arial" w:cs="Arial"/>
                <w:i/>
                <w:iCs/>
                <w:color w:val="000000"/>
                <w:lang w:eastAsia="en-GB"/>
              </w:rPr>
            </w:pPr>
            <w:r w:rsidRPr="00F63475">
              <w:rPr>
                <w:rFonts w:ascii="Arial" w:eastAsia="Times New Roman" w:hAnsi="Arial" w:cs="Arial"/>
                <w:i/>
                <w:iCs/>
                <w:color w:val="000000"/>
                <w:lang w:eastAsia="en-GB"/>
              </w:rPr>
              <w:t xml:space="preserve">Trichodorus similis </w:t>
            </w:r>
          </w:p>
        </w:tc>
      </w:tr>
      <w:tr w:rsidR="00F63475" w:rsidRPr="00F63475" w14:paraId="22559F76" w14:textId="77777777" w:rsidTr="00616CDC">
        <w:trPr>
          <w:trHeight w:val="226"/>
          <w:jc w:val="center"/>
        </w:trPr>
        <w:tc>
          <w:tcPr>
            <w:tcW w:w="2478" w:type="dxa"/>
            <w:shd w:val="clear" w:color="auto" w:fill="auto"/>
            <w:noWrap/>
            <w:vAlign w:val="bottom"/>
            <w:hideMark/>
          </w:tcPr>
          <w:p w14:paraId="0C7DF83D"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Berseem clover </w:t>
            </w:r>
          </w:p>
        </w:tc>
        <w:tc>
          <w:tcPr>
            <w:tcW w:w="1936" w:type="dxa"/>
            <w:shd w:val="clear" w:color="auto" w:fill="auto"/>
            <w:noWrap/>
            <w:vAlign w:val="bottom"/>
            <w:hideMark/>
          </w:tcPr>
          <w:p w14:paraId="57A8E25F"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19" w:type="dxa"/>
            <w:shd w:val="clear" w:color="auto" w:fill="auto"/>
            <w:noWrap/>
            <w:vAlign w:val="bottom"/>
            <w:hideMark/>
          </w:tcPr>
          <w:p w14:paraId="050148C8"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896" w:type="dxa"/>
            <w:shd w:val="clear" w:color="auto" w:fill="auto"/>
            <w:noWrap/>
            <w:vAlign w:val="bottom"/>
            <w:hideMark/>
          </w:tcPr>
          <w:p w14:paraId="1D51D436"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3" w:type="dxa"/>
            <w:shd w:val="clear" w:color="auto" w:fill="auto"/>
            <w:noWrap/>
            <w:vAlign w:val="bottom"/>
            <w:hideMark/>
          </w:tcPr>
          <w:p w14:paraId="6746CDE4"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5FACC39A" w14:textId="77777777" w:rsidTr="00616CDC">
        <w:trPr>
          <w:trHeight w:val="226"/>
          <w:jc w:val="center"/>
        </w:trPr>
        <w:tc>
          <w:tcPr>
            <w:tcW w:w="2478" w:type="dxa"/>
            <w:shd w:val="clear" w:color="auto" w:fill="auto"/>
            <w:noWrap/>
            <w:vAlign w:val="bottom"/>
            <w:hideMark/>
          </w:tcPr>
          <w:p w14:paraId="49D34077"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Buck wheat </w:t>
            </w:r>
          </w:p>
        </w:tc>
        <w:tc>
          <w:tcPr>
            <w:tcW w:w="1936" w:type="dxa"/>
            <w:shd w:val="clear" w:color="auto" w:fill="auto"/>
            <w:noWrap/>
            <w:vAlign w:val="bottom"/>
            <w:hideMark/>
          </w:tcPr>
          <w:p w14:paraId="485D03D3"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19" w:type="dxa"/>
            <w:shd w:val="clear" w:color="auto" w:fill="auto"/>
            <w:noWrap/>
            <w:vAlign w:val="bottom"/>
            <w:hideMark/>
          </w:tcPr>
          <w:p w14:paraId="33689364"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896" w:type="dxa"/>
            <w:shd w:val="clear" w:color="auto" w:fill="auto"/>
            <w:noWrap/>
            <w:vAlign w:val="bottom"/>
            <w:hideMark/>
          </w:tcPr>
          <w:p w14:paraId="4DEB1FB8"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3" w:type="dxa"/>
            <w:shd w:val="clear" w:color="auto" w:fill="auto"/>
            <w:noWrap/>
            <w:vAlign w:val="bottom"/>
            <w:hideMark/>
          </w:tcPr>
          <w:p w14:paraId="502CBF1E"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3B5FBA5B" w14:textId="77777777" w:rsidTr="00616CDC">
        <w:trPr>
          <w:trHeight w:val="226"/>
          <w:jc w:val="center"/>
        </w:trPr>
        <w:tc>
          <w:tcPr>
            <w:tcW w:w="2478" w:type="dxa"/>
            <w:shd w:val="clear" w:color="auto" w:fill="auto"/>
            <w:noWrap/>
            <w:vAlign w:val="bottom"/>
            <w:hideMark/>
          </w:tcPr>
          <w:p w14:paraId="01D8E5C2"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Camelina/False flax or linseed dodder</w:t>
            </w:r>
          </w:p>
        </w:tc>
        <w:tc>
          <w:tcPr>
            <w:tcW w:w="1936" w:type="dxa"/>
            <w:shd w:val="clear" w:color="auto" w:fill="auto"/>
            <w:noWrap/>
            <w:vAlign w:val="bottom"/>
            <w:hideMark/>
          </w:tcPr>
          <w:p w14:paraId="78F2EBC9"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19" w:type="dxa"/>
            <w:shd w:val="clear" w:color="auto" w:fill="auto"/>
            <w:noWrap/>
            <w:vAlign w:val="bottom"/>
            <w:hideMark/>
          </w:tcPr>
          <w:p w14:paraId="1A4C7396"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896" w:type="dxa"/>
            <w:shd w:val="clear" w:color="auto" w:fill="auto"/>
            <w:noWrap/>
            <w:vAlign w:val="bottom"/>
            <w:hideMark/>
          </w:tcPr>
          <w:p w14:paraId="01FB0BC0"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3" w:type="dxa"/>
            <w:shd w:val="clear" w:color="auto" w:fill="auto"/>
            <w:noWrap/>
            <w:vAlign w:val="bottom"/>
            <w:hideMark/>
          </w:tcPr>
          <w:p w14:paraId="16FE7874"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4D019D1A" w14:textId="77777777" w:rsidTr="00616CDC">
        <w:trPr>
          <w:trHeight w:val="226"/>
          <w:jc w:val="center"/>
        </w:trPr>
        <w:tc>
          <w:tcPr>
            <w:tcW w:w="2478" w:type="dxa"/>
            <w:shd w:val="clear" w:color="auto" w:fill="auto"/>
            <w:noWrap/>
            <w:vAlign w:val="bottom"/>
            <w:hideMark/>
          </w:tcPr>
          <w:p w14:paraId="627D1916"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Chick pea</w:t>
            </w:r>
          </w:p>
        </w:tc>
        <w:tc>
          <w:tcPr>
            <w:tcW w:w="1936" w:type="dxa"/>
            <w:shd w:val="clear" w:color="auto" w:fill="auto"/>
            <w:noWrap/>
            <w:vAlign w:val="bottom"/>
            <w:hideMark/>
          </w:tcPr>
          <w:p w14:paraId="74384DA3"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19" w:type="dxa"/>
            <w:shd w:val="clear" w:color="auto" w:fill="auto"/>
            <w:noWrap/>
            <w:vAlign w:val="bottom"/>
            <w:hideMark/>
          </w:tcPr>
          <w:p w14:paraId="2F074E97"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896" w:type="dxa"/>
            <w:shd w:val="clear" w:color="auto" w:fill="auto"/>
            <w:noWrap/>
            <w:vAlign w:val="bottom"/>
            <w:hideMark/>
          </w:tcPr>
          <w:p w14:paraId="465ED1BE"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3" w:type="dxa"/>
            <w:shd w:val="clear" w:color="auto" w:fill="auto"/>
            <w:noWrap/>
            <w:vAlign w:val="bottom"/>
            <w:hideMark/>
          </w:tcPr>
          <w:p w14:paraId="3EA14C87"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20B8C58B" w14:textId="77777777" w:rsidTr="00616CDC">
        <w:trPr>
          <w:trHeight w:val="226"/>
          <w:jc w:val="center"/>
        </w:trPr>
        <w:tc>
          <w:tcPr>
            <w:tcW w:w="2478" w:type="dxa"/>
            <w:shd w:val="clear" w:color="auto" w:fill="auto"/>
            <w:noWrap/>
            <w:vAlign w:val="bottom"/>
            <w:hideMark/>
          </w:tcPr>
          <w:p w14:paraId="51F4C1EA"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Crimson clover </w:t>
            </w:r>
          </w:p>
        </w:tc>
        <w:tc>
          <w:tcPr>
            <w:tcW w:w="1936" w:type="dxa"/>
            <w:shd w:val="clear" w:color="auto" w:fill="auto"/>
            <w:noWrap/>
            <w:vAlign w:val="bottom"/>
            <w:hideMark/>
          </w:tcPr>
          <w:p w14:paraId="35C0152F"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19" w:type="dxa"/>
            <w:shd w:val="clear" w:color="auto" w:fill="auto"/>
            <w:noWrap/>
            <w:vAlign w:val="bottom"/>
            <w:hideMark/>
          </w:tcPr>
          <w:p w14:paraId="24F98A7C"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896" w:type="dxa"/>
            <w:shd w:val="clear" w:color="auto" w:fill="auto"/>
            <w:noWrap/>
            <w:vAlign w:val="bottom"/>
            <w:hideMark/>
          </w:tcPr>
          <w:p w14:paraId="14428BCB"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3" w:type="dxa"/>
            <w:shd w:val="clear" w:color="auto" w:fill="auto"/>
            <w:noWrap/>
            <w:vAlign w:val="bottom"/>
            <w:hideMark/>
          </w:tcPr>
          <w:p w14:paraId="57F9AEEE"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3CB1B123" w14:textId="77777777" w:rsidTr="00616CDC">
        <w:trPr>
          <w:trHeight w:val="226"/>
          <w:jc w:val="center"/>
        </w:trPr>
        <w:tc>
          <w:tcPr>
            <w:tcW w:w="2478" w:type="dxa"/>
            <w:shd w:val="clear" w:color="auto" w:fill="auto"/>
            <w:noWrap/>
            <w:vAlign w:val="bottom"/>
            <w:hideMark/>
          </w:tcPr>
          <w:p w14:paraId="6B7F1A3E"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Fodder rape/Leafy </w:t>
            </w:r>
          </w:p>
        </w:tc>
        <w:tc>
          <w:tcPr>
            <w:tcW w:w="1936" w:type="dxa"/>
            <w:shd w:val="clear" w:color="auto" w:fill="auto"/>
            <w:noWrap/>
            <w:vAlign w:val="bottom"/>
            <w:hideMark/>
          </w:tcPr>
          <w:p w14:paraId="061EB7EF"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19" w:type="dxa"/>
            <w:shd w:val="clear" w:color="auto" w:fill="auto"/>
            <w:noWrap/>
            <w:vAlign w:val="bottom"/>
            <w:hideMark/>
          </w:tcPr>
          <w:p w14:paraId="63830598"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896" w:type="dxa"/>
            <w:shd w:val="clear" w:color="auto" w:fill="auto"/>
            <w:noWrap/>
            <w:vAlign w:val="bottom"/>
            <w:hideMark/>
          </w:tcPr>
          <w:p w14:paraId="347A73C8"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3" w:type="dxa"/>
            <w:shd w:val="clear" w:color="auto" w:fill="auto"/>
            <w:noWrap/>
            <w:vAlign w:val="bottom"/>
            <w:hideMark/>
          </w:tcPr>
          <w:p w14:paraId="58B89825"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67D8CD35" w14:textId="77777777" w:rsidTr="00616CDC">
        <w:trPr>
          <w:trHeight w:val="226"/>
          <w:jc w:val="center"/>
        </w:trPr>
        <w:tc>
          <w:tcPr>
            <w:tcW w:w="2478" w:type="dxa"/>
            <w:shd w:val="clear" w:color="auto" w:fill="auto"/>
            <w:noWrap/>
            <w:vAlign w:val="bottom"/>
            <w:hideMark/>
          </w:tcPr>
          <w:p w14:paraId="07E5628F"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Italian ryegrass </w:t>
            </w:r>
          </w:p>
        </w:tc>
        <w:tc>
          <w:tcPr>
            <w:tcW w:w="1936" w:type="dxa"/>
            <w:shd w:val="clear" w:color="000000" w:fill="C6E0B4"/>
            <w:noWrap/>
            <w:vAlign w:val="bottom"/>
            <w:hideMark/>
          </w:tcPr>
          <w:p w14:paraId="0602CF6F"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719" w:type="dxa"/>
            <w:shd w:val="clear" w:color="000000" w:fill="C6E0B4"/>
            <w:noWrap/>
            <w:vAlign w:val="bottom"/>
            <w:hideMark/>
          </w:tcPr>
          <w:p w14:paraId="34DC93BE"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896" w:type="dxa"/>
            <w:shd w:val="clear" w:color="000000" w:fill="C6E0B4"/>
            <w:noWrap/>
            <w:vAlign w:val="bottom"/>
            <w:hideMark/>
          </w:tcPr>
          <w:p w14:paraId="0D1C9F44"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773" w:type="dxa"/>
            <w:shd w:val="clear" w:color="000000" w:fill="C6E0B4"/>
            <w:noWrap/>
            <w:vAlign w:val="bottom"/>
            <w:hideMark/>
          </w:tcPr>
          <w:p w14:paraId="1E16B2DF"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r>
      <w:tr w:rsidR="00F63475" w:rsidRPr="00F63475" w14:paraId="4061729E" w14:textId="77777777" w:rsidTr="00616CDC">
        <w:trPr>
          <w:trHeight w:val="226"/>
          <w:jc w:val="center"/>
        </w:trPr>
        <w:tc>
          <w:tcPr>
            <w:tcW w:w="2478" w:type="dxa"/>
            <w:shd w:val="clear" w:color="auto" w:fill="auto"/>
            <w:noWrap/>
            <w:vAlign w:val="bottom"/>
            <w:hideMark/>
          </w:tcPr>
          <w:p w14:paraId="03454CF0"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Japanese/black oats </w:t>
            </w:r>
          </w:p>
        </w:tc>
        <w:tc>
          <w:tcPr>
            <w:tcW w:w="1936" w:type="dxa"/>
            <w:shd w:val="clear" w:color="auto" w:fill="auto"/>
            <w:noWrap/>
            <w:vAlign w:val="bottom"/>
            <w:hideMark/>
          </w:tcPr>
          <w:p w14:paraId="14A54F22"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19" w:type="dxa"/>
            <w:shd w:val="clear" w:color="auto" w:fill="auto"/>
            <w:noWrap/>
            <w:vAlign w:val="bottom"/>
            <w:hideMark/>
          </w:tcPr>
          <w:p w14:paraId="24D98AD2"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896" w:type="dxa"/>
            <w:shd w:val="clear" w:color="auto" w:fill="auto"/>
            <w:noWrap/>
            <w:vAlign w:val="bottom"/>
            <w:hideMark/>
          </w:tcPr>
          <w:p w14:paraId="48AF5F00"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3" w:type="dxa"/>
            <w:shd w:val="clear" w:color="auto" w:fill="auto"/>
            <w:noWrap/>
            <w:vAlign w:val="bottom"/>
            <w:hideMark/>
          </w:tcPr>
          <w:p w14:paraId="0ADC4C22"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28153C49" w14:textId="77777777" w:rsidTr="00616CDC">
        <w:trPr>
          <w:trHeight w:val="226"/>
          <w:jc w:val="center"/>
        </w:trPr>
        <w:tc>
          <w:tcPr>
            <w:tcW w:w="2478" w:type="dxa"/>
            <w:shd w:val="clear" w:color="auto" w:fill="auto"/>
            <w:noWrap/>
            <w:vAlign w:val="bottom"/>
            <w:hideMark/>
          </w:tcPr>
          <w:p w14:paraId="7576EF10"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Marigold </w:t>
            </w:r>
          </w:p>
        </w:tc>
        <w:tc>
          <w:tcPr>
            <w:tcW w:w="1936" w:type="dxa"/>
            <w:shd w:val="clear" w:color="auto" w:fill="auto"/>
            <w:noWrap/>
            <w:vAlign w:val="bottom"/>
            <w:hideMark/>
          </w:tcPr>
          <w:p w14:paraId="6EBE2694"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19" w:type="dxa"/>
            <w:shd w:val="clear" w:color="auto" w:fill="auto"/>
            <w:noWrap/>
            <w:vAlign w:val="bottom"/>
            <w:hideMark/>
          </w:tcPr>
          <w:p w14:paraId="0FDB0004"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896" w:type="dxa"/>
            <w:shd w:val="clear" w:color="auto" w:fill="auto"/>
            <w:noWrap/>
            <w:vAlign w:val="bottom"/>
            <w:hideMark/>
          </w:tcPr>
          <w:p w14:paraId="5F9C63DB"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3" w:type="dxa"/>
            <w:shd w:val="clear" w:color="auto" w:fill="auto"/>
            <w:noWrap/>
            <w:vAlign w:val="bottom"/>
            <w:hideMark/>
          </w:tcPr>
          <w:p w14:paraId="0DAFB090"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200B841D" w14:textId="77777777" w:rsidTr="00616CDC">
        <w:trPr>
          <w:trHeight w:val="226"/>
          <w:jc w:val="center"/>
        </w:trPr>
        <w:tc>
          <w:tcPr>
            <w:tcW w:w="2478" w:type="dxa"/>
            <w:shd w:val="clear" w:color="auto" w:fill="auto"/>
            <w:noWrap/>
            <w:vAlign w:val="bottom"/>
            <w:hideMark/>
          </w:tcPr>
          <w:p w14:paraId="51B68A4B"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Mustards </w:t>
            </w:r>
          </w:p>
        </w:tc>
        <w:tc>
          <w:tcPr>
            <w:tcW w:w="1936" w:type="dxa"/>
            <w:shd w:val="clear" w:color="auto" w:fill="auto"/>
            <w:noWrap/>
            <w:vAlign w:val="bottom"/>
            <w:hideMark/>
          </w:tcPr>
          <w:p w14:paraId="62E44DEA"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19" w:type="dxa"/>
            <w:shd w:val="clear" w:color="auto" w:fill="auto"/>
            <w:noWrap/>
            <w:vAlign w:val="bottom"/>
            <w:hideMark/>
          </w:tcPr>
          <w:p w14:paraId="6B8DEEB6"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896" w:type="dxa"/>
            <w:shd w:val="clear" w:color="auto" w:fill="auto"/>
            <w:noWrap/>
            <w:vAlign w:val="bottom"/>
            <w:hideMark/>
          </w:tcPr>
          <w:p w14:paraId="3F0B9AC1"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3" w:type="dxa"/>
            <w:shd w:val="clear" w:color="auto" w:fill="auto"/>
            <w:noWrap/>
            <w:vAlign w:val="bottom"/>
            <w:hideMark/>
          </w:tcPr>
          <w:p w14:paraId="3B3CA179"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0A56AB4F" w14:textId="77777777" w:rsidTr="00616CDC">
        <w:trPr>
          <w:trHeight w:val="226"/>
          <w:jc w:val="center"/>
        </w:trPr>
        <w:tc>
          <w:tcPr>
            <w:tcW w:w="2478" w:type="dxa"/>
            <w:shd w:val="clear" w:color="auto" w:fill="auto"/>
            <w:noWrap/>
            <w:vAlign w:val="bottom"/>
            <w:hideMark/>
          </w:tcPr>
          <w:p w14:paraId="74D80840" w14:textId="77777777" w:rsidR="00475D1D" w:rsidRPr="00F63475" w:rsidRDefault="00475D1D" w:rsidP="00475D1D">
            <w:pPr>
              <w:spacing w:after="0" w:line="240" w:lineRule="auto"/>
              <w:rPr>
                <w:rFonts w:ascii="Arial" w:eastAsia="Times New Roman" w:hAnsi="Arial" w:cs="Arial"/>
                <w:color w:val="000000"/>
                <w:lang w:eastAsia="en-GB"/>
              </w:rPr>
            </w:pPr>
            <w:proofErr w:type="spellStart"/>
            <w:r w:rsidRPr="00F63475">
              <w:rPr>
                <w:rFonts w:ascii="Arial" w:eastAsia="Times New Roman" w:hAnsi="Arial" w:cs="Arial"/>
                <w:color w:val="000000"/>
                <w:lang w:eastAsia="en-GB"/>
              </w:rPr>
              <w:t>Perenial</w:t>
            </w:r>
            <w:proofErr w:type="spellEnd"/>
            <w:r w:rsidRPr="00F63475">
              <w:rPr>
                <w:rFonts w:ascii="Arial" w:eastAsia="Times New Roman" w:hAnsi="Arial" w:cs="Arial"/>
                <w:color w:val="000000"/>
                <w:lang w:eastAsia="en-GB"/>
              </w:rPr>
              <w:t xml:space="preserve"> ryegrass </w:t>
            </w:r>
          </w:p>
        </w:tc>
        <w:tc>
          <w:tcPr>
            <w:tcW w:w="1936" w:type="dxa"/>
            <w:shd w:val="clear" w:color="000000" w:fill="C6E0B4"/>
            <w:noWrap/>
            <w:vAlign w:val="bottom"/>
            <w:hideMark/>
          </w:tcPr>
          <w:p w14:paraId="1EC1768A"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719" w:type="dxa"/>
            <w:shd w:val="clear" w:color="000000" w:fill="C6E0B4"/>
            <w:noWrap/>
            <w:vAlign w:val="bottom"/>
            <w:hideMark/>
          </w:tcPr>
          <w:p w14:paraId="7EED4633"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896" w:type="dxa"/>
            <w:shd w:val="clear" w:color="000000" w:fill="C6E0B4"/>
            <w:noWrap/>
            <w:vAlign w:val="bottom"/>
            <w:hideMark/>
          </w:tcPr>
          <w:p w14:paraId="6FAB09F6"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773" w:type="dxa"/>
            <w:shd w:val="clear" w:color="000000" w:fill="C6E0B4"/>
            <w:noWrap/>
            <w:vAlign w:val="bottom"/>
            <w:hideMark/>
          </w:tcPr>
          <w:p w14:paraId="0FAA10E4"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r>
      <w:tr w:rsidR="00F63475" w:rsidRPr="00F63475" w14:paraId="173167B0" w14:textId="77777777" w:rsidTr="00616CDC">
        <w:trPr>
          <w:trHeight w:val="226"/>
          <w:jc w:val="center"/>
        </w:trPr>
        <w:tc>
          <w:tcPr>
            <w:tcW w:w="2478" w:type="dxa"/>
            <w:shd w:val="clear" w:color="auto" w:fill="auto"/>
            <w:noWrap/>
            <w:vAlign w:val="bottom"/>
            <w:hideMark/>
          </w:tcPr>
          <w:p w14:paraId="39F6BD2E"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Persian reversed clover </w:t>
            </w:r>
          </w:p>
        </w:tc>
        <w:tc>
          <w:tcPr>
            <w:tcW w:w="1936" w:type="dxa"/>
            <w:shd w:val="clear" w:color="auto" w:fill="auto"/>
            <w:noWrap/>
            <w:vAlign w:val="bottom"/>
            <w:hideMark/>
          </w:tcPr>
          <w:p w14:paraId="49C4727D"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19" w:type="dxa"/>
            <w:shd w:val="clear" w:color="auto" w:fill="auto"/>
            <w:noWrap/>
            <w:vAlign w:val="bottom"/>
            <w:hideMark/>
          </w:tcPr>
          <w:p w14:paraId="10690B04"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Poor host </w:t>
            </w:r>
          </w:p>
        </w:tc>
        <w:tc>
          <w:tcPr>
            <w:tcW w:w="1896" w:type="dxa"/>
            <w:shd w:val="clear" w:color="auto" w:fill="auto"/>
            <w:noWrap/>
            <w:vAlign w:val="bottom"/>
            <w:hideMark/>
          </w:tcPr>
          <w:p w14:paraId="28D8579F"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3" w:type="dxa"/>
            <w:shd w:val="clear" w:color="auto" w:fill="auto"/>
            <w:noWrap/>
            <w:vAlign w:val="bottom"/>
            <w:hideMark/>
          </w:tcPr>
          <w:p w14:paraId="0EA626F6"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2E7D5D92" w14:textId="77777777" w:rsidTr="00616CDC">
        <w:trPr>
          <w:trHeight w:val="226"/>
          <w:jc w:val="center"/>
        </w:trPr>
        <w:tc>
          <w:tcPr>
            <w:tcW w:w="2478" w:type="dxa"/>
            <w:shd w:val="clear" w:color="auto" w:fill="auto"/>
            <w:noWrap/>
            <w:vAlign w:val="bottom"/>
            <w:hideMark/>
          </w:tcPr>
          <w:p w14:paraId="5D6386E1"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Phacelia </w:t>
            </w:r>
          </w:p>
        </w:tc>
        <w:tc>
          <w:tcPr>
            <w:tcW w:w="1936" w:type="dxa"/>
            <w:shd w:val="clear" w:color="auto" w:fill="auto"/>
            <w:noWrap/>
            <w:vAlign w:val="bottom"/>
            <w:hideMark/>
          </w:tcPr>
          <w:p w14:paraId="4E3A4B91"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1719" w:type="dxa"/>
            <w:shd w:val="clear" w:color="auto" w:fill="auto"/>
            <w:noWrap/>
            <w:vAlign w:val="bottom"/>
            <w:hideMark/>
          </w:tcPr>
          <w:p w14:paraId="2D71CDBF"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896" w:type="dxa"/>
            <w:shd w:val="clear" w:color="auto" w:fill="auto"/>
            <w:noWrap/>
            <w:vAlign w:val="bottom"/>
            <w:hideMark/>
          </w:tcPr>
          <w:p w14:paraId="01EEEA96"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Poor host </w:t>
            </w:r>
          </w:p>
        </w:tc>
        <w:tc>
          <w:tcPr>
            <w:tcW w:w="1773" w:type="dxa"/>
            <w:shd w:val="clear" w:color="auto" w:fill="auto"/>
            <w:noWrap/>
            <w:vAlign w:val="bottom"/>
            <w:hideMark/>
          </w:tcPr>
          <w:p w14:paraId="45AA39EF"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1B7AB7E1" w14:textId="77777777" w:rsidTr="00616CDC">
        <w:trPr>
          <w:trHeight w:val="226"/>
          <w:jc w:val="center"/>
        </w:trPr>
        <w:tc>
          <w:tcPr>
            <w:tcW w:w="2478" w:type="dxa"/>
            <w:shd w:val="clear" w:color="auto" w:fill="auto"/>
            <w:noWrap/>
            <w:vAlign w:val="bottom"/>
            <w:hideMark/>
          </w:tcPr>
          <w:p w14:paraId="1A7B690E"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Radish </w:t>
            </w:r>
          </w:p>
        </w:tc>
        <w:tc>
          <w:tcPr>
            <w:tcW w:w="1936" w:type="dxa"/>
            <w:shd w:val="clear" w:color="000000" w:fill="C6E0B4"/>
            <w:noWrap/>
            <w:vAlign w:val="bottom"/>
            <w:hideMark/>
          </w:tcPr>
          <w:p w14:paraId="0B7A0EB6"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1719" w:type="dxa"/>
            <w:shd w:val="clear" w:color="000000" w:fill="C6E0B4"/>
            <w:noWrap/>
            <w:vAlign w:val="bottom"/>
            <w:hideMark/>
          </w:tcPr>
          <w:p w14:paraId="649320AD"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Poor host </w:t>
            </w:r>
          </w:p>
        </w:tc>
        <w:tc>
          <w:tcPr>
            <w:tcW w:w="1896" w:type="dxa"/>
            <w:shd w:val="clear" w:color="000000" w:fill="C6E0B4"/>
            <w:noWrap/>
            <w:vAlign w:val="bottom"/>
            <w:hideMark/>
          </w:tcPr>
          <w:p w14:paraId="7B596E67"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773" w:type="dxa"/>
            <w:shd w:val="clear" w:color="000000" w:fill="C6E0B4"/>
            <w:noWrap/>
            <w:vAlign w:val="bottom"/>
            <w:hideMark/>
          </w:tcPr>
          <w:p w14:paraId="30ED524A"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r>
      <w:tr w:rsidR="00F63475" w:rsidRPr="00F63475" w14:paraId="3B8E0E72" w14:textId="77777777" w:rsidTr="00616CDC">
        <w:trPr>
          <w:trHeight w:val="226"/>
          <w:jc w:val="center"/>
        </w:trPr>
        <w:tc>
          <w:tcPr>
            <w:tcW w:w="2478" w:type="dxa"/>
            <w:shd w:val="clear" w:color="auto" w:fill="auto"/>
            <w:noWrap/>
            <w:vAlign w:val="bottom"/>
            <w:hideMark/>
          </w:tcPr>
          <w:p w14:paraId="4DECE1CB" w14:textId="77777777" w:rsidR="00475D1D" w:rsidRPr="00F63475" w:rsidRDefault="00475D1D" w:rsidP="00475D1D">
            <w:pPr>
              <w:spacing w:after="0" w:line="240" w:lineRule="auto"/>
              <w:rPr>
                <w:rFonts w:ascii="Arial" w:eastAsia="Times New Roman" w:hAnsi="Arial" w:cs="Arial"/>
                <w:color w:val="000000"/>
                <w:lang w:eastAsia="en-GB"/>
              </w:rPr>
            </w:pPr>
            <w:proofErr w:type="spellStart"/>
            <w:r w:rsidRPr="00F63475">
              <w:rPr>
                <w:rFonts w:ascii="Arial" w:eastAsia="Times New Roman" w:hAnsi="Arial" w:cs="Arial"/>
                <w:color w:val="000000"/>
                <w:lang w:eastAsia="en-GB"/>
              </w:rPr>
              <w:t>Ramtil</w:t>
            </w:r>
            <w:proofErr w:type="spellEnd"/>
            <w:r w:rsidRPr="00F63475">
              <w:rPr>
                <w:rFonts w:ascii="Arial" w:eastAsia="Times New Roman" w:hAnsi="Arial" w:cs="Arial"/>
                <w:color w:val="000000"/>
                <w:lang w:eastAsia="en-GB"/>
              </w:rPr>
              <w:t xml:space="preserve"> </w:t>
            </w:r>
          </w:p>
        </w:tc>
        <w:tc>
          <w:tcPr>
            <w:tcW w:w="1936" w:type="dxa"/>
            <w:shd w:val="clear" w:color="auto" w:fill="auto"/>
            <w:noWrap/>
            <w:vAlign w:val="bottom"/>
            <w:hideMark/>
          </w:tcPr>
          <w:p w14:paraId="139F0549"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19" w:type="dxa"/>
            <w:shd w:val="clear" w:color="auto" w:fill="auto"/>
            <w:noWrap/>
            <w:vAlign w:val="bottom"/>
            <w:hideMark/>
          </w:tcPr>
          <w:p w14:paraId="569A8182"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896" w:type="dxa"/>
            <w:shd w:val="clear" w:color="auto" w:fill="auto"/>
            <w:noWrap/>
            <w:vAlign w:val="bottom"/>
            <w:hideMark/>
          </w:tcPr>
          <w:p w14:paraId="006736B7"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3" w:type="dxa"/>
            <w:shd w:val="clear" w:color="auto" w:fill="auto"/>
            <w:noWrap/>
            <w:vAlign w:val="bottom"/>
            <w:hideMark/>
          </w:tcPr>
          <w:p w14:paraId="12AABFD5"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491F8C03" w14:textId="77777777" w:rsidTr="00616CDC">
        <w:trPr>
          <w:trHeight w:val="226"/>
          <w:jc w:val="center"/>
        </w:trPr>
        <w:tc>
          <w:tcPr>
            <w:tcW w:w="2478" w:type="dxa"/>
            <w:shd w:val="clear" w:color="auto" w:fill="auto"/>
            <w:noWrap/>
            <w:vAlign w:val="bottom"/>
            <w:hideMark/>
          </w:tcPr>
          <w:p w14:paraId="53CCF8DF" w14:textId="77777777" w:rsidR="00475D1D" w:rsidRPr="00F63475" w:rsidRDefault="00475D1D" w:rsidP="00475D1D">
            <w:pPr>
              <w:spacing w:after="0" w:line="240" w:lineRule="auto"/>
              <w:rPr>
                <w:rFonts w:ascii="Arial" w:eastAsia="Times New Roman" w:hAnsi="Arial" w:cs="Arial"/>
                <w:color w:val="000000"/>
                <w:lang w:eastAsia="en-GB"/>
              </w:rPr>
            </w:pPr>
            <w:proofErr w:type="spellStart"/>
            <w:r w:rsidRPr="00F63475">
              <w:rPr>
                <w:rFonts w:ascii="Arial" w:eastAsia="Times New Roman" w:hAnsi="Arial" w:cs="Arial"/>
                <w:color w:val="000000"/>
                <w:lang w:eastAsia="en-GB"/>
              </w:rPr>
              <w:t>Redclover</w:t>
            </w:r>
            <w:proofErr w:type="spellEnd"/>
            <w:r w:rsidRPr="00F63475">
              <w:rPr>
                <w:rFonts w:ascii="Arial" w:eastAsia="Times New Roman" w:hAnsi="Arial" w:cs="Arial"/>
                <w:color w:val="000000"/>
                <w:lang w:eastAsia="en-GB"/>
              </w:rPr>
              <w:t xml:space="preserve"> </w:t>
            </w:r>
          </w:p>
        </w:tc>
        <w:tc>
          <w:tcPr>
            <w:tcW w:w="1936" w:type="dxa"/>
            <w:shd w:val="clear" w:color="auto" w:fill="auto"/>
            <w:noWrap/>
            <w:vAlign w:val="bottom"/>
            <w:hideMark/>
          </w:tcPr>
          <w:p w14:paraId="79745DAC"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19" w:type="dxa"/>
            <w:shd w:val="clear" w:color="auto" w:fill="auto"/>
            <w:noWrap/>
            <w:vAlign w:val="bottom"/>
            <w:hideMark/>
          </w:tcPr>
          <w:p w14:paraId="003A8773"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896" w:type="dxa"/>
            <w:shd w:val="clear" w:color="auto" w:fill="auto"/>
            <w:noWrap/>
            <w:vAlign w:val="bottom"/>
            <w:hideMark/>
          </w:tcPr>
          <w:p w14:paraId="606AF2E9"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3" w:type="dxa"/>
            <w:shd w:val="clear" w:color="auto" w:fill="auto"/>
            <w:noWrap/>
            <w:vAlign w:val="bottom"/>
            <w:hideMark/>
          </w:tcPr>
          <w:p w14:paraId="01F5ADF7"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22F46B0E" w14:textId="77777777" w:rsidTr="00616CDC">
        <w:trPr>
          <w:trHeight w:val="226"/>
          <w:jc w:val="center"/>
        </w:trPr>
        <w:tc>
          <w:tcPr>
            <w:tcW w:w="2478" w:type="dxa"/>
            <w:shd w:val="clear" w:color="auto" w:fill="auto"/>
            <w:noWrap/>
            <w:vAlign w:val="bottom"/>
            <w:hideMark/>
          </w:tcPr>
          <w:p w14:paraId="5A4B1A2B" w14:textId="750CDF9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Sorghum </w:t>
            </w:r>
            <w:r w:rsidR="00F63475" w:rsidRPr="00F63475">
              <w:rPr>
                <w:rFonts w:ascii="Arial" w:eastAsia="Times New Roman" w:hAnsi="Arial" w:cs="Arial"/>
                <w:color w:val="000000"/>
                <w:lang w:eastAsia="en-GB"/>
              </w:rPr>
              <w:t>Sudan</w:t>
            </w:r>
            <w:r w:rsidRPr="00F63475">
              <w:rPr>
                <w:rFonts w:ascii="Arial" w:eastAsia="Times New Roman" w:hAnsi="Arial" w:cs="Arial"/>
                <w:color w:val="000000"/>
                <w:lang w:eastAsia="en-GB"/>
              </w:rPr>
              <w:t xml:space="preserve"> grass </w:t>
            </w:r>
          </w:p>
        </w:tc>
        <w:tc>
          <w:tcPr>
            <w:tcW w:w="1936" w:type="dxa"/>
            <w:shd w:val="clear" w:color="auto" w:fill="auto"/>
            <w:noWrap/>
            <w:vAlign w:val="bottom"/>
            <w:hideMark/>
          </w:tcPr>
          <w:p w14:paraId="0E37D49E"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19" w:type="dxa"/>
            <w:shd w:val="clear" w:color="auto" w:fill="auto"/>
            <w:noWrap/>
            <w:vAlign w:val="bottom"/>
            <w:hideMark/>
          </w:tcPr>
          <w:p w14:paraId="0EE46195"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896" w:type="dxa"/>
            <w:shd w:val="clear" w:color="auto" w:fill="auto"/>
            <w:noWrap/>
            <w:vAlign w:val="bottom"/>
            <w:hideMark/>
          </w:tcPr>
          <w:p w14:paraId="6A803CBC"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3" w:type="dxa"/>
            <w:shd w:val="clear" w:color="auto" w:fill="auto"/>
            <w:noWrap/>
            <w:vAlign w:val="bottom"/>
            <w:hideMark/>
          </w:tcPr>
          <w:p w14:paraId="54A6ED8F"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43617135" w14:textId="77777777" w:rsidTr="00616CDC">
        <w:trPr>
          <w:trHeight w:val="226"/>
          <w:jc w:val="center"/>
        </w:trPr>
        <w:tc>
          <w:tcPr>
            <w:tcW w:w="2478" w:type="dxa"/>
            <w:shd w:val="clear" w:color="auto" w:fill="auto"/>
            <w:noWrap/>
            <w:vAlign w:val="bottom"/>
            <w:hideMark/>
          </w:tcPr>
          <w:p w14:paraId="15BBC557"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Turnip </w:t>
            </w:r>
          </w:p>
        </w:tc>
        <w:tc>
          <w:tcPr>
            <w:tcW w:w="1936" w:type="dxa"/>
            <w:shd w:val="clear" w:color="auto" w:fill="auto"/>
            <w:noWrap/>
            <w:vAlign w:val="bottom"/>
            <w:hideMark/>
          </w:tcPr>
          <w:p w14:paraId="5F8E587F"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19" w:type="dxa"/>
            <w:shd w:val="clear" w:color="auto" w:fill="auto"/>
            <w:noWrap/>
            <w:vAlign w:val="bottom"/>
            <w:hideMark/>
          </w:tcPr>
          <w:p w14:paraId="72E5DB52"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896" w:type="dxa"/>
            <w:shd w:val="clear" w:color="auto" w:fill="auto"/>
            <w:noWrap/>
            <w:vAlign w:val="bottom"/>
            <w:hideMark/>
          </w:tcPr>
          <w:p w14:paraId="771BDB29"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3" w:type="dxa"/>
            <w:shd w:val="clear" w:color="auto" w:fill="auto"/>
            <w:noWrap/>
            <w:vAlign w:val="bottom"/>
            <w:hideMark/>
          </w:tcPr>
          <w:p w14:paraId="02B3B633"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386F9ABE" w14:textId="77777777" w:rsidTr="00616CDC">
        <w:trPr>
          <w:trHeight w:val="226"/>
          <w:jc w:val="center"/>
        </w:trPr>
        <w:tc>
          <w:tcPr>
            <w:tcW w:w="2478" w:type="dxa"/>
            <w:shd w:val="clear" w:color="auto" w:fill="auto"/>
            <w:noWrap/>
            <w:vAlign w:val="bottom"/>
            <w:hideMark/>
          </w:tcPr>
          <w:p w14:paraId="0C40DE51"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Vetch</w:t>
            </w:r>
          </w:p>
        </w:tc>
        <w:tc>
          <w:tcPr>
            <w:tcW w:w="1936" w:type="dxa"/>
            <w:shd w:val="clear" w:color="auto" w:fill="auto"/>
            <w:noWrap/>
            <w:vAlign w:val="bottom"/>
            <w:hideMark/>
          </w:tcPr>
          <w:p w14:paraId="2F9D8EA9"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19" w:type="dxa"/>
            <w:shd w:val="clear" w:color="auto" w:fill="auto"/>
            <w:noWrap/>
            <w:vAlign w:val="bottom"/>
            <w:hideMark/>
          </w:tcPr>
          <w:p w14:paraId="4A76BCF0"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896" w:type="dxa"/>
            <w:shd w:val="clear" w:color="000000" w:fill="C6E0B4"/>
            <w:noWrap/>
            <w:vAlign w:val="bottom"/>
            <w:hideMark/>
          </w:tcPr>
          <w:p w14:paraId="483B3155"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773" w:type="dxa"/>
            <w:shd w:val="clear" w:color="auto" w:fill="auto"/>
            <w:noWrap/>
            <w:vAlign w:val="bottom"/>
            <w:hideMark/>
          </w:tcPr>
          <w:p w14:paraId="21E0642B"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767C3109" w14:textId="77777777" w:rsidTr="00616CDC">
        <w:trPr>
          <w:trHeight w:val="226"/>
          <w:jc w:val="center"/>
        </w:trPr>
        <w:tc>
          <w:tcPr>
            <w:tcW w:w="2478" w:type="dxa"/>
            <w:shd w:val="clear" w:color="auto" w:fill="auto"/>
            <w:noWrap/>
            <w:vAlign w:val="bottom"/>
            <w:hideMark/>
          </w:tcPr>
          <w:p w14:paraId="2C902BB0"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White clover </w:t>
            </w:r>
          </w:p>
        </w:tc>
        <w:tc>
          <w:tcPr>
            <w:tcW w:w="1936" w:type="dxa"/>
            <w:shd w:val="clear" w:color="auto" w:fill="auto"/>
            <w:noWrap/>
            <w:vAlign w:val="bottom"/>
            <w:hideMark/>
          </w:tcPr>
          <w:p w14:paraId="31E8CF69"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19" w:type="dxa"/>
            <w:shd w:val="clear" w:color="000000" w:fill="C6E0B4"/>
            <w:noWrap/>
            <w:vAlign w:val="bottom"/>
            <w:hideMark/>
          </w:tcPr>
          <w:p w14:paraId="4B69CC21"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896" w:type="dxa"/>
            <w:shd w:val="clear" w:color="auto" w:fill="auto"/>
            <w:noWrap/>
            <w:vAlign w:val="bottom"/>
            <w:hideMark/>
          </w:tcPr>
          <w:p w14:paraId="34C8F7CA"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73" w:type="dxa"/>
            <w:shd w:val="clear" w:color="auto" w:fill="auto"/>
            <w:noWrap/>
            <w:vAlign w:val="bottom"/>
            <w:hideMark/>
          </w:tcPr>
          <w:p w14:paraId="1CD6C625"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F63475" w:rsidRPr="00F63475" w14:paraId="349F7B0F" w14:textId="77777777" w:rsidTr="00616CDC">
        <w:trPr>
          <w:trHeight w:val="226"/>
          <w:jc w:val="center"/>
        </w:trPr>
        <w:tc>
          <w:tcPr>
            <w:tcW w:w="2478" w:type="dxa"/>
            <w:shd w:val="clear" w:color="auto" w:fill="auto"/>
            <w:noWrap/>
            <w:vAlign w:val="bottom"/>
            <w:hideMark/>
          </w:tcPr>
          <w:p w14:paraId="15721DEF"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White mustard </w:t>
            </w:r>
          </w:p>
        </w:tc>
        <w:tc>
          <w:tcPr>
            <w:tcW w:w="1936" w:type="dxa"/>
            <w:shd w:val="clear" w:color="000000" w:fill="C6E0B4"/>
            <w:noWrap/>
            <w:vAlign w:val="bottom"/>
            <w:hideMark/>
          </w:tcPr>
          <w:p w14:paraId="55F31072"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719" w:type="dxa"/>
            <w:shd w:val="clear" w:color="auto" w:fill="auto"/>
            <w:noWrap/>
            <w:vAlign w:val="bottom"/>
            <w:hideMark/>
          </w:tcPr>
          <w:p w14:paraId="68CACF36"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896" w:type="dxa"/>
            <w:shd w:val="clear" w:color="000000" w:fill="C6E0B4"/>
            <w:noWrap/>
            <w:vAlign w:val="bottom"/>
            <w:hideMark/>
          </w:tcPr>
          <w:p w14:paraId="477C36BD"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773" w:type="dxa"/>
            <w:shd w:val="clear" w:color="000000" w:fill="C6E0B4"/>
            <w:noWrap/>
            <w:vAlign w:val="bottom"/>
            <w:hideMark/>
          </w:tcPr>
          <w:p w14:paraId="034CCEA0" w14:textId="77777777" w:rsidR="00475D1D" w:rsidRPr="00F63475" w:rsidRDefault="00475D1D" w:rsidP="00475D1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r>
    </w:tbl>
    <w:tbl>
      <w:tblPr>
        <w:tblpPr w:leftFromText="180" w:rightFromText="180" w:vertAnchor="text" w:horzAnchor="margin" w:tblpY="332"/>
        <w:tblW w:w="3119" w:type="dxa"/>
        <w:tblLook w:val="04A0" w:firstRow="1" w:lastRow="0" w:firstColumn="1" w:lastColumn="0" w:noHBand="0" w:noVBand="1"/>
      </w:tblPr>
      <w:tblGrid>
        <w:gridCol w:w="698"/>
        <w:gridCol w:w="1003"/>
        <w:gridCol w:w="1418"/>
      </w:tblGrid>
      <w:tr w:rsidR="00F63475" w:rsidRPr="003B38BC" w14:paraId="70FB5629" w14:textId="77777777" w:rsidTr="008023AD">
        <w:trPr>
          <w:trHeight w:val="218"/>
        </w:trPr>
        <w:tc>
          <w:tcPr>
            <w:tcW w:w="698" w:type="dxa"/>
            <w:tcBorders>
              <w:top w:val="nil"/>
              <w:left w:val="nil"/>
              <w:bottom w:val="nil"/>
              <w:right w:val="nil"/>
            </w:tcBorders>
            <w:shd w:val="clear" w:color="auto" w:fill="auto"/>
            <w:noWrap/>
            <w:vAlign w:val="bottom"/>
            <w:hideMark/>
          </w:tcPr>
          <w:p w14:paraId="1E3880C5" w14:textId="77777777" w:rsidR="00F63475" w:rsidRPr="003B38BC" w:rsidRDefault="00F63475" w:rsidP="00F63475">
            <w:pPr>
              <w:spacing w:after="0" w:line="240" w:lineRule="auto"/>
              <w:rPr>
                <w:rFonts w:ascii="Times New Roman" w:eastAsia="Times New Roman" w:hAnsi="Times New Roman" w:cs="Times New Roman"/>
                <w:sz w:val="20"/>
                <w:szCs w:val="20"/>
                <w:lang w:eastAsia="en-GB"/>
              </w:rPr>
            </w:pPr>
          </w:p>
        </w:tc>
        <w:tc>
          <w:tcPr>
            <w:tcW w:w="1003" w:type="dxa"/>
            <w:tcBorders>
              <w:top w:val="nil"/>
              <w:left w:val="nil"/>
              <w:bottom w:val="nil"/>
              <w:right w:val="nil"/>
            </w:tcBorders>
            <w:shd w:val="clear" w:color="auto" w:fill="auto"/>
            <w:noWrap/>
            <w:vAlign w:val="bottom"/>
            <w:hideMark/>
          </w:tcPr>
          <w:p w14:paraId="78B0BA03" w14:textId="77777777" w:rsidR="00F63475" w:rsidRPr="003B38BC" w:rsidRDefault="00F63475" w:rsidP="00F63475">
            <w:pPr>
              <w:spacing w:after="0" w:line="240" w:lineRule="auto"/>
              <w:rPr>
                <w:rFonts w:ascii="Times New Roman" w:eastAsia="Times New Roman" w:hAnsi="Times New Roman" w:cs="Times New Roman"/>
                <w:sz w:val="20"/>
                <w:szCs w:val="20"/>
                <w:lang w:eastAsia="en-GB"/>
              </w:rPr>
            </w:pPr>
          </w:p>
        </w:tc>
        <w:tc>
          <w:tcPr>
            <w:tcW w:w="1418" w:type="dxa"/>
            <w:tcBorders>
              <w:top w:val="nil"/>
              <w:left w:val="nil"/>
              <w:bottom w:val="nil"/>
              <w:right w:val="nil"/>
            </w:tcBorders>
            <w:shd w:val="clear" w:color="auto" w:fill="auto"/>
            <w:noWrap/>
            <w:vAlign w:val="bottom"/>
            <w:hideMark/>
          </w:tcPr>
          <w:p w14:paraId="2EDD0AFD" w14:textId="77777777" w:rsidR="00F63475" w:rsidRPr="003B38BC" w:rsidRDefault="00F63475" w:rsidP="00F63475">
            <w:pPr>
              <w:spacing w:after="0" w:line="240" w:lineRule="auto"/>
              <w:rPr>
                <w:rFonts w:ascii="Times New Roman" w:eastAsia="Times New Roman" w:hAnsi="Times New Roman" w:cs="Times New Roman"/>
                <w:sz w:val="20"/>
                <w:szCs w:val="20"/>
                <w:lang w:eastAsia="en-GB"/>
              </w:rPr>
            </w:pPr>
          </w:p>
        </w:tc>
      </w:tr>
      <w:tr w:rsidR="00F63475" w:rsidRPr="003B38BC" w14:paraId="21D8CDFE" w14:textId="77777777" w:rsidTr="008023AD">
        <w:trPr>
          <w:trHeight w:val="71"/>
        </w:trPr>
        <w:tc>
          <w:tcPr>
            <w:tcW w:w="698" w:type="dxa"/>
            <w:tcBorders>
              <w:top w:val="nil"/>
              <w:left w:val="nil"/>
              <w:bottom w:val="nil"/>
              <w:right w:val="nil"/>
            </w:tcBorders>
            <w:shd w:val="clear" w:color="auto" w:fill="auto"/>
            <w:noWrap/>
            <w:vAlign w:val="bottom"/>
            <w:hideMark/>
          </w:tcPr>
          <w:p w14:paraId="75256352" w14:textId="77777777" w:rsidR="00F63475" w:rsidRPr="003B38BC" w:rsidRDefault="00F63475" w:rsidP="00F63475">
            <w:pPr>
              <w:spacing w:after="0" w:line="240" w:lineRule="auto"/>
              <w:rPr>
                <w:rFonts w:ascii="Times New Roman" w:eastAsia="Times New Roman" w:hAnsi="Times New Roman" w:cs="Times New Roman"/>
                <w:sz w:val="20"/>
                <w:szCs w:val="20"/>
                <w:lang w:eastAsia="en-GB"/>
              </w:rPr>
            </w:pP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02784" w14:textId="77777777" w:rsidR="00F63475" w:rsidRPr="003B38BC" w:rsidRDefault="00F63475" w:rsidP="00F63475">
            <w:pPr>
              <w:spacing w:after="0" w:line="240" w:lineRule="auto"/>
              <w:jc w:val="center"/>
              <w:rPr>
                <w:rFonts w:ascii="Calibri" w:eastAsia="Times New Roman" w:hAnsi="Calibri" w:cs="Calibri"/>
                <w:color w:val="000000"/>
                <w:lang w:eastAsia="en-GB"/>
              </w:rPr>
            </w:pPr>
            <w:r w:rsidRPr="003B38BC">
              <w:rPr>
                <w:rFonts w:ascii="Calibri" w:eastAsia="Times New Roman" w:hAnsi="Calibri" w:cs="Calibri"/>
                <w:color w:val="000000"/>
                <w:lang w:eastAsia="en-GB"/>
              </w:rPr>
              <w:t xml:space="preserve">Legend damage </w:t>
            </w:r>
          </w:p>
        </w:tc>
      </w:tr>
      <w:tr w:rsidR="00F63475" w:rsidRPr="003B38BC" w14:paraId="6DA6A354" w14:textId="77777777" w:rsidTr="008023AD">
        <w:trPr>
          <w:trHeight w:val="218"/>
        </w:trPr>
        <w:tc>
          <w:tcPr>
            <w:tcW w:w="698" w:type="dxa"/>
            <w:tcBorders>
              <w:top w:val="nil"/>
              <w:left w:val="nil"/>
              <w:bottom w:val="nil"/>
              <w:right w:val="nil"/>
            </w:tcBorders>
            <w:shd w:val="clear" w:color="auto" w:fill="auto"/>
            <w:noWrap/>
            <w:vAlign w:val="bottom"/>
            <w:hideMark/>
          </w:tcPr>
          <w:p w14:paraId="1563575A" w14:textId="77777777" w:rsidR="00F63475" w:rsidRPr="003B38BC" w:rsidRDefault="00F63475" w:rsidP="00F63475">
            <w:pPr>
              <w:spacing w:after="0" w:line="240" w:lineRule="auto"/>
              <w:rPr>
                <w:rFonts w:ascii="Times New Roman" w:eastAsia="Times New Roman" w:hAnsi="Times New Roman" w:cs="Times New Roman"/>
                <w:sz w:val="20"/>
                <w:szCs w:val="20"/>
                <w:lang w:eastAsia="en-GB"/>
              </w:rPr>
            </w:pPr>
          </w:p>
        </w:tc>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1F1AD583" w14:textId="77777777" w:rsidR="00F63475" w:rsidRPr="003B38BC" w:rsidRDefault="00F63475" w:rsidP="00F63475">
            <w:pPr>
              <w:spacing w:after="0" w:line="240" w:lineRule="auto"/>
              <w:rPr>
                <w:rFonts w:ascii="Calibri" w:eastAsia="Times New Roman" w:hAnsi="Calibri" w:cs="Calibri"/>
                <w:color w:val="000000"/>
                <w:lang w:eastAsia="en-GB"/>
              </w:rPr>
            </w:pPr>
            <w:r w:rsidRPr="003B38BC">
              <w:rPr>
                <w:rFonts w:ascii="Calibri" w:eastAsia="Times New Roman" w:hAnsi="Calibri" w:cs="Calibri"/>
                <w:color w:val="000000"/>
                <w:lang w:eastAsia="en-GB"/>
              </w:rPr>
              <w:t> </w:t>
            </w:r>
          </w:p>
        </w:tc>
        <w:tc>
          <w:tcPr>
            <w:tcW w:w="1418" w:type="dxa"/>
            <w:tcBorders>
              <w:top w:val="nil"/>
              <w:left w:val="nil"/>
              <w:bottom w:val="single" w:sz="4" w:space="0" w:color="auto"/>
              <w:right w:val="single" w:sz="4" w:space="0" w:color="auto"/>
            </w:tcBorders>
            <w:shd w:val="clear" w:color="auto" w:fill="auto"/>
            <w:noWrap/>
            <w:vAlign w:val="bottom"/>
            <w:hideMark/>
          </w:tcPr>
          <w:p w14:paraId="637DD6CF" w14:textId="77777777" w:rsidR="00F63475" w:rsidRPr="003B38BC" w:rsidRDefault="00F63475" w:rsidP="00F63475">
            <w:pPr>
              <w:spacing w:after="0" w:line="240" w:lineRule="auto"/>
              <w:rPr>
                <w:rFonts w:ascii="Calibri" w:eastAsia="Times New Roman" w:hAnsi="Calibri" w:cs="Calibri"/>
                <w:color w:val="000000"/>
                <w:lang w:eastAsia="en-GB"/>
              </w:rPr>
            </w:pPr>
            <w:r w:rsidRPr="003B38BC">
              <w:rPr>
                <w:rFonts w:ascii="Calibri" w:eastAsia="Times New Roman" w:hAnsi="Calibri" w:cs="Calibri"/>
                <w:color w:val="000000"/>
                <w:lang w:eastAsia="en-GB"/>
              </w:rPr>
              <w:t xml:space="preserve">Unknown </w:t>
            </w:r>
          </w:p>
        </w:tc>
      </w:tr>
      <w:tr w:rsidR="00F63475" w:rsidRPr="003B38BC" w14:paraId="4E1D08CA" w14:textId="77777777" w:rsidTr="008023AD">
        <w:trPr>
          <w:trHeight w:val="114"/>
        </w:trPr>
        <w:tc>
          <w:tcPr>
            <w:tcW w:w="698" w:type="dxa"/>
            <w:tcBorders>
              <w:top w:val="nil"/>
              <w:left w:val="nil"/>
              <w:bottom w:val="nil"/>
              <w:right w:val="nil"/>
            </w:tcBorders>
            <w:shd w:val="clear" w:color="auto" w:fill="auto"/>
            <w:noWrap/>
            <w:vAlign w:val="bottom"/>
            <w:hideMark/>
          </w:tcPr>
          <w:p w14:paraId="2CD4CF71" w14:textId="77777777" w:rsidR="00F63475" w:rsidRPr="003B38BC" w:rsidRDefault="00F63475" w:rsidP="00F63475">
            <w:pPr>
              <w:spacing w:after="0" w:line="240" w:lineRule="auto"/>
              <w:rPr>
                <w:rFonts w:ascii="Times New Roman" w:eastAsia="Times New Roman" w:hAnsi="Times New Roman" w:cs="Times New Roman"/>
                <w:sz w:val="20"/>
                <w:szCs w:val="20"/>
                <w:lang w:eastAsia="en-GB"/>
              </w:rPr>
            </w:pPr>
          </w:p>
        </w:tc>
        <w:tc>
          <w:tcPr>
            <w:tcW w:w="1003" w:type="dxa"/>
            <w:tcBorders>
              <w:top w:val="nil"/>
              <w:left w:val="single" w:sz="4" w:space="0" w:color="auto"/>
              <w:bottom w:val="single" w:sz="4" w:space="0" w:color="auto"/>
              <w:right w:val="single" w:sz="4" w:space="0" w:color="auto"/>
            </w:tcBorders>
            <w:shd w:val="clear" w:color="000000" w:fill="C6E0B4"/>
            <w:noWrap/>
            <w:vAlign w:val="bottom"/>
            <w:hideMark/>
          </w:tcPr>
          <w:p w14:paraId="7B26FAB0" w14:textId="77777777" w:rsidR="00F63475" w:rsidRPr="003B38BC" w:rsidRDefault="00F63475" w:rsidP="00F63475">
            <w:pPr>
              <w:spacing w:after="0" w:line="240" w:lineRule="auto"/>
              <w:rPr>
                <w:rFonts w:ascii="Calibri" w:eastAsia="Times New Roman" w:hAnsi="Calibri" w:cs="Calibri"/>
                <w:color w:val="000000"/>
                <w:lang w:eastAsia="en-GB"/>
              </w:rPr>
            </w:pPr>
            <w:r w:rsidRPr="003B38BC">
              <w:rPr>
                <w:rFonts w:ascii="Calibri" w:eastAsia="Times New Roman" w:hAnsi="Calibri" w:cs="Calibri"/>
                <w:color w:val="000000"/>
                <w:lang w:eastAsia="en-GB"/>
              </w:rPr>
              <w:t> </w:t>
            </w:r>
          </w:p>
        </w:tc>
        <w:tc>
          <w:tcPr>
            <w:tcW w:w="1418" w:type="dxa"/>
            <w:tcBorders>
              <w:top w:val="nil"/>
              <w:left w:val="nil"/>
              <w:bottom w:val="single" w:sz="4" w:space="0" w:color="auto"/>
              <w:right w:val="single" w:sz="4" w:space="0" w:color="auto"/>
            </w:tcBorders>
            <w:shd w:val="clear" w:color="auto" w:fill="auto"/>
            <w:noWrap/>
            <w:vAlign w:val="bottom"/>
            <w:hideMark/>
          </w:tcPr>
          <w:p w14:paraId="216C2D92" w14:textId="77777777" w:rsidR="00F63475" w:rsidRPr="003B38BC" w:rsidRDefault="00F63475" w:rsidP="00F63475">
            <w:pPr>
              <w:spacing w:after="0" w:line="240" w:lineRule="auto"/>
              <w:rPr>
                <w:rFonts w:ascii="Calibri" w:eastAsia="Times New Roman" w:hAnsi="Calibri" w:cs="Calibri"/>
                <w:color w:val="000000"/>
                <w:lang w:eastAsia="en-GB"/>
              </w:rPr>
            </w:pPr>
            <w:r w:rsidRPr="003B38BC">
              <w:rPr>
                <w:rFonts w:ascii="Calibri" w:eastAsia="Times New Roman" w:hAnsi="Calibri" w:cs="Calibri"/>
                <w:color w:val="000000"/>
                <w:lang w:eastAsia="en-GB"/>
              </w:rPr>
              <w:t xml:space="preserve">None </w:t>
            </w:r>
          </w:p>
        </w:tc>
      </w:tr>
      <w:tr w:rsidR="00F63475" w:rsidRPr="003B38BC" w14:paraId="48B48DC7" w14:textId="77777777" w:rsidTr="008023AD">
        <w:trPr>
          <w:trHeight w:val="218"/>
        </w:trPr>
        <w:tc>
          <w:tcPr>
            <w:tcW w:w="698" w:type="dxa"/>
            <w:tcBorders>
              <w:top w:val="nil"/>
              <w:left w:val="nil"/>
              <w:bottom w:val="nil"/>
              <w:right w:val="nil"/>
            </w:tcBorders>
            <w:shd w:val="clear" w:color="auto" w:fill="auto"/>
            <w:noWrap/>
            <w:vAlign w:val="bottom"/>
            <w:hideMark/>
          </w:tcPr>
          <w:p w14:paraId="4AE7038D" w14:textId="77777777" w:rsidR="00F63475" w:rsidRPr="003B38BC" w:rsidRDefault="00F63475" w:rsidP="00F63475">
            <w:pPr>
              <w:spacing w:after="0" w:line="240" w:lineRule="auto"/>
              <w:rPr>
                <w:rFonts w:ascii="Times New Roman" w:eastAsia="Times New Roman" w:hAnsi="Times New Roman" w:cs="Times New Roman"/>
                <w:sz w:val="20"/>
                <w:szCs w:val="20"/>
                <w:lang w:eastAsia="en-GB"/>
              </w:rPr>
            </w:pPr>
          </w:p>
        </w:tc>
        <w:tc>
          <w:tcPr>
            <w:tcW w:w="1003" w:type="dxa"/>
            <w:tcBorders>
              <w:top w:val="nil"/>
              <w:left w:val="single" w:sz="4" w:space="0" w:color="auto"/>
              <w:bottom w:val="single" w:sz="4" w:space="0" w:color="auto"/>
              <w:right w:val="single" w:sz="4" w:space="0" w:color="auto"/>
            </w:tcBorders>
            <w:shd w:val="clear" w:color="000000" w:fill="FFFF00"/>
            <w:noWrap/>
            <w:vAlign w:val="bottom"/>
            <w:hideMark/>
          </w:tcPr>
          <w:p w14:paraId="1B800DB8" w14:textId="77777777" w:rsidR="00F63475" w:rsidRPr="003B38BC" w:rsidRDefault="00F63475" w:rsidP="00F63475">
            <w:pPr>
              <w:spacing w:after="0" w:line="240" w:lineRule="auto"/>
              <w:rPr>
                <w:rFonts w:ascii="Calibri" w:eastAsia="Times New Roman" w:hAnsi="Calibri" w:cs="Calibri"/>
                <w:color w:val="000000"/>
                <w:lang w:eastAsia="en-GB"/>
              </w:rPr>
            </w:pPr>
            <w:r w:rsidRPr="003B38BC">
              <w:rPr>
                <w:rFonts w:ascii="Calibri" w:eastAsia="Times New Roman" w:hAnsi="Calibri" w:cs="Calibri"/>
                <w:color w:val="000000"/>
                <w:lang w:eastAsia="en-GB"/>
              </w:rPr>
              <w:t> </w:t>
            </w:r>
          </w:p>
        </w:tc>
        <w:tc>
          <w:tcPr>
            <w:tcW w:w="1418" w:type="dxa"/>
            <w:tcBorders>
              <w:top w:val="nil"/>
              <w:left w:val="nil"/>
              <w:bottom w:val="single" w:sz="4" w:space="0" w:color="auto"/>
              <w:right w:val="single" w:sz="4" w:space="0" w:color="auto"/>
            </w:tcBorders>
            <w:shd w:val="clear" w:color="auto" w:fill="auto"/>
            <w:noWrap/>
            <w:vAlign w:val="bottom"/>
            <w:hideMark/>
          </w:tcPr>
          <w:p w14:paraId="1A9B08FD" w14:textId="77777777" w:rsidR="00F63475" w:rsidRPr="003B38BC" w:rsidRDefault="00F63475" w:rsidP="00F63475">
            <w:pPr>
              <w:spacing w:after="0" w:line="240" w:lineRule="auto"/>
              <w:rPr>
                <w:rFonts w:ascii="Calibri" w:eastAsia="Times New Roman" w:hAnsi="Calibri" w:cs="Calibri"/>
                <w:color w:val="000000"/>
                <w:lang w:eastAsia="en-GB"/>
              </w:rPr>
            </w:pPr>
            <w:r w:rsidRPr="003B38BC">
              <w:rPr>
                <w:rFonts w:ascii="Calibri" w:eastAsia="Times New Roman" w:hAnsi="Calibri" w:cs="Calibri"/>
                <w:color w:val="000000"/>
                <w:lang w:eastAsia="en-GB"/>
              </w:rPr>
              <w:t>Little (0-15%)</w:t>
            </w:r>
          </w:p>
        </w:tc>
      </w:tr>
      <w:tr w:rsidR="00F63475" w:rsidRPr="003B38BC" w14:paraId="299E42DA" w14:textId="77777777" w:rsidTr="008023AD">
        <w:trPr>
          <w:trHeight w:val="218"/>
        </w:trPr>
        <w:tc>
          <w:tcPr>
            <w:tcW w:w="698" w:type="dxa"/>
            <w:tcBorders>
              <w:top w:val="nil"/>
              <w:left w:val="nil"/>
              <w:bottom w:val="nil"/>
              <w:right w:val="nil"/>
            </w:tcBorders>
            <w:shd w:val="clear" w:color="auto" w:fill="auto"/>
            <w:noWrap/>
            <w:vAlign w:val="bottom"/>
            <w:hideMark/>
          </w:tcPr>
          <w:p w14:paraId="51AFEA27" w14:textId="77777777" w:rsidR="00F63475" w:rsidRPr="003B38BC" w:rsidRDefault="00F63475" w:rsidP="00F63475">
            <w:pPr>
              <w:spacing w:after="0" w:line="240" w:lineRule="auto"/>
              <w:rPr>
                <w:rFonts w:ascii="Times New Roman" w:eastAsia="Times New Roman" w:hAnsi="Times New Roman" w:cs="Times New Roman"/>
                <w:sz w:val="20"/>
                <w:szCs w:val="20"/>
                <w:lang w:eastAsia="en-GB"/>
              </w:rPr>
            </w:pPr>
          </w:p>
        </w:tc>
        <w:tc>
          <w:tcPr>
            <w:tcW w:w="1003" w:type="dxa"/>
            <w:tcBorders>
              <w:top w:val="nil"/>
              <w:left w:val="single" w:sz="4" w:space="0" w:color="auto"/>
              <w:bottom w:val="single" w:sz="4" w:space="0" w:color="auto"/>
              <w:right w:val="single" w:sz="4" w:space="0" w:color="auto"/>
            </w:tcBorders>
            <w:shd w:val="clear" w:color="000000" w:fill="FCE4D6"/>
            <w:noWrap/>
            <w:vAlign w:val="bottom"/>
            <w:hideMark/>
          </w:tcPr>
          <w:p w14:paraId="64B6B25B" w14:textId="77777777" w:rsidR="00F63475" w:rsidRPr="003B38BC" w:rsidRDefault="00F63475" w:rsidP="00F63475">
            <w:pPr>
              <w:spacing w:after="0" w:line="240" w:lineRule="auto"/>
              <w:rPr>
                <w:rFonts w:ascii="Calibri" w:eastAsia="Times New Roman" w:hAnsi="Calibri" w:cs="Calibri"/>
                <w:color w:val="000000"/>
                <w:lang w:eastAsia="en-GB"/>
              </w:rPr>
            </w:pPr>
            <w:r w:rsidRPr="003B38BC">
              <w:rPr>
                <w:rFonts w:ascii="Calibri" w:eastAsia="Times New Roman" w:hAnsi="Calibri" w:cs="Calibri"/>
                <w:color w:val="000000"/>
                <w:lang w:eastAsia="en-GB"/>
              </w:rPr>
              <w:t> </w:t>
            </w:r>
          </w:p>
        </w:tc>
        <w:tc>
          <w:tcPr>
            <w:tcW w:w="1418" w:type="dxa"/>
            <w:tcBorders>
              <w:top w:val="nil"/>
              <w:left w:val="nil"/>
              <w:bottom w:val="single" w:sz="4" w:space="0" w:color="auto"/>
              <w:right w:val="single" w:sz="4" w:space="0" w:color="auto"/>
            </w:tcBorders>
            <w:shd w:val="clear" w:color="auto" w:fill="auto"/>
            <w:noWrap/>
            <w:vAlign w:val="bottom"/>
            <w:hideMark/>
          </w:tcPr>
          <w:p w14:paraId="4FE5453E" w14:textId="77777777" w:rsidR="00F63475" w:rsidRPr="003B38BC" w:rsidRDefault="00F63475" w:rsidP="00F63475">
            <w:pPr>
              <w:spacing w:after="0" w:line="240" w:lineRule="auto"/>
              <w:rPr>
                <w:rFonts w:ascii="Calibri" w:eastAsia="Times New Roman" w:hAnsi="Calibri" w:cs="Calibri"/>
                <w:color w:val="000000"/>
                <w:lang w:eastAsia="en-GB"/>
              </w:rPr>
            </w:pPr>
            <w:r w:rsidRPr="003B38BC">
              <w:rPr>
                <w:rFonts w:ascii="Calibri" w:eastAsia="Times New Roman" w:hAnsi="Calibri" w:cs="Calibri"/>
                <w:color w:val="000000"/>
                <w:lang w:eastAsia="en-GB"/>
              </w:rPr>
              <w:t xml:space="preserve">Medium </w:t>
            </w:r>
          </w:p>
        </w:tc>
      </w:tr>
      <w:tr w:rsidR="00F63475" w:rsidRPr="003B38BC" w14:paraId="7D2DB90A" w14:textId="77777777" w:rsidTr="008023AD">
        <w:trPr>
          <w:trHeight w:val="218"/>
        </w:trPr>
        <w:tc>
          <w:tcPr>
            <w:tcW w:w="698" w:type="dxa"/>
            <w:tcBorders>
              <w:top w:val="nil"/>
              <w:left w:val="nil"/>
              <w:bottom w:val="nil"/>
              <w:right w:val="nil"/>
            </w:tcBorders>
            <w:shd w:val="clear" w:color="auto" w:fill="auto"/>
            <w:noWrap/>
            <w:vAlign w:val="bottom"/>
            <w:hideMark/>
          </w:tcPr>
          <w:p w14:paraId="37776B2E" w14:textId="77777777" w:rsidR="00F63475" w:rsidRPr="003B38BC" w:rsidRDefault="00F63475" w:rsidP="00F63475">
            <w:pPr>
              <w:spacing w:after="0" w:line="240" w:lineRule="auto"/>
              <w:rPr>
                <w:rFonts w:ascii="Times New Roman" w:eastAsia="Times New Roman" w:hAnsi="Times New Roman" w:cs="Times New Roman"/>
                <w:sz w:val="20"/>
                <w:szCs w:val="20"/>
                <w:lang w:eastAsia="en-GB"/>
              </w:rPr>
            </w:pPr>
          </w:p>
        </w:tc>
        <w:tc>
          <w:tcPr>
            <w:tcW w:w="1003" w:type="dxa"/>
            <w:tcBorders>
              <w:top w:val="nil"/>
              <w:left w:val="single" w:sz="4" w:space="0" w:color="auto"/>
              <w:bottom w:val="single" w:sz="4" w:space="0" w:color="auto"/>
              <w:right w:val="single" w:sz="4" w:space="0" w:color="auto"/>
            </w:tcBorders>
            <w:shd w:val="clear" w:color="000000" w:fill="C00000"/>
            <w:noWrap/>
            <w:vAlign w:val="bottom"/>
            <w:hideMark/>
          </w:tcPr>
          <w:p w14:paraId="7B579036" w14:textId="77777777" w:rsidR="00F63475" w:rsidRPr="003B38BC" w:rsidRDefault="00F63475" w:rsidP="00F63475">
            <w:pPr>
              <w:spacing w:after="0" w:line="240" w:lineRule="auto"/>
              <w:rPr>
                <w:rFonts w:ascii="Calibri" w:eastAsia="Times New Roman" w:hAnsi="Calibri" w:cs="Calibri"/>
                <w:color w:val="000000"/>
                <w:lang w:eastAsia="en-GB"/>
              </w:rPr>
            </w:pPr>
            <w:r w:rsidRPr="003B38BC">
              <w:rPr>
                <w:rFonts w:ascii="Calibri" w:eastAsia="Times New Roman" w:hAnsi="Calibri" w:cs="Calibri"/>
                <w:color w:val="000000"/>
                <w:lang w:eastAsia="en-GB"/>
              </w:rPr>
              <w:t> </w:t>
            </w:r>
          </w:p>
        </w:tc>
        <w:tc>
          <w:tcPr>
            <w:tcW w:w="1418" w:type="dxa"/>
            <w:tcBorders>
              <w:top w:val="nil"/>
              <w:left w:val="nil"/>
              <w:bottom w:val="single" w:sz="4" w:space="0" w:color="auto"/>
              <w:right w:val="single" w:sz="4" w:space="0" w:color="auto"/>
            </w:tcBorders>
            <w:shd w:val="clear" w:color="auto" w:fill="auto"/>
            <w:noWrap/>
            <w:vAlign w:val="bottom"/>
            <w:hideMark/>
          </w:tcPr>
          <w:p w14:paraId="694452EA" w14:textId="77777777" w:rsidR="00F63475" w:rsidRPr="003B38BC" w:rsidRDefault="00F63475" w:rsidP="00F63475">
            <w:pPr>
              <w:spacing w:after="0" w:line="240" w:lineRule="auto"/>
              <w:rPr>
                <w:rFonts w:ascii="Calibri" w:eastAsia="Times New Roman" w:hAnsi="Calibri" w:cs="Calibri"/>
                <w:color w:val="000000"/>
                <w:lang w:eastAsia="en-GB"/>
              </w:rPr>
            </w:pPr>
            <w:r w:rsidRPr="003B38BC">
              <w:rPr>
                <w:rFonts w:ascii="Calibri" w:eastAsia="Times New Roman" w:hAnsi="Calibri" w:cs="Calibri"/>
                <w:color w:val="000000"/>
                <w:lang w:eastAsia="en-GB"/>
              </w:rPr>
              <w:t xml:space="preserve">Serious </w:t>
            </w:r>
          </w:p>
        </w:tc>
      </w:tr>
      <w:tr w:rsidR="00F63475" w:rsidRPr="003B38BC" w14:paraId="65C4334D" w14:textId="77777777" w:rsidTr="008023AD">
        <w:trPr>
          <w:trHeight w:val="218"/>
        </w:trPr>
        <w:tc>
          <w:tcPr>
            <w:tcW w:w="698" w:type="dxa"/>
            <w:tcBorders>
              <w:top w:val="nil"/>
              <w:left w:val="nil"/>
              <w:bottom w:val="nil"/>
              <w:right w:val="nil"/>
            </w:tcBorders>
            <w:shd w:val="clear" w:color="auto" w:fill="auto"/>
            <w:noWrap/>
            <w:vAlign w:val="bottom"/>
            <w:hideMark/>
          </w:tcPr>
          <w:p w14:paraId="5E20B343" w14:textId="77777777" w:rsidR="00F63475" w:rsidRPr="003B38BC" w:rsidRDefault="00F63475" w:rsidP="00F63475">
            <w:pPr>
              <w:spacing w:after="0" w:line="240" w:lineRule="auto"/>
              <w:rPr>
                <w:rFonts w:ascii="Times New Roman" w:eastAsia="Times New Roman" w:hAnsi="Times New Roman" w:cs="Times New Roman"/>
                <w:sz w:val="20"/>
                <w:szCs w:val="20"/>
                <w:lang w:eastAsia="en-GB"/>
              </w:rPr>
            </w:pPr>
          </w:p>
        </w:tc>
        <w:tc>
          <w:tcPr>
            <w:tcW w:w="1003" w:type="dxa"/>
            <w:tcBorders>
              <w:top w:val="nil"/>
              <w:left w:val="nil"/>
              <w:bottom w:val="nil"/>
              <w:right w:val="nil"/>
            </w:tcBorders>
            <w:shd w:val="clear" w:color="auto" w:fill="auto"/>
            <w:noWrap/>
            <w:vAlign w:val="bottom"/>
            <w:hideMark/>
          </w:tcPr>
          <w:p w14:paraId="2789EA48" w14:textId="77777777" w:rsidR="00F63475" w:rsidRPr="003B38BC" w:rsidRDefault="00F63475" w:rsidP="00F63475">
            <w:pPr>
              <w:spacing w:after="0" w:line="240" w:lineRule="auto"/>
              <w:rPr>
                <w:rFonts w:ascii="Times New Roman" w:eastAsia="Times New Roman" w:hAnsi="Times New Roman" w:cs="Times New Roman"/>
                <w:sz w:val="20"/>
                <w:szCs w:val="20"/>
                <w:lang w:eastAsia="en-GB"/>
              </w:rPr>
            </w:pPr>
          </w:p>
        </w:tc>
        <w:tc>
          <w:tcPr>
            <w:tcW w:w="1418" w:type="dxa"/>
            <w:tcBorders>
              <w:top w:val="nil"/>
              <w:left w:val="nil"/>
              <w:bottom w:val="nil"/>
              <w:right w:val="nil"/>
            </w:tcBorders>
            <w:shd w:val="clear" w:color="auto" w:fill="auto"/>
            <w:noWrap/>
            <w:vAlign w:val="bottom"/>
            <w:hideMark/>
          </w:tcPr>
          <w:p w14:paraId="70ED96EF" w14:textId="77777777" w:rsidR="00F63475" w:rsidRPr="003B38BC" w:rsidRDefault="00F63475" w:rsidP="00F63475">
            <w:pPr>
              <w:spacing w:after="0" w:line="240" w:lineRule="auto"/>
              <w:rPr>
                <w:rFonts w:ascii="Times New Roman" w:eastAsia="Times New Roman" w:hAnsi="Times New Roman" w:cs="Times New Roman"/>
                <w:sz w:val="20"/>
                <w:szCs w:val="20"/>
                <w:lang w:eastAsia="en-GB"/>
              </w:rPr>
            </w:pPr>
          </w:p>
        </w:tc>
      </w:tr>
    </w:tbl>
    <w:p w14:paraId="6FDDD01A" w14:textId="1C7A0705" w:rsidR="006B2311" w:rsidRPr="002B3D8A" w:rsidRDefault="006B2311" w:rsidP="003F62C4">
      <w:pPr>
        <w:pStyle w:val="Caption"/>
        <w:rPr>
          <w:rFonts w:ascii="Arial" w:eastAsia="Calibri" w:hAnsi="Arial" w:cs="Arial"/>
          <w:i/>
          <w:color w:val="000000" w:themeColor="text1"/>
          <w:sz w:val="24"/>
          <w:szCs w:val="24"/>
        </w:rPr>
      </w:pPr>
    </w:p>
    <w:p w14:paraId="3A2D30FC" w14:textId="3DA1B77F" w:rsidR="006B2311" w:rsidRDefault="006B2311" w:rsidP="00DA7314">
      <w:pPr>
        <w:spacing w:line="360" w:lineRule="auto"/>
        <w:jc w:val="both"/>
        <w:rPr>
          <w:rFonts w:ascii="Arial" w:eastAsia="Calibri" w:hAnsi="Arial" w:cs="Arial"/>
          <w:color w:val="000000" w:themeColor="text1"/>
          <w:sz w:val="24"/>
          <w:szCs w:val="24"/>
        </w:rPr>
      </w:pPr>
    </w:p>
    <w:p w14:paraId="401B84BB" w14:textId="77777777" w:rsidR="008023AD" w:rsidRDefault="008023AD" w:rsidP="000C7BB5">
      <w:pPr>
        <w:rPr>
          <w:rFonts w:ascii="Arial" w:hAnsi="Arial" w:cs="Arial"/>
          <w:color w:val="000000" w:themeColor="text1"/>
          <w:sz w:val="24"/>
          <w:szCs w:val="24"/>
        </w:rPr>
      </w:pPr>
    </w:p>
    <w:p w14:paraId="7239B924" w14:textId="77777777" w:rsidR="008023AD" w:rsidRDefault="008023AD" w:rsidP="000C7BB5">
      <w:pPr>
        <w:rPr>
          <w:rFonts w:ascii="Arial" w:hAnsi="Arial" w:cs="Arial"/>
          <w:color w:val="000000" w:themeColor="text1"/>
          <w:sz w:val="24"/>
          <w:szCs w:val="24"/>
        </w:rPr>
      </w:pPr>
    </w:p>
    <w:p w14:paraId="63098F8F" w14:textId="77777777" w:rsidR="008023AD" w:rsidRDefault="008023AD" w:rsidP="000C7BB5">
      <w:pPr>
        <w:rPr>
          <w:rFonts w:ascii="Arial" w:hAnsi="Arial" w:cs="Arial"/>
          <w:color w:val="000000" w:themeColor="text1"/>
          <w:sz w:val="24"/>
          <w:szCs w:val="24"/>
        </w:rPr>
      </w:pPr>
    </w:p>
    <w:p w14:paraId="7BF5CD0E" w14:textId="77777777" w:rsidR="008023AD" w:rsidRDefault="008023AD" w:rsidP="000C7BB5">
      <w:pPr>
        <w:rPr>
          <w:rFonts w:ascii="Arial" w:hAnsi="Arial" w:cs="Arial"/>
          <w:color w:val="000000" w:themeColor="text1"/>
          <w:sz w:val="24"/>
          <w:szCs w:val="24"/>
        </w:rPr>
      </w:pPr>
    </w:p>
    <w:p w14:paraId="51EDE790" w14:textId="420FC343" w:rsidR="00945979" w:rsidRPr="002B3D8A" w:rsidRDefault="00945979" w:rsidP="000C7BB5">
      <w:pPr>
        <w:rPr>
          <w:rFonts w:ascii="Arial" w:hAnsi="Arial" w:cs="Arial"/>
          <w:color w:val="000000" w:themeColor="text1"/>
          <w:sz w:val="24"/>
          <w:szCs w:val="24"/>
        </w:rPr>
      </w:pPr>
      <w:bookmarkStart w:id="20" w:name="_Toc110342106"/>
      <w:r w:rsidRPr="002B3D8A">
        <w:rPr>
          <w:rFonts w:ascii="Arial" w:hAnsi="Arial" w:cs="Arial"/>
          <w:color w:val="000000" w:themeColor="text1"/>
          <w:sz w:val="24"/>
          <w:szCs w:val="24"/>
        </w:rPr>
        <w:t xml:space="preserve">Figure </w:t>
      </w:r>
      <w:r w:rsidRPr="002B3D8A">
        <w:rPr>
          <w:rFonts w:ascii="Arial" w:hAnsi="Arial" w:cs="Arial"/>
          <w:color w:val="000000" w:themeColor="text1"/>
          <w:sz w:val="24"/>
          <w:szCs w:val="24"/>
        </w:rPr>
        <w:fldChar w:fldCharType="begin"/>
      </w:r>
      <w:r w:rsidRPr="002B3D8A">
        <w:rPr>
          <w:rFonts w:ascii="Arial" w:hAnsi="Arial" w:cs="Arial"/>
          <w:color w:val="000000" w:themeColor="text1"/>
          <w:sz w:val="24"/>
          <w:szCs w:val="24"/>
        </w:rPr>
        <w:instrText xml:space="preserve"> SEQ Figure \* ARABIC </w:instrText>
      </w:r>
      <w:r w:rsidRPr="002B3D8A">
        <w:rPr>
          <w:rFonts w:ascii="Arial" w:hAnsi="Arial" w:cs="Arial"/>
          <w:color w:val="000000" w:themeColor="text1"/>
          <w:sz w:val="24"/>
          <w:szCs w:val="24"/>
        </w:rPr>
        <w:fldChar w:fldCharType="separate"/>
      </w:r>
      <w:r w:rsidR="00C10D2B">
        <w:rPr>
          <w:rFonts w:ascii="Arial" w:hAnsi="Arial" w:cs="Arial"/>
          <w:noProof/>
          <w:color w:val="000000" w:themeColor="text1"/>
          <w:sz w:val="24"/>
          <w:szCs w:val="24"/>
        </w:rPr>
        <w:t>3</w:t>
      </w:r>
      <w:r w:rsidRPr="002B3D8A">
        <w:rPr>
          <w:rFonts w:ascii="Arial" w:hAnsi="Arial" w:cs="Arial"/>
          <w:color w:val="000000" w:themeColor="text1"/>
          <w:sz w:val="24"/>
          <w:szCs w:val="24"/>
        </w:rPr>
        <w:fldChar w:fldCharType="end"/>
      </w:r>
      <w:r w:rsidRPr="002B3D8A">
        <w:rPr>
          <w:rFonts w:ascii="Arial" w:hAnsi="Arial" w:cs="Arial"/>
          <w:color w:val="000000" w:themeColor="text1"/>
          <w:sz w:val="24"/>
          <w:szCs w:val="24"/>
        </w:rPr>
        <w:t xml:space="preserve">: Host status of green manure crops to different genera and species of stubby root nematodes. Scheme created from </w:t>
      </w:r>
      <w:hyperlink r:id="rId17" w:history="1">
        <w:r w:rsidRPr="002B3D8A">
          <w:rPr>
            <w:rStyle w:val="Hyperlink"/>
            <w:rFonts w:ascii="Arial" w:hAnsi="Arial" w:cs="Arial"/>
            <w:color w:val="000000" w:themeColor="text1"/>
            <w:sz w:val="24"/>
            <w:szCs w:val="24"/>
          </w:rPr>
          <w:t>https://www.best4soil.eu/database</w:t>
        </w:r>
      </w:hyperlink>
      <w:r w:rsidRPr="002B3D8A">
        <w:rPr>
          <w:rFonts w:ascii="Arial" w:hAnsi="Arial" w:cs="Arial"/>
          <w:color w:val="000000" w:themeColor="text1"/>
          <w:sz w:val="24"/>
          <w:szCs w:val="24"/>
        </w:rPr>
        <w:t xml:space="preserve"> based on research from Wageningen University and research | Field crops, Lelystad.</w:t>
      </w:r>
      <w:bookmarkEnd w:id="20"/>
    </w:p>
    <w:tbl>
      <w:tblPr>
        <w:tblW w:w="10034"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99"/>
        <w:gridCol w:w="1819"/>
        <w:gridCol w:w="1760"/>
        <w:gridCol w:w="2232"/>
        <w:gridCol w:w="1524"/>
      </w:tblGrid>
      <w:tr w:rsidR="00370DB7" w:rsidRPr="00F63475" w14:paraId="5077FC49" w14:textId="77777777" w:rsidTr="00616CDC">
        <w:trPr>
          <w:trHeight w:val="3067"/>
          <w:jc w:val="center"/>
        </w:trPr>
        <w:tc>
          <w:tcPr>
            <w:tcW w:w="2699" w:type="dxa"/>
            <w:tcBorders>
              <w:top w:val="nil"/>
            </w:tcBorders>
            <w:shd w:val="clear" w:color="auto" w:fill="auto"/>
            <w:noWrap/>
            <w:textDirection w:val="btLr"/>
            <w:vAlign w:val="center"/>
            <w:hideMark/>
          </w:tcPr>
          <w:p w14:paraId="06E9E152" w14:textId="5926AA77" w:rsidR="00370DB7" w:rsidRPr="00F63475" w:rsidRDefault="00370DB7" w:rsidP="00A70C3D">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lastRenderedPageBreak/>
              <w:t>Host crop</w:t>
            </w:r>
          </w:p>
        </w:tc>
        <w:tc>
          <w:tcPr>
            <w:tcW w:w="1819" w:type="dxa"/>
            <w:tcBorders>
              <w:top w:val="nil"/>
            </w:tcBorders>
            <w:shd w:val="clear" w:color="auto" w:fill="auto"/>
            <w:noWrap/>
            <w:textDirection w:val="btLr"/>
            <w:vAlign w:val="center"/>
            <w:hideMark/>
          </w:tcPr>
          <w:p w14:paraId="5575A835" w14:textId="3B666A1A" w:rsidR="00370DB7" w:rsidRPr="00F63475" w:rsidRDefault="00370DB7" w:rsidP="00A70C3D">
            <w:pPr>
              <w:spacing w:after="0" w:line="240" w:lineRule="auto"/>
              <w:rPr>
                <w:rFonts w:ascii="Arial" w:eastAsia="Times New Roman" w:hAnsi="Arial" w:cs="Arial"/>
                <w:i/>
                <w:iCs/>
                <w:color w:val="000000"/>
                <w:lang w:eastAsia="en-GB"/>
              </w:rPr>
            </w:pPr>
            <w:proofErr w:type="spellStart"/>
            <w:r w:rsidRPr="00F63475">
              <w:rPr>
                <w:rFonts w:ascii="Arial" w:eastAsia="Times New Roman" w:hAnsi="Arial" w:cs="Arial"/>
                <w:i/>
                <w:iCs/>
                <w:color w:val="000000"/>
                <w:lang w:eastAsia="en-GB"/>
              </w:rPr>
              <w:t>Partrichodorus</w:t>
            </w:r>
            <w:proofErr w:type="spellEnd"/>
            <w:r w:rsidRPr="00F63475">
              <w:rPr>
                <w:rFonts w:ascii="Arial" w:eastAsia="Times New Roman" w:hAnsi="Arial" w:cs="Arial"/>
                <w:i/>
                <w:iCs/>
                <w:color w:val="000000"/>
                <w:lang w:eastAsia="en-GB"/>
              </w:rPr>
              <w:t xml:space="preserve"> </w:t>
            </w:r>
            <w:proofErr w:type="spellStart"/>
            <w:r w:rsidRPr="00F63475">
              <w:rPr>
                <w:rFonts w:ascii="Arial" w:eastAsia="Times New Roman" w:hAnsi="Arial" w:cs="Arial"/>
                <w:i/>
                <w:iCs/>
                <w:color w:val="000000"/>
                <w:lang w:eastAsia="en-GB"/>
              </w:rPr>
              <w:t>pachydermus</w:t>
            </w:r>
            <w:proofErr w:type="spellEnd"/>
          </w:p>
        </w:tc>
        <w:tc>
          <w:tcPr>
            <w:tcW w:w="1760" w:type="dxa"/>
            <w:tcBorders>
              <w:top w:val="nil"/>
            </w:tcBorders>
            <w:shd w:val="clear" w:color="auto" w:fill="auto"/>
            <w:noWrap/>
            <w:textDirection w:val="btLr"/>
            <w:vAlign w:val="center"/>
            <w:hideMark/>
          </w:tcPr>
          <w:p w14:paraId="1DC2D38B" w14:textId="63013D3D" w:rsidR="00370DB7" w:rsidRPr="00F63475" w:rsidRDefault="00370DB7" w:rsidP="00A70C3D">
            <w:pPr>
              <w:spacing w:after="0" w:line="240" w:lineRule="auto"/>
              <w:rPr>
                <w:rFonts w:ascii="Arial" w:eastAsia="Times New Roman" w:hAnsi="Arial" w:cs="Arial"/>
                <w:i/>
                <w:iCs/>
                <w:color w:val="000000"/>
                <w:lang w:eastAsia="en-GB"/>
              </w:rPr>
            </w:pPr>
            <w:r w:rsidRPr="00F63475">
              <w:rPr>
                <w:rFonts w:ascii="Arial" w:eastAsia="Times New Roman" w:hAnsi="Arial" w:cs="Arial"/>
                <w:i/>
                <w:iCs/>
                <w:color w:val="000000"/>
                <w:lang w:eastAsia="en-GB"/>
              </w:rPr>
              <w:t>Paratrichodorus teres</w:t>
            </w:r>
          </w:p>
        </w:tc>
        <w:tc>
          <w:tcPr>
            <w:tcW w:w="2232" w:type="dxa"/>
            <w:tcBorders>
              <w:top w:val="nil"/>
            </w:tcBorders>
            <w:shd w:val="clear" w:color="auto" w:fill="auto"/>
            <w:noWrap/>
            <w:textDirection w:val="btLr"/>
            <w:vAlign w:val="center"/>
            <w:hideMark/>
          </w:tcPr>
          <w:p w14:paraId="563A509D" w14:textId="4197262D" w:rsidR="00370DB7" w:rsidRPr="00F63475" w:rsidRDefault="00370DB7" w:rsidP="00A70C3D">
            <w:pPr>
              <w:spacing w:after="0" w:line="240" w:lineRule="auto"/>
              <w:rPr>
                <w:rFonts w:ascii="Arial" w:eastAsia="Times New Roman" w:hAnsi="Arial" w:cs="Arial"/>
                <w:i/>
                <w:iCs/>
                <w:color w:val="000000"/>
                <w:lang w:eastAsia="en-GB"/>
              </w:rPr>
            </w:pPr>
            <w:r w:rsidRPr="00F63475">
              <w:rPr>
                <w:rFonts w:ascii="Arial" w:eastAsia="Times New Roman" w:hAnsi="Arial" w:cs="Arial"/>
                <w:i/>
                <w:iCs/>
                <w:color w:val="000000"/>
                <w:lang w:eastAsia="en-GB"/>
              </w:rPr>
              <w:t>Trichodorus primitivus</w:t>
            </w:r>
          </w:p>
        </w:tc>
        <w:tc>
          <w:tcPr>
            <w:tcW w:w="1524" w:type="dxa"/>
            <w:tcBorders>
              <w:top w:val="nil"/>
            </w:tcBorders>
            <w:shd w:val="clear" w:color="auto" w:fill="auto"/>
            <w:noWrap/>
            <w:textDirection w:val="btLr"/>
            <w:vAlign w:val="center"/>
            <w:hideMark/>
          </w:tcPr>
          <w:p w14:paraId="16337E10" w14:textId="5EA05E18" w:rsidR="00370DB7" w:rsidRPr="00F63475" w:rsidRDefault="00370DB7" w:rsidP="00A70C3D">
            <w:pPr>
              <w:spacing w:after="0" w:line="240" w:lineRule="auto"/>
              <w:rPr>
                <w:rFonts w:ascii="Arial" w:eastAsia="Times New Roman" w:hAnsi="Arial" w:cs="Arial"/>
                <w:i/>
                <w:iCs/>
                <w:color w:val="000000"/>
                <w:lang w:eastAsia="en-GB"/>
              </w:rPr>
            </w:pPr>
            <w:r w:rsidRPr="00F63475">
              <w:rPr>
                <w:rFonts w:ascii="Arial" w:eastAsia="Times New Roman" w:hAnsi="Arial" w:cs="Arial"/>
                <w:i/>
                <w:iCs/>
                <w:color w:val="000000"/>
                <w:lang w:eastAsia="en-GB"/>
              </w:rPr>
              <w:t>Trichodorus similis</w:t>
            </w:r>
          </w:p>
        </w:tc>
      </w:tr>
      <w:tr w:rsidR="00370DB7" w:rsidRPr="00F63475" w14:paraId="76C4723E" w14:textId="77777777" w:rsidTr="00616CDC">
        <w:trPr>
          <w:trHeight w:val="281"/>
          <w:jc w:val="center"/>
        </w:trPr>
        <w:tc>
          <w:tcPr>
            <w:tcW w:w="2699" w:type="dxa"/>
            <w:shd w:val="clear" w:color="auto" w:fill="auto"/>
            <w:noWrap/>
            <w:vAlign w:val="bottom"/>
            <w:hideMark/>
          </w:tcPr>
          <w:p w14:paraId="26165982"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 xml:space="preserve">Asparagus </w:t>
            </w:r>
          </w:p>
        </w:tc>
        <w:tc>
          <w:tcPr>
            <w:tcW w:w="1819" w:type="dxa"/>
            <w:shd w:val="clear" w:color="auto" w:fill="auto"/>
            <w:noWrap/>
            <w:vAlign w:val="bottom"/>
            <w:hideMark/>
          </w:tcPr>
          <w:p w14:paraId="427493AA"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0D51A685"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106DF3EB"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6533294E"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3AAB1158" w14:textId="77777777" w:rsidTr="00616CDC">
        <w:trPr>
          <w:trHeight w:val="281"/>
          <w:jc w:val="center"/>
        </w:trPr>
        <w:tc>
          <w:tcPr>
            <w:tcW w:w="2699" w:type="dxa"/>
            <w:shd w:val="clear" w:color="auto" w:fill="auto"/>
            <w:noWrap/>
            <w:vAlign w:val="bottom"/>
            <w:hideMark/>
          </w:tcPr>
          <w:p w14:paraId="695FBDB7"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 xml:space="preserve">Basil </w:t>
            </w:r>
          </w:p>
        </w:tc>
        <w:tc>
          <w:tcPr>
            <w:tcW w:w="1819" w:type="dxa"/>
            <w:shd w:val="clear" w:color="auto" w:fill="auto"/>
            <w:noWrap/>
            <w:vAlign w:val="bottom"/>
            <w:hideMark/>
          </w:tcPr>
          <w:p w14:paraId="18FE05CD"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643147A9"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51971574"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2C1EF508"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4DD19750" w14:textId="77777777" w:rsidTr="00616CDC">
        <w:trPr>
          <w:trHeight w:val="281"/>
          <w:jc w:val="center"/>
        </w:trPr>
        <w:tc>
          <w:tcPr>
            <w:tcW w:w="2699" w:type="dxa"/>
            <w:shd w:val="clear" w:color="auto" w:fill="auto"/>
            <w:noWrap/>
            <w:vAlign w:val="bottom"/>
            <w:hideMark/>
          </w:tcPr>
          <w:p w14:paraId="4FC523DA"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 xml:space="preserve">Beans </w:t>
            </w:r>
          </w:p>
        </w:tc>
        <w:tc>
          <w:tcPr>
            <w:tcW w:w="1819" w:type="dxa"/>
            <w:shd w:val="clear" w:color="000000" w:fill="FCE4D6"/>
            <w:noWrap/>
            <w:vAlign w:val="bottom"/>
            <w:hideMark/>
          </w:tcPr>
          <w:p w14:paraId="58FD3597"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760" w:type="dxa"/>
            <w:shd w:val="clear" w:color="000000" w:fill="FCE4D6"/>
            <w:noWrap/>
            <w:vAlign w:val="bottom"/>
            <w:hideMark/>
          </w:tcPr>
          <w:p w14:paraId="04FDC211"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2232" w:type="dxa"/>
            <w:shd w:val="clear" w:color="000000" w:fill="FCE4D6"/>
            <w:noWrap/>
            <w:vAlign w:val="bottom"/>
            <w:hideMark/>
          </w:tcPr>
          <w:p w14:paraId="160AC259"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524" w:type="dxa"/>
            <w:shd w:val="clear" w:color="000000" w:fill="FCE4D6"/>
            <w:noWrap/>
            <w:vAlign w:val="bottom"/>
            <w:hideMark/>
          </w:tcPr>
          <w:p w14:paraId="35CE7E57"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28E1DF34" w14:textId="77777777" w:rsidTr="00616CDC">
        <w:trPr>
          <w:trHeight w:val="281"/>
          <w:jc w:val="center"/>
        </w:trPr>
        <w:tc>
          <w:tcPr>
            <w:tcW w:w="2699" w:type="dxa"/>
            <w:shd w:val="clear" w:color="auto" w:fill="auto"/>
            <w:noWrap/>
            <w:vAlign w:val="bottom"/>
            <w:hideMark/>
          </w:tcPr>
          <w:p w14:paraId="7CA6AB61"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 xml:space="preserve">Black salsify </w:t>
            </w:r>
          </w:p>
        </w:tc>
        <w:tc>
          <w:tcPr>
            <w:tcW w:w="1819" w:type="dxa"/>
            <w:shd w:val="clear" w:color="000000" w:fill="FCE4D6"/>
            <w:noWrap/>
            <w:vAlign w:val="bottom"/>
            <w:hideMark/>
          </w:tcPr>
          <w:p w14:paraId="2109A7D8"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Poor host </w:t>
            </w:r>
          </w:p>
        </w:tc>
        <w:tc>
          <w:tcPr>
            <w:tcW w:w="1760" w:type="dxa"/>
            <w:shd w:val="clear" w:color="000000" w:fill="FCE4D6"/>
            <w:noWrap/>
            <w:vAlign w:val="bottom"/>
            <w:hideMark/>
          </w:tcPr>
          <w:p w14:paraId="0A78C9D6"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2232" w:type="dxa"/>
            <w:shd w:val="clear" w:color="000000" w:fill="FCE4D6"/>
            <w:noWrap/>
            <w:vAlign w:val="bottom"/>
            <w:hideMark/>
          </w:tcPr>
          <w:p w14:paraId="56E3CB57"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000000" w:fill="FCE4D6"/>
            <w:noWrap/>
            <w:vAlign w:val="bottom"/>
            <w:hideMark/>
          </w:tcPr>
          <w:p w14:paraId="7BFCB613"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r>
      <w:tr w:rsidR="00370DB7" w:rsidRPr="00F63475" w14:paraId="4F7408C2" w14:textId="77777777" w:rsidTr="00616CDC">
        <w:trPr>
          <w:trHeight w:val="281"/>
          <w:jc w:val="center"/>
        </w:trPr>
        <w:tc>
          <w:tcPr>
            <w:tcW w:w="2699" w:type="dxa"/>
            <w:shd w:val="clear" w:color="auto" w:fill="auto"/>
            <w:noWrap/>
            <w:vAlign w:val="bottom"/>
            <w:hideMark/>
          </w:tcPr>
          <w:p w14:paraId="7C3CA1BB" w14:textId="5A880A33"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Cabbage (Incl. Cauliflower and Broccoli</w:t>
            </w:r>
          </w:p>
        </w:tc>
        <w:tc>
          <w:tcPr>
            <w:tcW w:w="1819" w:type="dxa"/>
            <w:shd w:val="clear" w:color="000000" w:fill="FF0000"/>
            <w:noWrap/>
            <w:vAlign w:val="bottom"/>
            <w:hideMark/>
          </w:tcPr>
          <w:p w14:paraId="3D158CF4"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000000" w:fill="FF0000"/>
            <w:noWrap/>
            <w:vAlign w:val="bottom"/>
            <w:hideMark/>
          </w:tcPr>
          <w:p w14:paraId="7ECD3697"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2232" w:type="dxa"/>
            <w:shd w:val="clear" w:color="000000" w:fill="FF0000"/>
            <w:noWrap/>
            <w:vAlign w:val="bottom"/>
            <w:hideMark/>
          </w:tcPr>
          <w:p w14:paraId="21B449C6"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524" w:type="dxa"/>
            <w:shd w:val="clear" w:color="auto" w:fill="auto"/>
            <w:noWrap/>
            <w:vAlign w:val="bottom"/>
            <w:hideMark/>
          </w:tcPr>
          <w:p w14:paraId="1C7F01C8"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24D5CBDF" w14:textId="77777777" w:rsidTr="00616CDC">
        <w:trPr>
          <w:trHeight w:val="281"/>
          <w:jc w:val="center"/>
        </w:trPr>
        <w:tc>
          <w:tcPr>
            <w:tcW w:w="2699" w:type="dxa"/>
            <w:shd w:val="clear" w:color="auto" w:fill="auto"/>
            <w:noWrap/>
            <w:vAlign w:val="bottom"/>
            <w:hideMark/>
          </w:tcPr>
          <w:p w14:paraId="3180CFAC"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 xml:space="preserve">Carrot </w:t>
            </w:r>
          </w:p>
        </w:tc>
        <w:tc>
          <w:tcPr>
            <w:tcW w:w="1819" w:type="dxa"/>
            <w:shd w:val="clear" w:color="000000" w:fill="FCE4D6"/>
            <w:noWrap/>
            <w:vAlign w:val="bottom"/>
            <w:hideMark/>
          </w:tcPr>
          <w:p w14:paraId="35ABC11E"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1760" w:type="dxa"/>
            <w:shd w:val="clear" w:color="000000" w:fill="FCE4D6"/>
            <w:noWrap/>
            <w:vAlign w:val="bottom"/>
            <w:hideMark/>
          </w:tcPr>
          <w:p w14:paraId="191C6841"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2232" w:type="dxa"/>
            <w:shd w:val="clear" w:color="000000" w:fill="FCE4D6"/>
            <w:noWrap/>
            <w:vAlign w:val="bottom"/>
            <w:hideMark/>
          </w:tcPr>
          <w:p w14:paraId="71D83C9C"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1524" w:type="dxa"/>
            <w:shd w:val="clear" w:color="auto" w:fill="FFFF00"/>
            <w:noWrap/>
            <w:vAlign w:val="bottom"/>
            <w:hideMark/>
          </w:tcPr>
          <w:p w14:paraId="0F9A12F4"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Poor host </w:t>
            </w:r>
          </w:p>
        </w:tc>
      </w:tr>
      <w:tr w:rsidR="00370DB7" w:rsidRPr="00F63475" w14:paraId="0D56E46A" w14:textId="77777777" w:rsidTr="00616CDC">
        <w:trPr>
          <w:trHeight w:val="281"/>
          <w:jc w:val="center"/>
        </w:trPr>
        <w:tc>
          <w:tcPr>
            <w:tcW w:w="2699" w:type="dxa"/>
            <w:shd w:val="clear" w:color="auto" w:fill="auto"/>
            <w:noWrap/>
            <w:vAlign w:val="bottom"/>
            <w:hideMark/>
          </w:tcPr>
          <w:p w14:paraId="38FAEA73"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Celery</w:t>
            </w:r>
          </w:p>
        </w:tc>
        <w:tc>
          <w:tcPr>
            <w:tcW w:w="1819" w:type="dxa"/>
            <w:shd w:val="clear" w:color="auto" w:fill="auto"/>
            <w:noWrap/>
            <w:vAlign w:val="bottom"/>
            <w:hideMark/>
          </w:tcPr>
          <w:p w14:paraId="0D011FB6"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000000" w:fill="FF0000"/>
            <w:noWrap/>
            <w:vAlign w:val="bottom"/>
            <w:hideMark/>
          </w:tcPr>
          <w:p w14:paraId="7F2A4C19"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2232" w:type="dxa"/>
            <w:shd w:val="clear" w:color="auto" w:fill="auto"/>
            <w:noWrap/>
            <w:vAlign w:val="bottom"/>
            <w:hideMark/>
          </w:tcPr>
          <w:p w14:paraId="14B66A20"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3511F7A9"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7650981E" w14:textId="77777777" w:rsidTr="00616CDC">
        <w:trPr>
          <w:trHeight w:val="281"/>
          <w:jc w:val="center"/>
        </w:trPr>
        <w:tc>
          <w:tcPr>
            <w:tcW w:w="2699" w:type="dxa"/>
            <w:shd w:val="clear" w:color="auto" w:fill="auto"/>
            <w:noWrap/>
            <w:vAlign w:val="bottom"/>
            <w:hideMark/>
          </w:tcPr>
          <w:p w14:paraId="59857E10"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 xml:space="preserve">Chicory </w:t>
            </w:r>
          </w:p>
        </w:tc>
        <w:tc>
          <w:tcPr>
            <w:tcW w:w="1819" w:type="dxa"/>
            <w:shd w:val="clear" w:color="auto" w:fill="auto"/>
            <w:noWrap/>
            <w:vAlign w:val="bottom"/>
            <w:hideMark/>
          </w:tcPr>
          <w:p w14:paraId="7142178F"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1760" w:type="dxa"/>
            <w:shd w:val="clear" w:color="auto" w:fill="auto"/>
            <w:noWrap/>
            <w:vAlign w:val="bottom"/>
            <w:hideMark/>
          </w:tcPr>
          <w:p w14:paraId="0F8EAA6F"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2232" w:type="dxa"/>
            <w:shd w:val="clear" w:color="auto" w:fill="auto"/>
            <w:noWrap/>
            <w:vAlign w:val="bottom"/>
            <w:hideMark/>
          </w:tcPr>
          <w:p w14:paraId="6F2D23F0"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31C89032"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r>
      <w:tr w:rsidR="00370DB7" w:rsidRPr="00F63475" w14:paraId="76CEAE34" w14:textId="77777777" w:rsidTr="00616CDC">
        <w:trPr>
          <w:trHeight w:val="281"/>
          <w:jc w:val="center"/>
        </w:trPr>
        <w:tc>
          <w:tcPr>
            <w:tcW w:w="2699" w:type="dxa"/>
            <w:shd w:val="clear" w:color="auto" w:fill="auto"/>
            <w:noWrap/>
            <w:vAlign w:val="bottom"/>
            <w:hideMark/>
          </w:tcPr>
          <w:p w14:paraId="0CE89B75"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 xml:space="preserve">Coriander </w:t>
            </w:r>
          </w:p>
        </w:tc>
        <w:tc>
          <w:tcPr>
            <w:tcW w:w="1819" w:type="dxa"/>
            <w:shd w:val="clear" w:color="auto" w:fill="auto"/>
            <w:noWrap/>
            <w:vAlign w:val="bottom"/>
            <w:hideMark/>
          </w:tcPr>
          <w:p w14:paraId="52A081FD"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72A7A05F"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23C05812"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24FF723F"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0B5BA88C" w14:textId="77777777" w:rsidTr="00616CDC">
        <w:trPr>
          <w:trHeight w:val="281"/>
          <w:jc w:val="center"/>
        </w:trPr>
        <w:tc>
          <w:tcPr>
            <w:tcW w:w="2699" w:type="dxa"/>
            <w:shd w:val="clear" w:color="auto" w:fill="auto"/>
            <w:noWrap/>
            <w:vAlign w:val="bottom"/>
            <w:hideMark/>
          </w:tcPr>
          <w:p w14:paraId="71FE007E"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 xml:space="preserve">Corn salad </w:t>
            </w:r>
          </w:p>
        </w:tc>
        <w:tc>
          <w:tcPr>
            <w:tcW w:w="1819" w:type="dxa"/>
            <w:shd w:val="clear" w:color="auto" w:fill="auto"/>
            <w:noWrap/>
            <w:vAlign w:val="bottom"/>
            <w:hideMark/>
          </w:tcPr>
          <w:p w14:paraId="3865C880"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33C9B18A"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5BACC935"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0EAFDA70"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2A06DEC4" w14:textId="77777777" w:rsidTr="00616CDC">
        <w:trPr>
          <w:trHeight w:val="281"/>
          <w:jc w:val="center"/>
        </w:trPr>
        <w:tc>
          <w:tcPr>
            <w:tcW w:w="2699" w:type="dxa"/>
            <w:shd w:val="clear" w:color="auto" w:fill="auto"/>
            <w:noWrap/>
            <w:vAlign w:val="bottom"/>
            <w:hideMark/>
          </w:tcPr>
          <w:p w14:paraId="565DBCA1"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 xml:space="preserve">Cucumber </w:t>
            </w:r>
          </w:p>
        </w:tc>
        <w:tc>
          <w:tcPr>
            <w:tcW w:w="1819" w:type="dxa"/>
            <w:shd w:val="clear" w:color="auto" w:fill="auto"/>
            <w:noWrap/>
            <w:vAlign w:val="bottom"/>
            <w:hideMark/>
          </w:tcPr>
          <w:p w14:paraId="651A480C"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3C4AF337"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22614C50"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09B96FE8"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06EF487A" w14:textId="77777777" w:rsidTr="00616CDC">
        <w:trPr>
          <w:trHeight w:val="281"/>
          <w:jc w:val="center"/>
        </w:trPr>
        <w:tc>
          <w:tcPr>
            <w:tcW w:w="2699" w:type="dxa"/>
            <w:shd w:val="clear" w:color="auto" w:fill="auto"/>
            <w:noWrap/>
            <w:vAlign w:val="bottom"/>
            <w:hideMark/>
          </w:tcPr>
          <w:p w14:paraId="649CC39E"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Dill</w:t>
            </w:r>
          </w:p>
        </w:tc>
        <w:tc>
          <w:tcPr>
            <w:tcW w:w="1819" w:type="dxa"/>
            <w:shd w:val="clear" w:color="auto" w:fill="auto"/>
            <w:noWrap/>
            <w:vAlign w:val="bottom"/>
            <w:hideMark/>
          </w:tcPr>
          <w:p w14:paraId="6D096A00"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1D346788"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7E7484AD"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5712CA7F"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222DB4CD" w14:textId="77777777" w:rsidTr="00616CDC">
        <w:trPr>
          <w:trHeight w:val="281"/>
          <w:jc w:val="center"/>
        </w:trPr>
        <w:tc>
          <w:tcPr>
            <w:tcW w:w="2699" w:type="dxa"/>
            <w:shd w:val="clear" w:color="auto" w:fill="auto"/>
            <w:noWrap/>
            <w:vAlign w:val="bottom"/>
            <w:hideMark/>
          </w:tcPr>
          <w:p w14:paraId="24BC17BC"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 xml:space="preserve">Eggplant </w:t>
            </w:r>
          </w:p>
        </w:tc>
        <w:tc>
          <w:tcPr>
            <w:tcW w:w="1819" w:type="dxa"/>
            <w:shd w:val="clear" w:color="auto" w:fill="auto"/>
            <w:noWrap/>
            <w:vAlign w:val="bottom"/>
            <w:hideMark/>
          </w:tcPr>
          <w:p w14:paraId="5EE74F9A"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6AE5ABA6"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07F6DDF1"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24AD29EA"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12A6ACAE" w14:textId="77777777" w:rsidTr="00616CDC">
        <w:trPr>
          <w:trHeight w:val="281"/>
          <w:jc w:val="center"/>
        </w:trPr>
        <w:tc>
          <w:tcPr>
            <w:tcW w:w="2699" w:type="dxa"/>
            <w:shd w:val="clear" w:color="auto" w:fill="auto"/>
            <w:noWrap/>
            <w:vAlign w:val="bottom"/>
            <w:hideMark/>
          </w:tcPr>
          <w:p w14:paraId="4E7DD831"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Garlic</w:t>
            </w:r>
          </w:p>
        </w:tc>
        <w:tc>
          <w:tcPr>
            <w:tcW w:w="1819" w:type="dxa"/>
            <w:shd w:val="clear" w:color="auto" w:fill="auto"/>
            <w:noWrap/>
            <w:vAlign w:val="bottom"/>
            <w:hideMark/>
          </w:tcPr>
          <w:p w14:paraId="4CDBA0B9"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20B1B9A4"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5D2B99A6"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6CB263AC"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21442B60" w14:textId="77777777" w:rsidTr="00616CDC">
        <w:trPr>
          <w:trHeight w:val="281"/>
          <w:jc w:val="center"/>
        </w:trPr>
        <w:tc>
          <w:tcPr>
            <w:tcW w:w="2699" w:type="dxa"/>
            <w:shd w:val="clear" w:color="auto" w:fill="auto"/>
            <w:noWrap/>
            <w:vAlign w:val="bottom"/>
            <w:hideMark/>
          </w:tcPr>
          <w:p w14:paraId="1F3B57F8"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Leek</w:t>
            </w:r>
          </w:p>
        </w:tc>
        <w:tc>
          <w:tcPr>
            <w:tcW w:w="1819" w:type="dxa"/>
            <w:shd w:val="clear" w:color="000000" w:fill="FCE4D6"/>
            <w:noWrap/>
            <w:vAlign w:val="bottom"/>
            <w:hideMark/>
          </w:tcPr>
          <w:p w14:paraId="42AA86E2"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000000" w:fill="FCE4D6"/>
            <w:noWrap/>
            <w:vAlign w:val="bottom"/>
            <w:hideMark/>
          </w:tcPr>
          <w:p w14:paraId="23055203"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Poor host </w:t>
            </w:r>
          </w:p>
        </w:tc>
        <w:tc>
          <w:tcPr>
            <w:tcW w:w="2232" w:type="dxa"/>
            <w:shd w:val="clear" w:color="000000" w:fill="FCE4D6"/>
            <w:noWrap/>
            <w:vAlign w:val="bottom"/>
            <w:hideMark/>
          </w:tcPr>
          <w:p w14:paraId="1E2802A0"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000000" w:fill="FCE4D6"/>
            <w:noWrap/>
            <w:vAlign w:val="bottom"/>
            <w:hideMark/>
          </w:tcPr>
          <w:p w14:paraId="7FF97D2D"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Poor host </w:t>
            </w:r>
          </w:p>
        </w:tc>
      </w:tr>
      <w:tr w:rsidR="00370DB7" w:rsidRPr="00F63475" w14:paraId="4B87EEDD" w14:textId="77777777" w:rsidTr="00616CDC">
        <w:trPr>
          <w:trHeight w:val="281"/>
          <w:jc w:val="center"/>
        </w:trPr>
        <w:tc>
          <w:tcPr>
            <w:tcW w:w="2699" w:type="dxa"/>
            <w:shd w:val="clear" w:color="auto" w:fill="auto"/>
            <w:noWrap/>
            <w:vAlign w:val="bottom"/>
            <w:hideMark/>
          </w:tcPr>
          <w:p w14:paraId="4F40B773"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Lettuce</w:t>
            </w:r>
          </w:p>
        </w:tc>
        <w:tc>
          <w:tcPr>
            <w:tcW w:w="1819" w:type="dxa"/>
            <w:shd w:val="clear" w:color="auto" w:fill="auto"/>
            <w:noWrap/>
            <w:vAlign w:val="bottom"/>
            <w:hideMark/>
          </w:tcPr>
          <w:p w14:paraId="00CA8BC0"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755FF779"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7DA5DC08"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5EF72D0B"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754AA26C" w14:textId="77777777" w:rsidTr="00616CDC">
        <w:trPr>
          <w:trHeight w:val="281"/>
          <w:jc w:val="center"/>
        </w:trPr>
        <w:tc>
          <w:tcPr>
            <w:tcW w:w="2699" w:type="dxa"/>
            <w:shd w:val="clear" w:color="auto" w:fill="auto"/>
            <w:noWrap/>
            <w:vAlign w:val="bottom"/>
            <w:hideMark/>
          </w:tcPr>
          <w:p w14:paraId="38E37565"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 xml:space="preserve">Melon </w:t>
            </w:r>
          </w:p>
        </w:tc>
        <w:tc>
          <w:tcPr>
            <w:tcW w:w="1819" w:type="dxa"/>
            <w:shd w:val="clear" w:color="auto" w:fill="auto"/>
            <w:noWrap/>
            <w:vAlign w:val="bottom"/>
            <w:hideMark/>
          </w:tcPr>
          <w:p w14:paraId="091B66C2"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7B41C364"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24F1C5E5"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6A41B1B0"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3688B20B" w14:textId="77777777" w:rsidTr="00616CDC">
        <w:trPr>
          <w:trHeight w:val="281"/>
          <w:jc w:val="center"/>
        </w:trPr>
        <w:tc>
          <w:tcPr>
            <w:tcW w:w="2699" w:type="dxa"/>
            <w:shd w:val="clear" w:color="auto" w:fill="auto"/>
            <w:noWrap/>
            <w:vAlign w:val="bottom"/>
            <w:hideMark/>
          </w:tcPr>
          <w:p w14:paraId="4B46023E"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 xml:space="preserve">Onion </w:t>
            </w:r>
          </w:p>
        </w:tc>
        <w:tc>
          <w:tcPr>
            <w:tcW w:w="1819" w:type="dxa"/>
            <w:shd w:val="clear" w:color="auto" w:fill="FF0000"/>
            <w:noWrap/>
            <w:vAlign w:val="bottom"/>
            <w:hideMark/>
          </w:tcPr>
          <w:p w14:paraId="57D0EBD9"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Non-host</w:t>
            </w:r>
          </w:p>
        </w:tc>
        <w:tc>
          <w:tcPr>
            <w:tcW w:w="1760" w:type="dxa"/>
            <w:shd w:val="clear" w:color="000000" w:fill="FCE4D6"/>
            <w:noWrap/>
            <w:vAlign w:val="bottom"/>
            <w:hideMark/>
          </w:tcPr>
          <w:p w14:paraId="04F4D02F"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Moderate host </w:t>
            </w:r>
          </w:p>
        </w:tc>
        <w:tc>
          <w:tcPr>
            <w:tcW w:w="2232" w:type="dxa"/>
            <w:shd w:val="clear" w:color="000000" w:fill="FF0000"/>
            <w:noWrap/>
            <w:vAlign w:val="bottom"/>
            <w:hideMark/>
          </w:tcPr>
          <w:p w14:paraId="3EE34137"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524" w:type="dxa"/>
            <w:shd w:val="clear" w:color="000000" w:fill="FF0000"/>
            <w:noWrap/>
            <w:vAlign w:val="bottom"/>
            <w:hideMark/>
          </w:tcPr>
          <w:p w14:paraId="2F499FEA"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36B35B16" w14:textId="77777777" w:rsidTr="00616CDC">
        <w:trPr>
          <w:trHeight w:val="281"/>
          <w:jc w:val="center"/>
        </w:trPr>
        <w:tc>
          <w:tcPr>
            <w:tcW w:w="2699" w:type="dxa"/>
            <w:shd w:val="clear" w:color="auto" w:fill="auto"/>
            <w:noWrap/>
            <w:vAlign w:val="bottom"/>
            <w:hideMark/>
          </w:tcPr>
          <w:p w14:paraId="35232843" w14:textId="315E2342" w:rsidR="00370DB7" w:rsidRPr="00370DB7" w:rsidRDefault="008023AD"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Parsley</w:t>
            </w:r>
          </w:p>
        </w:tc>
        <w:tc>
          <w:tcPr>
            <w:tcW w:w="1819" w:type="dxa"/>
            <w:shd w:val="clear" w:color="auto" w:fill="auto"/>
            <w:noWrap/>
            <w:vAlign w:val="bottom"/>
            <w:hideMark/>
          </w:tcPr>
          <w:p w14:paraId="20CC6B22"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760" w:type="dxa"/>
            <w:shd w:val="clear" w:color="auto" w:fill="auto"/>
            <w:noWrap/>
            <w:vAlign w:val="bottom"/>
            <w:hideMark/>
          </w:tcPr>
          <w:p w14:paraId="5D36B431"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16ABA886"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526CE5A9"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53AF557D" w14:textId="77777777" w:rsidTr="00616CDC">
        <w:trPr>
          <w:trHeight w:val="281"/>
          <w:jc w:val="center"/>
        </w:trPr>
        <w:tc>
          <w:tcPr>
            <w:tcW w:w="2699" w:type="dxa"/>
            <w:shd w:val="clear" w:color="auto" w:fill="auto"/>
            <w:noWrap/>
            <w:vAlign w:val="bottom"/>
            <w:hideMark/>
          </w:tcPr>
          <w:p w14:paraId="19BA3AE7"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 xml:space="preserve">Parsnip </w:t>
            </w:r>
          </w:p>
        </w:tc>
        <w:tc>
          <w:tcPr>
            <w:tcW w:w="1819" w:type="dxa"/>
            <w:shd w:val="clear" w:color="auto" w:fill="auto"/>
            <w:noWrap/>
            <w:vAlign w:val="bottom"/>
            <w:hideMark/>
          </w:tcPr>
          <w:p w14:paraId="18727694"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7A3BCA41"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62CB0C2F"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229F488F"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2D479CC2" w14:textId="77777777" w:rsidTr="00616CDC">
        <w:trPr>
          <w:trHeight w:val="281"/>
          <w:jc w:val="center"/>
        </w:trPr>
        <w:tc>
          <w:tcPr>
            <w:tcW w:w="2699" w:type="dxa"/>
            <w:shd w:val="clear" w:color="auto" w:fill="auto"/>
            <w:noWrap/>
            <w:vAlign w:val="bottom"/>
            <w:hideMark/>
          </w:tcPr>
          <w:p w14:paraId="086F7774"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 xml:space="preserve">Peas </w:t>
            </w:r>
          </w:p>
        </w:tc>
        <w:tc>
          <w:tcPr>
            <w:tcW w:w="1819" w:type="dxa"/>
            <w:shd w:val="clear" w:color="auto" w:fill="auto"/>
            <w:noWrap/>
            <w:vAlign w:val="bottom"/>
            <w:hideMark/>
          </w:tcPr>
          <w:p w14:paraId="374644DA"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1DCC4360"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Poor host </w:t>
            </w:r>
          </w:p>
        </w:tc>
        <w:tc>
          <w:tcPr>
            <w:tcW w:w="2232" w:type="dxa"/>
            <w:shd w:val="clear" w:color="auto" w:fill="auto"/>
            <w:noWrap/>
            <w:vAlign w:val="bottom"/>
            <w:hideMark/>
          </w:tcPr>
          <w:p w14:paraId="40418E18"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Poor host </w:t>
            </w:r>
          </w:p>
        </w:tc>
        <w:tc>
          <w:tcPr>
            <w:tcW w:w="1524" w:type="dxa"/>
            <w:shd w:val="clear" w:color="auto" w:fill="auto"/>
            <w:noWrap/>
            <w:vAlign w:val="bottom"/>
            <w:hideMark/>
          </w:tcPr>
          <w:p w14:paraId="2DF50EDA"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Poor host </w:t>
            </w:r>
          </w:p>
        </w:tc>
      </w:tr>
      <w:tr w:rsidR="00370DB7" w:rsidRPr="00F63475" w14:paraId="0E0BFBDE" w14:textId="77777777" w:rsidTr="00616CDC">
        <w:trPr>
          <w:trHeight w:val="281"/>
          <w:jc w:val="center"/>
        </w:trPr>
        <w:tc>
          <w:tcPr>
            <w:tcW w:w="2699" w:type="dxa"/>
            <w:shd w:val="clear" w:color="auto" w:fill="auto"/>
            <w:noWrap/>
            <w:vAlign w:val="bottom"/>
            <w:hideMark/>
          </w:tcPr>
          <w:p w14:paraId="2F5596F8"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 xml:space="preserve">Pumpkin </w:t>
            </w:r>
          </w:p>
        </w:tc>
        <w:tc>
          <w:tcPr>
            <w:tcW w:w="1819" w:type="dxa"/>
            <w:shd w:val="clear" w:color="auto" w:fill="auto"/>
            <w:noWrap/>
            <w:vAlign w:val="bottom"/>
            <w:hideMark/>
          </w:tcPr>
          <w:p w14:paraId="018D6F6E"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29F87F71"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3D3DD989"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08CF26B1"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72B02C6A" w14:textId="77777777" w:rsidTr="00616CDC">
        <w:trPr>
          <w:trHeight w:val="281"/>
          <w:jc w:val="center"/>
        </w:trPr>
        <w:tc>
          <w:tcPr>
            <w:tcW w:w="2699" w:type="dxa"/>
            <w:shd w:val="clear" w:color="auto" w:fill="auto"/>
            <w:noWrap/>
            <w:vAlign w:val="bottom"/>
            <w:hideMark/>
          </w:tcPr>
          <w:p w14:paraId="7CCA2386"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Rhubarb</w:t>
            </w:r>
          </w:p>
        </w:tc>
        <w:tc>
          <w:tcPr>
            <w:tcW w:w="1819" w:type="dxa"/>
            <w:shd w:val="clear" w:color="auto" w:fill="auto"/>
            <w:noWrap/>
            <w:vAlign w:val="bottom"/>
            <w:hideMark/>
          </w:tcPr>
          <w:p w14:paraId="71C1CE80"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331C0A66"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55C7B54F"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698371C3"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553D6AB2" w14:textId="77777777" w:rsidTr="00616CDC">
        <w:trPr>
          <w:trHeight w:val="281"/>
          <w:jc w:val="center"/>
        </w:trPr>
        <w:tc>
          <w:tcPr>
            <w:tcW w:w="2699" w:type="dxa"/>
            <w:shd w:val="clear" w:color="auto" w:fill="auto"/>
            <w:noWrap/>
            <w:vAlign w:val="bottom"/>
            <w:hideMark/>
          </w:tcPr>
          <w:p w14:paraId="6BA4D1E5"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Rocket</w:t>
            </w:r>
          </w:p>
        </w:tc>
        <w:tc>
          <w:tcPr>
            <w:tcW w:w="1819" w:type="dxa"/>
            <w:shd w:val="clear" w:color="auto" w:fill="auto"/>
            <w:noWrap/>
            <w:vAlign w:val="bottom"/>
            <w:hideMark/>
          </w:tcPr>
          <w:p w14:paraId="2D1533E8"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21750C8C"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226F125B"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1A1FE914"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7752E0E0" w14:textId="77777777" w:rsidTr="00616CDC">
        <w:trPr>
          <w:trHeight w:val="281"/>
          <w:jc w:val="center"/>
        </w:trPr>
        <w:tc>
          <w:tcPr>
            <w:tcW w:w="2699" w:type="dxa"/>
            <w:shd w:val="clear" w:color="auto" w:fill="auto"/>
            <w:noWrap/>
            <w:vAlign w:val="bottom"/>
            <w:hideMark/>
          </w:tcPr>
          <w:p w14:paraId="303324FA"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Spinach</w:t>
            </w:r>
          </w:p>
        </w:tc>
        <w:tc>
          <w:tcPr>
            <w:tcW w:w="1819" w:type="dxa"/>
            <w:shd w:val="clear" w:color="auto" w:fill="auto"/>
            <w:noWrap/>
            <w:vAlign w:val="bottom"/>
            <w:hideMark/>
          </w:tcPr>
          <w:p w14:paraId="351E5D64"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Excellent host </w:t>
            </w:r>
          </w:p>
        </w:tc>
        <w:tc>
          <w:tcPr>
            <w:tcW w:w="1760" w:type="dxa"/>
            <w:shd w:val="clear" w:color="auto" w:fill="auto"/>
            <w:noWrap/>
            <w:vAlign w:val="bottom"/>
            <w:hideMark/>
          </w:tcPr>
          <w:p w14:paraId="68F1A59C"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Poor host </w:t>
            </w:r>
          </w:p>
        </w:tc>
        <w:tc>
          <w:tcPr>
            <w:tcW w:w="2232" w:type="dxa"/>
            <w:shd w:val="clear" w:color="auto" w:fill="auto"/>
            <w:noWrap/>
            <w:vAlign w:val="bottom"/>
            <w:hideMark/>
          </w:tcPr>
          <w:p w14:paraId="196B3B2C"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Poor host </w:t>
            </w:r>
          </w:p>
        </w:tc>
        <w:tc>
          <w:tcPr>
            <w:tcW w:w="1524" w:type="dxa"/>
            <w:shd w:val="clear" w:color="auto" w:fill="auto"/>
            <w:noWrap/>
            <w:vAlign w:val="bottom"/>
            <w:hideMark/>
          </w:tcPr>
          <w:p w14:paraId="41C9D73C"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3F2B1CED" w14:textId="77777777" w:rsidTr="00616CDC">
        <w:trPr>
          <w:trHeight w:val="281"/>
          <w:jc w:val="center"/>
        </w:trPr>
        <w:tc>
          <w:tcPr>
            <w:tcW w:w="2699" w:type="dxa"/>
            <w:shd w:val="clear" w:color="auto" w:fill="auto"/>
            <w:noWrap/>
            <w:vAlign w:val="bottom"/>
            <w:hideMark/>
          </w:tcPr>
          <w:p w14:paraId="4189E78A"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Strawberry</w:t>
            </w:r>
          </w:p>
        </w:tc>
        <w:tc>
          <w:tcPr>
            <w:tcW w:w="1819" w:type="dxa"/>
            <w:shd w:val="clear" w:color="auto" w:fill="auto"/>
            <w:noWrap/>
            <w:vAlign w:val="bottom"/>
            <w:hideMark/>
          </w:tcPr>
          <w:p w14:paraId="62845DD7"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0B10F09A"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23EB0236"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09C0A949"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03F65C47" w14:textId="77777777" w:rsidTr="00616CDC">
        <w:trPr>
          <w:trHeight w:val="281"/>
          <w:jc w:val="center"/>
        </w:trPr>
        <w:tc>
          <w:tcPr>
            <w:tcW w:w="2699" w:type="dxa"/>
            <w:shd w:val="clear" w:color="auto" w:fill="auto"/>
            <w:noWrap/>
            <w:vAlign w:val="bottom"/>
            <w:hideMark/>
          </w:tcPr>
          <w:p w14:paraId="74018DE8"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Sweet pepper</w:t>
            </w:r>
          </w:p>
        </w:tc>
        <w:tc>
          <w:tcPr>
            <w:tcW w:w="1819" w:type="dxa"/>
            <w:shd w:val="clear" w:color="auto" w:fill="auto"/>
            <w:noWrap/>
            <w:vAlign w:val="bottom"/>
            <w:hideMark/>
          </w:tcPr>
          <w:p w14:paraId="7AADE700"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7C83F697"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6D97E7FA"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77AB5C06"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55D40B1C" w14:textId="77777777" w:rsidTr="00616CDC">
        <w:trPr>
          <w:trHeight w:val="281"/>
          <w:jc w:val="center"/>
        </w:trPr>
        <w:tc>
          <w:tcPr>
            <w:tcW w:w="2699" w:type="dxa"/>
            <w:shd w:val="clear" w:color="auto" w:fill="auto"/>
            <w:noWrap/>
            <w:vAlign w:val="bottom"/>
            <w:hideMark/>
          </w:tcPr>
          <w:p w14:paraId="1D3EBA48"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Tomato</w:t>
            </w:r>
          </w:p>
        </w:tc>
        <w:tc>
          <w:tcPr>
            <w:tcW w:w="1819" w:type="dxa"/>
            <w:shd w:val="clear" w:color="auto" w:fill="auto"/>
            <w:noWrap/>
            <w:vAlign w:val="bottom"/>
            <w:hideMark/>
          </w:tcPr>
          <w:p w14:paraId="0A7D0F43"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7ABF2C2B"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130E5B9E"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28DD88C1"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r w:rsidR="00370DB7" w:rsidRPr="00F63475" w14:paraId="31F4BD41" w14:textId="77777777" w:rsidTr="00616CDC">
        <w:trPr>
          <w:trHeight w:val="281"/>
          <w:jc w:val="center"/>
        </w:trPr>
        <w:tc>
          <w:tcPr>
            <w:tcW w:w="2699" w:type="dxa"/>
            <w:shd w:val="clear" w:color="auto" w:fill="auto"/>
            <w:noWrap/>
            <w:vAlign w:val="bottom"/>
            <w:hideMark/>
          </w:tcPr>
          <w:p w14:paraId="42BB1773" w14:textId="77777777" w:rsidR="00370DB7" w:rsidRPr="00370DB7" w:rsidRDefault="00370DB7" w:rsidP="00370DB7">
            <w:pPr>
              <w:spacing w:after="0" w:line="240" w:lineRule="auto"/>
              <w:rPr>
                <w:rFonts w:ascii="Arial" w:eastAsia="Times New Roman" w:hAnsi="Arial" w:cs="Arial"/>
                <w:color w:val="000000"/>
                <w:lang w:eastAsia="en-GB"/>
              </w:rPr>
            </w:pPr>
            <w:r w:rsidRPr="00370DB7">
              <w:rPr>
                <w:rFonts w:ascii="Arial" w:eastAsia="Times New Roman" w:hAnsi="Arial" w:cs="Arial"/>
                <w:color w:val="000000"/>
                <w:lang w:eastAsia="en-GB"/>
              </w:rPr>
              <w:t xml:space="preserve">Watermelon </w:t>
            </w:r>
          </w:p>
        </w:tc>
        <w:tc>
          <w:tcPr>
            <w:tcW w:w="1819" w:type="dxa"/>
            <w:shd w:val="clear" w:color="auto" w:fill="auto"/>
            <w:noWrap/>
            <w:vAlign w:val="bottom"/>
            <w:hideMark/>
          </w:tcPr>
          <w:p w14:paraId="1E7F6E4C"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760" w:type="dxa"/>
            <w:shd w:val="clear" w:color="auto" w:fill="auto"/>
            <w:noWrap/>
            <w:vAlign w:val="bottom"/>
            <w:hideMark/>
          </w:tcPr>
          <w:p w14:paraId="19B71315"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2232" w:type="dxa"/>
            <w:shd w:val="clear" w:color="auto" w:fill="auto"/>
            <w:noWrap/>
            <w:vAlign w:val="bottom"/>
            <w:hideMark/>
          </w:tcPr>
          <w:p w14:paraId="1F63CC52"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c>
          <w:tcPr>
            <w:tcW w:w="1524" w:type="dxa"/>
            <w:shd w:val="clear" w:color="auto" w:fill="auto"/>
            <w:noWrap/>
            <w:vAlign w:val="bottom"/>
            <w:hideMark/>
          </w:tcPr>
          <w:p w14:paraId="52A22866" w14:textId="77777777" w:rsidR="00370DB7" w:rsidRPr="00F63475" w:rsidRDefault="00370DB7" w:rsidP="00370DB7">
            <w:pPr>
              <w:spacing w:after="0" w:line="240" w:lineRule="auto"/>
              <w:rPr>
                <w:rFonts w:ascii="Arial" w:eastAsia="Times New Roman" w:hAnsi="Arial" w:cs="Arial"/>
                <w:color w:val="000000"/>
                <w:lang w:eastAsia="en-GB"/>
              </w:rPr>
            </w:pPr>
            <w:r w:rsidRPr="00F63475">
              <w:rPr>
                <w:rFonts w:ascii="Arial" w:eastAsia="Times New Roman" w:hAnsi="Arial" w:cs="Arial"/>
                <w:color w:val="000000"/>
                <w:lang w:eastAsia="en-GB"/>
              </w:rPr>
              <w:t xml:space="preserve">Unknown </w:t>
            </w:r>
          </w:p>
        </w:tc>
      </w:tr>
    </w:tbl>
    <w:p w14:paraId="568FA4FA" w14:textId="15AB3EB6" w:rsidR="006B2311" w:rsidRPr="002B3D8A" w:rsidRDefault="006B2311" w:rsidP="000C7BB5">
      <w:pPr>
        <w:rPr>
          <w:rFonts w:ascii="Arial" w:eastAsia="Calibri" w:hAnsi="Arial" w:cs="Arial"/>
          <w:color w:val="000000" w:themeColor="text1"/>
          <w:sz w:val="24"/>
          <w:szCs w:val="24"/>
        </w:rPr>
      </w:pPr>
    </w:p>
    <w:p w14:paraId="13CFCB1A" w14:textId="225ACC6C" w:rsidR="006B2311" w:rsidRPr="004A7DDE" w:rsidRDefault="00945979" w:rsidP="000C7BB5">
      <w:pPr>
        <w:rPr>
          <w:rFonts w:ascii="Arial" w:hAnsi="Arial" w:cs="Arial"/>
          <w:color w:val="000000" w:themeColor="text1"/>
          <w:sz w:val="24"/>
          <w:szCs w:val="24"/>
        </w:rPr>
      </w:pPr>
      <w:bookmarkStart w:id="21" w:name="_Toc110342107"/>
      <w:r w:rsidRPr="002B3D8A">
        <w:rPr>
          <w:rFonts w:ascii="Arial" w:hAnsi="Arial" w:cs="Arial"/>
          <w:color w:val="000000" w:themeColor="text1"/>
          <w:sz w:val="24"/>
          <w:szCs w:val="24"/>
        </w:rPr>
        <w:t xml:space="preserve">Figure </w:t>
      </w:r>
      <w:r w:rsidRPr="002B3D8A">
        <w:rPr>
          <w:rFonts w:ascii="Arial" w:hAnsi="Arial" w:cs="Arial"/>
          <w:color w:val="000000" w:themeColor="text1"/>
          <w:sz w:val="24"/>
          <w:szCs w:val="24"/>
        </w:rPr>
        <w:fldChar w:fldCharType="begin"/>
      </w:r>
      <w:r w:rsidRPr="002B3D8A">
        <w:rPr>
          <w:rFonts w:ascii="Arial" w:hAnsi="Arial" w:cs="Arial"/>
          <w:color w:val="000000" w:themeColor="text1"/>
          <w:sz w:val="24"/>
          <w:szCs w:val="24"/>
        </w:rPr>
        <w:instrText xml:space="preserve"> SEQ Figure \* ARABIC </w:instrText>
      </w:r>
      <w:r w:rsidRPr="002B3D8A">
        <w:rPr>
          <w:rFonts w:ascii="Arial" w:hAnsi="Arial" w:cs="Arial"/>
          <w:color w:val="000000" w:themeColor="text1"/>
          <w:sz w:val="24"/>
          <w:szCs w:val="24"/>
        </w:rPr>
        <w:fldChar w:fldCharType="separate"/>
      </w:r>
      <w:r w:rsidR="00C10D2B">
        <w:rPr>
          <w:rFonts w:ascii="Arial" w:hAnsi="Arial" w:cs="Arial"/>
          <w:noProof/>
          <w:color w:val="000000" w:themeColor="text1"/>
          <w:sz w:val="24"/>
          <w:szCs w:val="24"/>
        </w:rPr>
        <w:t>4</w:t>
      </w:r>
      <w:r w:rsidRPr="002B3D8A">
        <w:rPr>
          <w:rFonts w:ascii="Arial" w:hAnsi="Arial" w:cs="Arial"/>
          <w:color w:val="000000" w:themeColor="text1"/>
          <w:sz w:val="24"/>
          <w:szCs w:val="24"/>
        </w:rPr>
        <w:fldChar w:fldCharType="end"/>
      </w:r>
      <w:r w:rsidRPr="002B3D8A">
        <w:rPr>
          <w:rFonts w:ascii="Arial" w:hAnsi="Arial" w:cs="Arial"/>
          <w:color w:val="000000" w:themeColor="text1"/>
          <w:sz w:val="24"/>
          <w:szCs w:val="24"/>
        </w:rPr>
        <w:t xml:space="preserve">: Host status of </w:t>
      </w:r>
      <w:r w:rsidR="00420A81" w:rsidRPr="002B3D8A">
        <w:rPr>
          <w:rFonts w:ascii="Arial" w:hAnsi="Arial" w:cs="Arial"/>
          <w:color w:val="000000" w:themeColor="text1"/>
          <w:sz w:val="24"/>
          <w:szCs w:val="24"/>
        </w:rPr>
        <w:t xml:space="preserve">vegetable </w:t>
      </w:r>
      <w:r w:rsidRPr="002B3D8A">
        <w:rPr>
          <w:rFonts w:ascii="Arial" w:hAnsi="Arial" w:cs="Arial"/>
          <w:color w:val="000000" w:themeColor="text1"/>
          <w:sz w:val="24"/>
          <w:szCs w:val="24"/>
        </w:rPr>
        <w:t xml:space="preserve">crops to different genera and species of stubby root nematodes. Scheme created from </w:t>
      </w:r>
      <w:hyperlink r:id="rId18" w:history="1">
        <w:r w:rsidRPr="001E672B">
          <w:rPr>
            <w:rStyle w:val="Hyperlink"/>
            <w:rFonts w:ascii="Arial" w:hAnsi="Arial" w:cs="Arial"/>
            <w:color w:val="2F5496" w:themeColor="accent1" w:themeShade="BF"/>
            <w:sz w:val="24"/>
            <w:szCs w:val="24"/>
          </w:rPr>
          <w:t>https://www.best4soil.eu/database</w:t>
        </w:r>
      </w:hyperlink>
      <w:r w:rsidRPr="002B3D8A">
        <w:rPr>
          <w:rFonts w:ascii="Arial" w:hAnsi="Arial" w:cs="Arial"/>
          <w:color w:val="000000" w:themeColor="text1"/>
          <w:sz w:val="24"/>
          <w:szCs w:val="24"/>
        </w:rPr>
        <w:t xml:space="preserve"> based on research from Wageningen University and research | Field crops, Lelystad.</w:t>
      </w:r>
      <w:bookmarkEnd w:id="21"/>
    </w:p>
    <w:p w14:paraId="040F3D6F" w14:textId="167B9269" w:rsidR="00D4255D" w:rsidRPr="002B3D8A" w:rsidRDefault="001A0616" w:rsidP="004A7DDE">
      <w:pPr>
        <w:pStyle w:val="Heading3"/>
        <w:spacing w:line="360" w:lineRule="auto"/>
        <w:rPr>
          <w:rFonts w:ascii="Arial" w:eastAsia="Calibri" w:hAnsi="Arial" w:cs="Arial"/>
          <w:b/>
          <w:color w:val="000000" w:themeColor="text1"/>
          <w:sz w:val="24"/>
          <w:szCs w:val="24"/>
        </w:rPr>
      </w:pPr>
      <w:bookmarkStart w:id="22" w:name="_Toc110341279"/>
      <w:r w:rsidRPr="002B3D8A">
        <w:rPr>
          <w:rFonts w:ascii="Arial" w:eastAsia="Calibri" w:hAnsi="Arial" w:cs="Arial"/>
          <w:b/>
          <w:color w:val="000000" w:themeColor="text1"/>
          <w:sz w:val="24"/>
          <w:szCs w:val="24"/>
        </w:rPr>
        <w:lastRenderedPageBreak/>
        <w:t>1.2.</w:t>
      </w:r>
      <w:r w:rsidR="00F52458">
        <w:rPr>
          <w:rFonts w:ascii="Arial" w:eastAsia="Calibri" w:hAnsi="Arial" w:cs="Arial"/>
          <w:b/>
          <w:color w:val="000000" w:themeColor="text1"/>
          <w:sz w:val="24"/>
          <w:szCs w:val="24"/>
        </w:rPr>
        <w:t>7</w:t>
      </w:r>
      <w:r w:rsidRPr="002B3D8A">
        <w:rPr>
          <w:rFonts w:ascii="Arial" w:eastAsia="Calibri" w:hAnsi="Arial" w:cs="Arial"/>
          <w:b/>
          <w:color w:val="000000" w:themeColor="text1"/>
          <w:sz w:val="24"/>
          <w:szCs w:val="24"/>
        </w:rPr>
        <w:t xml:space="preserve"> </w:t>
      </w:r>
      <w:r w:rsidR="00D4255D" w:rsidRPr="002B3D8A">
        <w:rPr>
          <w:rFonts w:ascii="Arial" w:eastAsia="Calibri" w:hAnsi="Arial" w:cs="Arial"/>
          <w:b/>
          <w:color w:val="000000" w:themeColor="text1"/>
          <w:sz w:val="24"/>
          <w:szCs w:val="24"/>
        </w:rPr>
        <w:t xml:space="preserve">Damage and symptoms </w:t>
      </w:r>
      <w:r w:rsidR="001A056A" w:rsidRPr="002B3D8A">
        <w:rPr>
          <w:rFonts w:ascii="Arial" w:eastAsia="Calibri" w:hAnsi="Arial" w:cs="Arial"/>
          <w:b/>
          <w:color w:val="000000" w:themeColor="text1"/>
          <w:sz w:val="24"/>
          <w:szCs w:val="24"/>
        </w:rPr>
        <w:t>to host crops</w:t>
      </w:r>
      <w:bookmarkEnd w:id="22"/>
      <w:r w:rsidR="001A056A" w:rsidRPr="002B3D8A">
        <w:rPr>
          <w:rFonts w:ascii="Arial" w:eastAsia="Calibri" w:hAnsi="Arial" w:cs="Arial"/>
          <w:b/>
          <w:color w:val="000000" w:themeColor="text1"/>
          <w:sz w:val="24"/>
          <w:szCs w:val="24"/>
        </w:rPr>
        <w:t xml:space="preserve"> </w:t>
      </w:r>
    </w:p>
    <w:p w14:paraId="57B46C84" w14:textId="38945C14" w:rsidR="00D4255D" w:rsidRPr="002B3D8A" w:rsidRDefault="00CF0671" w:rsidP="004A7DDE">
      <w:pPr>
        <w:pStyle w:val="Heading4"/>
        <w:spacing w:line="360" w:lineRule="auto"/>
        <w:rPr>
          <w:rFonts w:ascii="Arial" w:eastAsia="Calibri" w:hAnsi="Arial" w:cs="Arial"/>
          <w:color w:val="000000" w:themeColor="text1"/>
        </w:rPr>
      </w:pPr>
      <w:r w:rsidRPr="002B3D8A">
        <w:rPr>
          <w:rFonts w:ascii="Arial" w:eastAsia="Calibri" w:hAnsi="Arial" w:cs="Arial"/>
          <w:b/>
          <w:color w:val="000000" w:themeColor="text1"/>
        </w:rPr>
        <w:t>1.</w:t>
      </w:r>
      <w:r w:rsidR="001A0616" w:rsidRPr="002B3D8A">
        <w:rPr>
          <w:rFonts w:ascii="Arial" w:eastAsia="Calibri" w:hAnsi="Arial" w:cs="Arial"/>
          <w:b/>
          <w:color w:val="000000" w:themeColor="text1"/>
        </w:rPr>
        <w:t>2.</w:t>
      </w:r>
      <w:r w:rsidR="00F52458">
        <w:rPr>
          <w:rFonts w:ascii="Arial" w:eastAsia="Calibri" w:hAnsi="Arial" w:cs="Arial"/>
          <w:b/>
          <w:color w:val="000000" w:themeColor="text1"/>
        </w:rPr>
        <w:t>7</w:t>
      </w:r>
      <w:r w:rsidR="001A0616" w:rsidRPr="002B3D8A">
        <w:rPr>
          <w:rFonts w:ascii="Arial" w:eastAsia="Calibri" w:hAnsi="Arial" w:cs="Arial"/>
          <w:b/>
          <w:color w:val="000000" w:themeColor="text1"/>
        </w:rPr>
        <w:t>.1</w:t>
      </w:r>
      <w:r w:rsidRPr="002B3D8A">
        <w:rPr>
          <w:rFonts w:ascii="Arial" w:eastAsia="Calibri" w:hAnsi="Arial" w:cs="Arial"/>
          <w:b/>
          <w:color w:val="000000" w:themeColor="text1"/>
        </w:rPr>
        <w:t xml:space="preserve"> </w:t>
      </w:r>
      <w:r w:rsidR="00D4255D" w:rsidRPr="002B3D8A">
        <w:rPr>
          <w:rFonts w:ascii="Arial" w:eastAsia="Calibri" w:hAnsi="Arial" w:cs="Arial"/>
          <w:b/>
          <w:color w:val="000000" w:themeColor="text1"/>
        </w:rPr>
        <w:t xml:space="preserve">Feeding: </w:t>
      </w:r>
    </w:p>
    <w:p w14:paraId="3044130D" w14:textId="5C46479F" w:rsidR="004F0CD4" w:rsidRPr="002B3D8A" w:rsidRDefault="00096C02" w:rsidP="00616CDC">
      <w:pPr>
        <w:spacing w:line="360" w:lineRule="auto"/>
        <w:ind w:left="-284"/>
        <w:jc w:val="both"/>
        <w:rPr>
          <w:rFonts w:ascii="Arial" w:eastAsia="Calibri" w:hAnsi="Arial" w:cs="Arial"/>
          <w:color w:val="000000" w:themeColor="text1"/>
          <w:sz w:val="24"/>
          <w:szCs w:val="24"/>
        </w:rPr>
      </w:pPr>
      <w:r w:rsidRPr="002B3D8A">
        <w:rPr>
          <w:rFonts w:ascii="Arial" w:eastAsia="Calibri" w:hAnsi="Arial" w:cs="Arial"/>
          <w:color w:val="000000" w:themeColor="text1"/>
          <w:sz w:val="24"/>
          <w:szCs w:val="24"/>
        </w:rPr>
        <w:t>Trichodorids are commonly known as stubby root nematodes due to the characteristic symptom that they cause when the</w:t>
      </w:r>
      <w:r w:rsidR="00F42919" w:rsidRPr="002B3D8A">
        <w:rPr>
          <w:rFonts w:ascii="Arial" w:eastAsia="Calibri" w:hAnsi="Arial" w:cs="Arial"/>
          <w:color w:val="000000" w:themeColor="text1"/>
          <w:sz w:val="24"/>
          <w:szCs w:val="24"/>
        </w:rPr>
        <w:t>y</w:t>
      </w:r>
      <w:r w:rsidRPr="002B3D8A">
        <w:rPr>
          <w:rFonts w:ascii="Arial" w:eastAsia="Calibri" w:hAnsi="Arial" w:cs="Arial"/>
          <w:color w:val="000000" w:themeColor="text1"/>
          <w:sz w:val="24"/>
          <w:szCs w:val="24"/>
        </w:rPr>
        <w:t xml:space="preserve"> feed on the roots</w:t>
      </w:r>
      <w:r w:rsidR="001A056A"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 xml:space="preserve">The nematodes feed externally as they are ectoparasitic and adhere closely to the roots causing injury to the root tips and hence stunting root growth </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uthor":[{"dropping-particle":"","family":"Christie","given":"J.R.","non-dropping-particle":"","parse-names":false,"suffix":""},{"dropping-particle":"","family":"Perry","given":"V.G.","non-dropping-particle":"","parse-names":false,"suffix":""}],"container-title":"Science","id":"ITEM-1","issue":"2939","issued":{"date-parts":[["1951"]]},"page":"491-493","title":"A Root Disease of Plants Caused by a Nematode of the Genus Trichodorus","type":"article-journal","volume":"113"},"uris":["http://www.mendeley.com/documents/?uuid=a9dad506-e7f5-4f7b-912b-40f949ec7020"]},{"id":"ITEM-2","itemData":{"author":[{"dropping-particle":"","family":"Whitehead","given":"A.G.","non-dropping-particle":"","parse-names":false,"suffix":""},{"dropping-particle":"","family":"Hooper","given":"D.J.","non-dropping-particle":"","parse-names":false,"suffix":""}],"container-title":"Ann. appl. Biol","id":"ITEM-2","issued":{"date-parts":[["1970"]]},"page":"339-350","title":"Needle nematodes (Longidorus spp.) and stubby-root nematodes ( Trichodorus spp.) harmful to sugar beet and other field crops in England","type":"article-journal"},"uris":["http://www.mendeley.com/documents/?uuid=e3a9ba67-b49f-4808-a0ea-7bff1763d6dd"]}],"mendeley":{"formattedCitation":"(Christie and Perry, 1951; Whitehead and Hooper, 1970)","plainTextFormattedCitation":"(Christie and Perry, 1951; Whitehead and Hooper, 1970)","previouslyFormattedCitation":"(Christie and Perry, 1951; Whitehead and Hooper, 1970)"},"properties":{"noteIndex":0},"schema":"https://github.com/citation-style-language/schema/raw/master/csl-citation.json"}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(Christie and Perry, 1951; Whitehead and Hooper, 1970)</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Studies have shown the aggregation phenomenon in </w:t>
      </w:r>
      <w:r w:rsidRPr="002B3D8A">
        <w:rPr>
          <w:rFonts w:ascii="Arial" w:eastAsia="Calibri" w:hAnsi="Arial" w:cs="Arial"/>
          <w:i/>
          <w:color w:val="000000" w:themeColor="text1"/>
          <w:sz w:val="24"/>
          <w:szCs w:val="24"/>
        </w:rPr>
        <w:t>Trichodorus viruliferous</w:t>
      </w:r>
      <w:r w:rsidRPr="002B3D8A">
        <w:rPr>
          <w:rFonts w:ascii="Arial" w:eastAsia="Calibri" w:hAnsi="Arial" w:cs="Arial"/>
          <w:color w:val="000000" w:themeColor="text1"/>
          <w:sz w:val="24"/>
          <w:szCs w:val="24"/>
        </w:rPr>
        <w:t xml:space="preserve"> on apple tress via direct observations, cinematography and soil and root sampling. The striking feature is the aggregation of the nematodes around the elongating zone of young roots </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{"citationItems":[{"id":"ITEM-1","itemData":{"ISBN":"9788578110796","ISSN":"1098-6596","PMID":"25246403","abstract":"Records of the occurrence of actively breeding female Trichodorus viruliferus in an orchard population, sampled at random, or in colonies aggregated near the tips of large, extending apple roots, showed that breeding continued throughout the year in both sites, but that the proportion with developed oocytes was consistently higher near the root tips (80% mean) than in the random samples (18% mean). It is concluded that root tip colonies constitute the main breeding site of T. viruliferus on mature apple trees. Laboratory studies of the life cycle indicate that larval develop- ment is too slow to account for the observed rapid population increase in apple root tip colonies of T. viruliferus. This phenomenon must therefore be regarded as a form of aggregation whose mechanism remains unknown","author":[{"dropping-particle":"","family":"Pitcher","given":"R. S.","non-dropping-particle":"","parse-names":false,"suffix":""},{"dropping-particle":"","family":"Mcnamara","given":"D. G.","non-dropping-particle":"","parse-names":false,"suffix":""}],"container-title":"Nematologica","id":"ITEM-1","issued":{"date-parts":[["1970"]]},"page":"99-106","title":"THE EFFECT OF NUTRITION AND SEASON OF YEAR ON THE REPRODUCTION OF TRICHODORUS VIRULIFERUS","type":"article-journal","volume":"16"},"uris":["http://www.mendeley.com/documents/?uuid=6e30dfd1-5b8b-4c03-93bd-f3711677d696"]}],"mendeley":{"formattedCitation":"(Pitcher and Mcnamara, 1970)","plainTextFormattedCitation":"(Pitcher and Mcnamara, 1970)","previouslyFormattedCitation":"(Pitcher and Mcnamara, 1970)"},"properties":{"noteIndex":0},"schema":"https://github.com/citation-style-language/schema/raw/master/csl-citation.json"}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(Pitcher and Mcnamara, 1970)</w:t>
      </w:r>
      <w:r w:rsidRPr="002B3D8A">
        <w:rPr>
          <w:rFonts w:ascii="Arial" w:eastAsia="Calibri" w:hAnsi="Arial" w:cs="Arial"/>
          <w:color w:val="000000" w:themeColor="text1"/>
          <w:sz w:val="24"/>
          <w:szCs w:val="24"/>
        </w:rPr>
        <w:fldChar w:fldCharType="end"/>
      </w:r>
      <w:r w:rsidR="00F42919" w:rsidRPr="002B3D8A">
        <w:rPr>
          <w:rFonts w:ascii="Arial" w:eastAsia="Calibri" w:hAnsi="Arial" w:cs="Arial"/>
          <w:color w:val="000000" w:themeColor="text1"/>
          <w:sz w:val="24"/>
          <w:szCs w:val="24"/>
        </w:rPr>
        <w:t>.</w:t>
      </w:r>
      <w:r w:rsidRPr="002B3D8A">
        <w:rPr>
          <w:rFonts w:ascii="Arial" w:eastAsia="Calibri" w:hAnsi="Arial" w:cs="Arial"/>
          <w:i/>
          <w:color w:val="000000" w:themeColor="text1"/>
          <w:sz w:val="24"/>
          <w:szCs w:val="24"/>
        </w:rPr>
        <w:t>Trichodorus</w:t>
      </w:r>
      <w:r w:rsidRPr="002B3D8A">
        <w:rPr>
          <w:rFonts w:ascii="Arial" w:eastAsia="Calibri" w:hAnsi="Arial" w:cs="Arial"/>
          <w:color w:val="000000" w:themeColor="text1"/>
          <w:sz w:val="24"/>
          <w:szCs w:val="24"/>
        </w:rPr>
        <w:t xml:space="preserve"> spp were also seen to aggregate around the roots of sugar beet seedlings during surveys in East England </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uthor":[{"dropping-particle":"","family":"Whitehead","given":"A.G.","non-dropping-particle":"","parse-names":false,"suffix":""},{"dropping-particle":"","family":"Hooper","given":"D.J.","non-dropping-particle":"","parse-names":false,"suffix":""}],"container-title":"Ann. appl. Biol","id":"ITEM-1","issued":{"date-parts":[["1970"]]},"page":"339-350","title":"Needle nematodes (Longidorus spp.) and stubby-root nematodes ( Trichodorus spp.) harmful to sugar beet and other field crops in England","type":"article-journal"},"uris":["http://www.mendeley.com/documents/?uuid=e3a9ba67-b49f-4808-a0ea-7bff1763d6dd"]}],"mendeley":{"formattedCitation":"(Whitehead and Hooper, 1970)","plainTextFormattedCitation":"(Whitehead and Hooper, 1970)","previouslyFormattedCitation":"(Whitehead and Hooper, 1970)"},"properties":{"noteIndex":0},"schema":"https://github.com/citation-style-language/schema/raw/master/csl-citation.json"}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(Whitehead and Hooper, 1970)</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As a result of damage to the root system plants are unable to absorb enough nutrients, and leaves may show symptoms of nitrogen or magnesium deficiency</w:t>
      </w:r>
      <w:r w:rsidR="00F42919"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{"citationItems":[{"id":"ITEM-1","itemData":{"DOI":"10.1016/0261-2194(89)90101-4","ISSN":"02612194","abstract":"Granular pesticides are used on about half of the UK sugar-beet crop, including almost all of the area at risk from damage by the ectoparasitic nematodes which cause Docking disorder. Survey data show that symptoms of damage are still widespread in some years but are rarely severe. In a series of field experiments comparing eight granular pesticides, those which are approved for control of Docking disorder usually gave large yield increases which were closely related to assessments of plant vigour made in June/July. Pesticide treatments decreased the numbers of active Trichodorus and Paratrichodorus in the rhizosphere by about 50%. © 1989.","author":[{"dropping-particle":"","family":"Cooke","given":"D. A.","non-dropping-particle":"","parse-names":false,"suffix":""}],"container-title":"Crop Protection","id":"ITEM-1","issue":"1","issued":{"date-parts":[["1989"]]},"page":"63-70","title":"Damage to sugar-beet crops by ectoparasitic nematodes, and its control by soil-applied granular pesticides","type":"article-journal","volume":"8"},"uris":["http://www.mendeley.com/documents/?uuid=db12597f-7be5-4c2b-862e-35b02ab7c2d1"]},{"id":"ITEM-2","itemData":{"DOI":"10.1007/978-1-4684-0841-6_25","author":[{"dropping-particle":"","family":"Winfield","given":"A. L.","non-dropping-particle":"","parse-names":false,"suffix":""},{"dropping-particle":"","family":"Cooke","given":"D. A.","non-dropping-particle":"","parse-names":false,"suffix":""}],"container-title":"Nematode Vectors of Plant Viruses","id":"ITEM-2","issue":"81","issued":{"date-parts":[["1975"]]},"page":"309-341","title":"The Ecology of Trichodorus","type":"article-journal"},"uris":["http://www.mendeley.com/documents/?uuid=19b7aa37-b8dc-4943-9f00-a313747111cf"]},{"id":"ITEM-3","itemData":{"author":[{"dropping-particle":"","family":"Whitehead","given":"A.G.","non-dropping-particle":"","parse-names":false,"suffix":""},{"dropping-particle":"","family":"Hooper","given":"D.J.","non-dropping-particle":"","parse-names":false,"suffix":""}],"container-title":"Ann. appl. Biol","id":"ITEM-3","issued":{"date-parts":[["1970"]]},"page":"339-350","title":"Needle nematodes (Longidorus spp.) and stubby-root nematodes ( Trichodorus spp.) harmful to sugar beet and other field crops in England","type":"article-journal"},"uris":["http://www.mendeley.com/documents/?uuid=e3a9ba67-b49f-4808-a0ea-7bff1763d6dd"]}],"mendeley":{"formattedCitation":"(Whitehead and Hooper, 1970; Winfield and Cooke, 1975; Cooke, 1989)","plainTextFormattedCitation":"(Whitehead and Hooper, 1970; Winfield and Cooke, 1975; Cooke, 1989)","previouslyFormattedCitation":"(Whitehead and Hooper, 1970; Winfield and Cooke, 1975; Cooke, 1989)"},"properties":{"noteIndex":0},"schema":"https://github.com/citation-style-language/schema/raw/master/csl-citation.json"}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(Whitehead and Hooper, 1970; Winfield and Cooke, 1975; Cooke, 1989)</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w:t>
      </w:r>
      <w:r w:rsidR="00ED1351">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t xml:space="preserve">Feeding mainly occurs on the epidermal tissues of young seedlings, often the tap root stops growing or is killed and lateral roots near the surface thicken and replace it resulting in a poorly yielding misshapen (fangy) root at harvest. </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uthor":[{"dropping-particle":"","family":"Whitehead","given":"A.G.","non-dropping-particle":"","parse-names":false,"suffix":""},{"dropping-particle":"","family":"Hooper","given":"D.J.","non-dropping-particle":"","parse-names":false,"suffix":""}],"container-title":"Ann. appl. Biol","id":"ITEM-1","issued":{"date-parts":[["1970"]]},"page":"339-350","title":"Needle nematodes (Longidorus spp.) and stubby-root nematodes ( Trichodorus spp.) harmful to sugar beet and other field crops in England","type":"article-journal"},"uris":["http://www.mendeley.com/documents/?uuid=e3a9ba67-b49f-4808-a0ea-7bff1763d6dd"]}],"mendeley":{"formattedCitation":"(Whitehead and Hooper, 1970)","plainTextFormattedCitation":"(Whitehead and Hooper, 1970)","previouslyFormattedCitation":"(Whitehead and Hooper, 1970)"},"properties":{"noteIndex":0},"schema":"https://github.com/citation-style-language/schema/raw/master/csl-citation.json"}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(Whitehead and Hooper, 1970)</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At Gayton, Thorpe, England, </w:t>
      </w:r>
      <w:r w:rsidRPr="002B3D8A">
        <w:rPr>
          <w:rFonts w:ascii="Arial" w:eastAsia="Calibri" w:hAnsi="Arial" w:cs="Arial"/>
          <w:i/>
          <w:color w:val="000000" w:themeColor="text1"/>
          <w:sz w:val="24"/>
          <w:szCs w:val="24"/>
        </w:rPr>
        <w:t xml:space="preserve">Trichodorus </w:t>
      </w:r>
      <w:r w:rsidRPr="002B3D8A">
        <w:rPr>
          <w:rFonts w:ascii="Arial" w:eastAsia="Calibri" w:hAnsi="Arial" w:cs="Arial"/>
          <w:color w:val="000000" w:themeColor="text1"/>
          <w:sz w:val="24"/>
          <w:szCs w:val="24"/>
        </w:rPr>
        <w:t xml:space="preserve">spp especially </w:t>
      </w:r>
      <w:r w:rsidRPr="002B3D8A">
        <w:rPr>
          <w:rFonts w:ascii="Arial" w:eastAsia="Calibri" w:hAnsi="Arial" w:cs="Arial"/>
          <w:i/>
          <w:color w:val="000000" w:themeColor="text1"/>
          <w:sz w:val="24"/>
          <w:szCs w:val="24"/>
        </w:rPr>
        <w:t>Trichodorus cylindricus</w:t>
      </w:r>
      <w:r w:rsidRPr="002B3D8A">
        <w:rPr>
          <w:rFonts w:ascii="Arial" w:eastAsia="Calibri" w:hAnsi="Arial" w:cs="Arial"/>
          <w:color w:val="000000" w:themeColor="text1"/>
          <w:sz w:val="24"/>
          <w:szCs w:val="24"/>
        </w:rPr>
        <w:t xml:space="preserve"> or </w:t>
      </w:r>
      <w:r w:rsidRPr="002B3D8A">
        <w:rPr>
          <w:rFonts w:ascii="Arial" w:eastAsia="Calibri" w:hAnsi="Arial" w:cs="Arial"/>
          <w:i/>
          <w:color w:val="000000" w:themeColor="text1"/>
          <w:sz w:val="24"/>
          <w:szCs w:val="24"/>
        </w:rPr>
        <w:t>Trichodorus pachydermus</w:t>
      </w:r>
      <w:r w:rsidRPr="002B3D8A">
        <w:rPr>
          <w:rFonts w:ascii="Arial" w:eastAsia="Calibri" w:hAnsi="Arial" w:cs="Arial"/>
          <w:color w:val="000000" w:themeColor="text1"/>
          <w:sz w:val="24"/>
          <w:szCs w:val="24"/>
        </w:rPr>
        <w:t xml:space="preserve"> were common mostly around young seedlings (1500/</w:t>
      </w:r>
      <w:r w:rsidR="005D6BA7">
        <w:rPr>
          <w:rFonts w:ascii="Arial" w:eastAsia="Calibri" w:hAnsi="Arial" w:cs="Arial"/>
          <w:color w:val="000000" w:themeColor="text1"/>
          <w:sz w:val="24"/>
          <w:szCs w:val="24"/>
        </w:rPr>
        <w:t>Litre soil</w:t>
      </w:r>
      <w:r w:rsidRPr="002B3D8A">
        <w:rPr>
          <w:rFonts w:ascii="Arial" w:eastAsia="Calibri" w:hAnsi="Arial" w:cs="Arial"/>
          <w:color w:val="000000" w:themeColor="text1"/>
          <w:sz w:val="24"/>
          <w:szCs w:val="24"/>
        </w:rPr>
        <w:t>) than around large plants ( 600</w:t>
      </w:r>
      <w:r w:rsidR="005D6BA7">
        <w:rPr>
          <w:rFonts w:ascii="Arial" w:eastAsia="Calibri" w:hAnsi="Arial" w:cs="Arial"/>
          <w:color w:val="000000" w:themeColor="text1"/>
          <w:sz w:val="24"/>
          <w:szCs w:val="24"/>
        </w:rPr>
        <w:t>/Litre soil</w:t>
      </w:r>
      <w:r w:rsidRPr="002B3D8A">
        <w:rPr>
          <w:rFonts w:ascii="Arial" w:eastAsia="Calibri" w:hAnsi="Arial" w:cs="Arial"/>
          <w:color w:val="000000" w:themeColor="text1"/>
          <w:sz w:val="24"/>
          <w:szCs w:val="24"/>
        </w:rPr>
        <w:t xml:space="preserve">) </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uthor":[{"dropping-particle":"","family":"Whitehead","given":"A.G.","non-dropping-particle":"","parse-names":false,"suffix":""},{"dropping-particle":"","family":"Hooper","given":"D.J.","non-dropping-particle":"","parse-names":false,"suffix":""}],"container-title":"Ann. appl. Biol","id":"ITEM-1","issued":{"date-parts":[["1970"]]},"page":"339-350","title":"Needle nematodes (Longidorus spp.) and stubby-root nematodes ( Trichodorus spp.) harmful to sugar beet and other field crops in England","type":"article-journal"},"uris":["http://www.mendeley.com/documents/?uuid=e3a9ba67-b49f-4808-a0ea-7bff1763d6dd"]}],"mendeley":{"formattedCitation":"(Whitehead and Hooper, 1970)","plainTextFormattedCitation":"(Whitehead and Hooper, 1970)","previouslyFormattedCitation":"(Whitehead and Hooper, 1970)"},"properties":{"noteIndex":0},"schema":"https://github.com/citation-style-language/schema/raw/master/csl-citation.json"}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(Whitehead and Hooper, 1970)</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.The stubby lateral roots later turn grey- brown and then black as they die and decay.</w:t>
      </w:r>
      <w:r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uthor":[{"dropping-particle":"","family":"Christie","given":"J.R.","non-dropping-particle":"","parse-names":false,"suffix":""},{"dropping-particle":"","family":"Perry","given":"V.G.","non-dropping-particle":"","parse-names":false,"suffix":""}],"container-title":"Science","id":"ITEM-1","issue":"2939","issued":{"date-parts":[["1951"]]},"page":"491-493","title":"A Root Disease of Plants Caused by a Nematode of the Genus Trichodorus","type":"article-journal","volume":"113"},"uris":["http://www.mendeley.com/documents/?uuid=a9dad506-e7f5-4f7b-912b-40f949ec7020"]}],"mendeley":{"formattedCitation":"(Christie and Perry, 1951)","plainTextFormattedCitation":"(Christie and Perry, 1951)","previouslyFormattedCitation":"(Christie and Perry, 1951)"},"properties":{"noteIndex":0},"schema":"https://github.com/citation-style-language/schema/raw/master/csl-citation.json"}</w:instrText>
      </w:r>
      <w:r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(Christie and Perry, 1951)</w:t>
      </w:r>
      <w:r w:rsidRPr="002B3D8A">
        <w:rPr>
          <w:rFonts w:ascii="Arial" w:eastAsia="Calibri" w:hAnsi="Arial" w:cs="Arial"/>
          <w:color w:val="000000" w:themeColor="text1"/>
          <w:sz w:val="24"/>
          <w:szCs w:val="24"/>
        </w:rPr>
        <w:fldChar w:fldCharType="end"/>
      </w:r>
      <w:r w:rsidRPr="002B3D8A">
        <w:rPr>
          <w:rFonts w:ascii="Arial" w:eastAsia="Calibri" w:hAnsi="Arial" w:cs="Arial"/>
          <w:color w:val="000000" w:themeColor="text1"/>
          <w:sz w:val="24"/>
          <w:szCs w:val="24"/>
        </w:rPr>
        <w:t xml:space="preserve">. </w:t>
      </w:r>
      <w:r w:rsidR="004F0CD4" w:rsidRPr="002B3D8A">
        <w:rPr>
          <w:rFonts w:ascii="Arial" w:eastAsia="Calibri" w:hAnsi="Arial" w:cs="Arial"/>
          <w:color w:val="000000" w:themeColor="text1"/>
          <w:sz w:val="24"/>
          <w:szCs w:val="24"/>
        </w:rPr>
        <w:t xml:space="preserve">The feeding is divided into four phases: Exploration, penetration, salivation, ingestion, and withdrawal. During exploration the lips of the nematode rub the plant cell wall to find a suitable cell, upon location of suitable cell, the lips are pressed against the cell wall and penetration involves several thrusts of the </w:t>
      </w:r>
      <w:r w:rsidR="00ED1351">
        <w:rPr>
          <w:rFonts w:ascii="Arial" w:eastAsia="Calibri" w:hAnsi="Arial" w:cs="Arial"/>
          <w:color w:val="000000" w:themeColor="text1"/>
          <w:sz w:val="24"/>
          <w:szCs w:val="24"/>
        </w:rPr>
        <w:t>o</w:t>
      </w:r>
      <w:r w:rsidR="004F0CD4" w:rsidRPr="002B3D8A">
        <w:rPr>
          <w:rFonts w:ascii="Arial" w:eastAsia="Calibri" w:hAnsi="Arial" w:cs="Arial"/>
          <w:color w:val="000000" w:themeColor="text1"/>
          <w:sz w:val="24"/>
          <w:szCs w:val="24"/>
        </w:rPr>
        <w:t>nchiostyle</w:t>
      </w:r>
      <w:r w:rsidR="002B7C93" w:rsidRPr="002B3D8A">
        <w:rPr>
          <w:rFonts w:ascii="Arial" w:eastAsia="Calibri" w:hAnsi="Arial" w:cs="Arial"/>
          <w:color w:val="000000" w:themeColor="text1"/>
          <w:sz w:val="24"/>
          <w:szCs w:val="24"/>
        </w:rPr>
        <w:t>.</w:t>
      </w:r>
      <w:r w:rsidR="00BF7D78" w:rsidRPr="00BF7D78">
        <w:rPr>
          <w:rFonts w:ascii="Arial" w:eastAsia="Calibri" w:hAnsi="Arial" w:cs="Arial"/>
          <w:color w:val="000000" w:themeColor="text1"/>
          <w:sz w:val="24"/>
          <w:szCs w:val="24"/>
        </w:rPr>
        <w:t xml:space="preserve"> </w:t>
      </w:r>
      <w:r w:rsidR="00BF7D78" w:rsidRPr="002B3D8A">
        <w:rPr>
          <w:rFonts w:ascii="Arial" w:eastAsia="Calibri" w:hAnsi="Arial" w:cs="Arial"/>
          <w:color w:val="000000" w:themeColor="text1"/>
          <w:sz w:val="24"/>
          <w:szCs w:val="24"/>
        </w:rPr>
        <w:t xml:space="preserve">Subsequent to penetration, rate of thrusting drops and the cell cytoplasm streams and accumulates into the feeding site, the nematode therefore ingests large volumes of the cytoplasm through retraction of the </w:t>
      </w:r>
      <w:r w:rsidR="00BF7D78">
        <w:rPr>
          <w:rFonts w:ascii="Arial" w:eastAsia="Calibri" w:hAnsi="Arial" w:cs="Arial"/>
          <w:color w:val="000000" w:themeColor="text1"/>
          <w:sz w:val="24"/>
          <w:szCs w:val="24"/>
        </w:rPr>
        <w:t>o</w:t>
      </w:r>
      <w:r w:rsidR="00BF7D78" w:rsidRPr="002B3D8A">
        <w:rPr>
          <w:rFonts w:ascii="Arial" w:eastAsia="Calibri" w:hAnsi="Arial" w:cs="Arial"/>
          <w:color w:val="000000" w:themeColor="text1"/>
          <w:sz w:val="24"/>
          <w:szCs w:val="24"/>
        </w:rPr>
        <w:t>nchiostyle</w:t>
      </w:r>
    </w:p>
    <w:p w14:paraId="73420FA4" w14:textId="132CA351" w:rsidR="004F0CD4" w:rsidRPr="002B3D8A" w:rsidRDefault="00096C02" w:rsidP="00616CDC">
      <w:pPr>
        <w:spacing w:line="360" w:lineRule="auto"/>
        <w:contextualSpacing/>
        <w:jc w:val="center"/>
        <w:rPr>
          <w:rFonts w:ascii="Arial" w:eastAsia="Calibri" w:hAnsi="Arial" w:cs="Arial"/>
          <w:b/>
          <w:color w:val="000000" w:themeColor="text1"/>
          <w:sz w:val="24"/>
          <w:szCs w:val="24"/>
        </w:rPr>
      </w:pPr>
      <w:r w:rsidRPr="002B3D8A">
        <w:rPr>
          <w:rFonts w:ascii="Arial" w:eastAsia="Calibri" w:hAnsi="Arial" w:cs="Arial"/>
          <w:b/>
          <w:noProof/>
          <w:color w:val="000000" w:themeColor="text1"/>
          <w:sz w:val="24"/>
          <w:szCs w:val="24"/>
        </w:rPr>
        <w:lastRenderedPageBreak/>
        <w:drawing>
          <wp:inline distT="0" distB="0" distL="0" distR="0" wp14:anchorId="344A722C" wp14:editId="2A12D495">
            <wp:extent cx="3463200" cy="2145825"/>
            <wp:effectExtent l="19050" t="19050" r="2349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eding by trichodorus spp.PNG"/>
                    <pic:cNvPicPr/>
                  </pic:nvPicPr>
                  <pic:blipFill>
                    <a:blip r:embed="rId19">
                      <a:extLst>
                        <a:ext uri="{28A0092B-C50C-407E-A947-70E740481C1C}">
                          <a14:useLocalDpi xmlns:a14="http://schemas.microsoft.com/office/drawing/2010/main" val="0"/>
                        </a:ext>
                      </a:extLst>
                    </a:blip>
                    <a:stretch>
                      <a:fillRect/>
                    </a:stretch>
                  </pic:blipFill>
                  <pic:spPr>
                    <a:xfrm>
                      <a:off x="0" y="0"/>
                      <a:ext cx="3627287" cy="2247494"/>
                    </a:xfrm>
                    <a:prstGeom prst="rect">
                      <a:avLst/>
                    </a:prstGeom>
                    <a:ln>
                      <a:solidFill>
                        <a:schemeClr val="tx1"/>
                      </a:solidFill>
                    </a:ln>
                  </pic:spPr>
                </pic:pic>
              </a:graphicData>
            </a:graphic>
          </wp:inline>
        </w:drawing>
      </w:r>
    </w:p>
    <w:p w14:paraId="328216F8" w14:textId="0E7AEF01" w:rsidR="00096C02" w:rsidRPr="002B3D8A" w:rsidRDefault="00096C02" w:rsidP="00891F57">
      <w:pPr>
        <w:rPr>
          <w:rFonts w:ascii="Arial" w:eastAsia="Calibri" w:hAnsi="Arial" w:cs="Arial"/>
          <w:b/>
          <w:color w:val="000000" w:themeColor="text1"/>
          <w:sz w:val="24"/>
          <w:szCs w:val="24"/>
        </w:rPr>
      </w:pPr>
      <w:bookmarkStart w:id="23" w:name="_Toc110342108"/>
      <w:r w:rsidRPr="00980AED">
        <w:rPr>
          <w:rFonts w:ascii="Arial" w:hAnsi="Arial" w:cs="Arial"/>
          <w:color w:val="000000" w:themeColor="text1"/>
          <w:sz w:val="24"/>
          <w:szCs w:val="24"/>
        </w:rPr>
        <w:t xml:space="preserve">Figure </w:t>
      </w:r>
      <w:r w:rsidRPr="00980AED">
        <w:rPr>
          <w:rFonts w:ascii="Arial" w:hAnsi="Arial" w:cs="Arial"/>
          <w:color w:val="000000" w:themeColor="text1"/>
          <w:sz w:val="24"/>
          <w:szCs w:val="24"/>
        </w:rPr>
        <w:fldChar w:fldCharType="begin"/>
      </w:r>
      <w:r w:rsidRPr="00980AED">
        <w:rPr>
          <w:rFonts w:ascii="Arial" w:hAnsi="Arial" w:cs="Arial"/>
          <w:color w:val="000000" w:themeColor="text1"/>
          <w:sz w:val="24"/>
          <w:szCs w:val="24"/>
        </w:rPr>
        <w:instrText xml:space="preserve"> SEQ Figure \* ARABIC </w:instrText>
      </w:r>
      <w:r w:rsidRPr="00980AED">
        <w:rPr>
          <w:rFonts w:ascii="Arial" w:hAnsi="Arial" w:cs="Arial"/>
          <w:color w:val="000000" w:themeColor="text1"/>
          <w:sz w:val="24"/>
          <w:szCs w:val="24"/>
        </w:rPr>
        <w:fldChar w:fldCharType="separate"/>
      </w:r>
      <w:r w:rsidR="00C10D2B">
        <w:rPr>
          <w:rFonts w:ascii="Arial" w:hAnsi="Arial" w:cs="Arial"/>
          <w:noProof/>
          <w:color w:val="000000" w:themeColor="text1"/>
          <w:sz w:val="24"/>
          <w:szCs w:val="24"/>
        </w:rPr>
        <w:t>5</w:t>
      </w:r>
      <w:r w:rsidRPr="00980AED">
        <w:rPr>
          <w:rFonts w:ascii="Arial" w:hAnsi="Arial" w:cs="Arial"/>
          <w:color w:val="000000" w:themeColor="text1"/>
          <w:sz w:val="24"/>
          <w:szCs w:val="24"/>
        </w:rPr>
        <w:fldChar w:fldCharType="end"/>
      </w:r>
      <w:r w:rsidR="009B5508" w:rsidRPr="002B3D8A">
        <w:rPr>
          <w:rFonts w:ascii="Arial" w:hAnsi="Arial" w:cs="Arial"/>
          <w:color w:val="000000" w:themeColor="text1"/>
          <w:sz w:val="24"/>
          <w:szCs w:val="24"/>
        </w:rPr>
        <w:t xml:space="preserve">: </w:t>
      </w:r>
      <w:r w:rsidR="000C7BB5" w:rsidRPr="002B3D8A">
        <w:rPr>
          <w:rFonts w:ascii="Arial" w:hAnsi="Arial" w:cs="Arial"/>
          <w:color w:val="000000" w:themeColor="text1"/>
          <w:sz w:val="24"/>
          <w:szCs w:val="24"/>
        </w:rPr>
        <w:t>F</w:t>
      </w:r>
      <w:r w:rsidR="00420A81" w:rsidRPr="002B3D8A">
        <w:rPr>
          <w:rFonts w:ascii="Arial" w:hAnsi="Arial" w:cs="Arial"/>
          <w:color w:val="000000" w:themeColor="text1"/>
          <w:sz w:val="24"/>
          <w:szCs w:val="24"/>
        </w:rPr>
        <w:t xml:space="preserve">eeding by stubby root nematode, </w:t>
      </w:r>
      <w:r w:rsidR="00420A81" w:rsidRPr="002B3D8A">
        <w:rPr>
          <w:rFonts w:ascii="Arial" w:hAnsi="Arial" w:cs="Arial"/>
          <w:color w:val="000000" w:themeColor="text1"/>
          <w:sz w:val="24"/>
          <w:szCs w:val="24"/>
          <w:shd w:val="clear" w:color="auto" w:fill="FFFFFF"/>
        </w:rPr>
        <w:t xml:space="preserve">on a root hair through a feeding tube. photograph </w:t>
      </w:r>
      <w:r w:rsidR="00CE46CB">
        <w:rPr>
          <w:rFonts w:ascii="Arial" w:hAnsi="Arial" w:cs="Arial"/>
          <w:color w:val="000000" w:themeColor="text1"/>
          <w:sz w:val="24"/>
          <w:szCs w:val="24"/>
          <w:shd w:val="clear" w:color="auto" w:fill="FFFFFF"/>
        </w:rPr>
        <w:fldChar w:fldCharType="begin" w:fldLock="1"/>
      </w:r>
      <w:r w:rsidR="00187AAD">
        <w:rPr>
          <w:rFonts w:ascii="Arial" w:hAnsi="Arial" w:cs="Arial"/>
          <w:color w:val="000000" w:themeColor="text1"/>
          <w:sz w:val="24"/>
          <w:szCs w:val="24"/>
          <w:shd w:val="clear" w:color="auto" w:fill="FFFFFF"/>
        </w:rPr>
        <w:instrText>ADDIN CSL_CITATION {"citationItems":[{"id":"ITEM-1","itemData":{"author":[{"dropping-particle":"","family":"Wyss","given":"U.","non-dropping-particle":"","parse-names":false,"suffix":""}],"container-title":"Plant parasitic nematodes","id":"ITEM-1","issued":{"date-parts":[["1981"]]},"page":"325-351","publisher":"Academic Press","title":"Ectoparasitic root nematodes: feeding behaviour and plant cell responses","type":"article-journal","volume":"3"},"uris":["http://www.mendeley.com/documents/?uuid=76958c33-2c29-4284-8af5-00d1778b43a2"]}],"mendeley":{"formattedCitation":"(Wyss, 1981)","plainTextFormattedCitation":"(Wyss, 1981)","previouslyFormattedCitation":"(Wyss, 1981)"},"properties":{"noteIndex":0},"schema":"https://github.com/citation-style-language/schema/raw/master/csl-citation.json"}</w:instrText>
      </w:r>
      <w:r w:rsidR="00CE46CB">
        <w:rPr>
          <w:rFonts w:ascii="Arial" w:hAnsi="Arial" w:cs="Arial"/>
          <w:color w:val="000000" w:themeColor="text1"/>
          <w:sz w:val="24"/>
          <w:szCs w:val="24"/>
          <w:shd w:val="clear" w:color="auto" w:fill="FFFFFF"/>
        </w:rPr>
        <w:fldChar w:fldCharType="separate"/>
      </w:r>
      <w:r w:rsidR="00187AAD" w:rsidRPr="00187AAD">
        <w:rPr>
          <w:rFonts w:ascii="Arial" w:hAnsi="Arial" w:cs="Arial"/>
          <w:noProof/>
          <w:color w:val="000000" w:themeColor="text1"/>
          <w:sz w:val="24"/>
          <w:szCs w:val="24"/>
          <w:shd w:val="clear" w:color="auto" w:fill="FFFFFF"/>
        </w:rPr>
        <w:t>(Wyss, 1981)</w:t>
      </w:r>
      <w:r w:rsidR="00CE46CB">
        <w:rPr>
          <w:rFonts w:ascii="Arial" w:hAnsi="Arial" w:cs="Arial"/>
          <w:color w:val="000000" w:themeColor="text1"/>
          <w:sz w:val="24"/>
          <w:szCs w:val="24"/>
          <w:shd w:val="clear" w:color="auto" w:fill="FFFFFF"/>
        </w:rPr>
        <w:fldChar w:fldCharType="end"/>
      </w:r>
      <w:r w:rsidR="00CE46CB" w:rsidRPr="002B3D8A">
        <w:rPr>
          <w:rFonts w:ascii="Arial" w:hAnsi="Arial" w:cs="Arial"/>
          <w:color w:val="000000" w:themeColor="text1"/>
          <w:sz w:val="24"/>
          <w:szCs w:val="24"/>
          <w:shd w:val="clear" w:color="auto" w:fill="FFFFFF"/>
        </w:rPr>
        <w:t xml:space="preserve"> </w:t>
      </w:r>
      <w:r w:rsidR="00420A81" w:rsidRPr="002B3D8A">
        <w:rPr>
          <w:rFonts w:ascii="Arial" w:hAnsi="Arial" w:cs="Arial"/>
          <w:color w:val="000000" w:themeColor="text1"/>
          <w:sz w:val="24"/>
          <w:szCs w:val="24"/>
          <w:shd w:val="clear" w:color="auto" w:fill="FFFFFF"/>
        </w:rPr>
        <w:t xml:space="preserve">, institute of phytopathology, </w:t>
      </w:r>
      <w:r w:rsidR="00CE46CB" w:rsidRPr="002B3D8A">
        <w:rPr>
          <w:rFonts w:ascii="Arial" w:hAnsi="Arial" w:cs="Arial"/>
          <w:color w:val="000000" w:themeColor="text1"/>
          <w:sz w:val="24"/>
          <w:szCs w:val="24"/>
          <w:shd w:val="clear" w:color="auto" w:fill="FFFFFF"/>
        </w:rPr>
        <w:t>Germany</w:t>
      </w:r>
      <w:r w:rsidR="00420A81" w:rsidRPr="002B3D8A">
        <w:rPr>
          <w:rFonts w:ascii="Arial" w:hAnsi="Arial" w:cs="Arial"/>
          <w:color w:val="000000" w:themeColor="text1"/>
          <w:sz w:val="24"/>
          <w:szCs w:val="24"/>
          <w:shd w:val="clear" w:color="auto" w:fill="FFFFFF"/>
        </w:rPr>
        <w:t>.</w:t>
      </w:r>
      <w:bookmarkEnd w:id="23"/>
    </w:p>
    <w:p w14:paraId="4769F46D" w14:textId="45DF9DD2" w:rsidR="00BF7D78" w:rsidRDefault="00ED1351" w:rsidP="00BF7D78">
      <w:pPr>
        <w:tabs>
          <w:tab w:val="left" w:pos="3969"/>
        </w:tabs>
        <w:spacing w:line="360" w:lineRule="auto"/>
        <w:ind w:left="-284"/>
        <w:contextualSpacing/>
        <w:jc w:val="both"/>
        <w:rPr>
          <w:rFonts w:ascii="Arial" w:eastAsia="Calibri" w:hAnsi="Arial" w:cs="Arial"/>
          <w:color w:val="000000" w:themeColor="text1"/>
          <w:sz w:val="24"/>
          <w:szCs w:val="24"/>
        </w:rPr>
        <w:sectPr w:rsidR="00BF7D78" w:rsidSect="00B27D90">
          <w:pgSz w:w="11906" w:h="16838"/>
          <w:pgMar w:top="1440" w:right="1440" w:bottom="1440" w:left="1440" w:header="708" w:footer="708" w:gutter="0"/>
          <w:cols w:space="708"/>
          <w:docGrid w:linePitch="360"/>
        </w:sectPr>
      </w:pPr>
      <w:r>
        <w:rPr>
          <w:rFonts w:ascii="Arial" w:eastAsia="Calibri" w:hAnsi="Arial" w:cs="Arial"/>
          <w:color w:val="000000" w:themeColor="text1"/>
          <w:sz w:val="24"/>
          <w:szCs w:val="24"/>
        </w:rPr>
        <w:t>A</w:t>
      </w:r>
      <w:r w:rsidR="002B7C93" w:rsidRPr="002B3D8A">
        <w:rPr>
          <w:rFonts w:ascii="Arial" w:eastAsia="Calibri" w:hAnsi="Arial" w:cs="Arial"/>
          <w:color w:val="000000" w:themeColor="text1"/>
          <w:sz w:val="24"/>
          <w:szCs w:val="24"/>
        </w:rPr>
        <w:t>fter ingestion of all cytoplasm</w:t>
      </w:r>
      <w:r>
        <w:rPr>
          <w:rFonts w:ascii="Arial" w:eastAsia="Calibri" w:hAnsi="Arial" w:cs="Arial"/>
          <w:color w:val="000000" w:themeColor="text1"/>
          <w:sz w:val="24"/>
          <w:szCs w:val="24"/>
        </w:rPr>
        <w:t>,</w:t>
      </w:r>
      <w:r w:rsidR="002B7C93" w:rsidRPr="002B3D8A">
        <w:rPr>
          <w:rFonts w:ascii="Arial" w:eastAsia="Calibri" w:hAnsi="Arial" w:cs="Arial"/>
          <w:color w:val="000000" w:themeColor="text1"/>
          <w:sz w:val="24"/>
          <w:szCs w:val="24"/>
        </w:rPr>
        <w:t xml:space="preserve"> the nematode withdraws the </w:t>
      </w:r>
      <w:r>
        <w:rPr>
          <w:rFonts w:ascii="Arial" w:eastAsia="Calibri" w:hAnsi="Arial" w:cs="Arial"/>
          <w:color w:val="000000" w:themeColor="text1"/>
          <w:sz w:val="24"/>
          <w:szCs w:val="24"/>
        </w:rPr>
        <w:t>o</w:t>
      </w:r>
      <w:r w:rsidR="002B7C93" w:rsidRPr="002B3D8A">
        <w:rPr>
          <w:rFonts w:ascii="Arial" w:eastAsia="Calibri" w:hAnsi="Arial" w:cs="Arial"/>
          <w:color w:val="000000" w:themeColor="text1"/>
          <w:sz w:val="24"/>
          <w:szCs w:val="24"/>
        </w:rPr>
        <w:t>nchiostyle, leaving behind a feeding tube attached to the cell wall</w:t>
      </w:r>
      <w:r w:rsidR="00C4592F">
        <w:rPr>
          <w:rFonts w:ascii="Arial" w:eastAsia="Calibri" w:hAnsi="Arial" w:cs="Arial"/>
          <w:color w:val="000000" w:themeColor="text1"/>
          <w:sz w:val="24"/>
          <w:szCs w:val="24"/>
        </w:rPr>
        <w:t xml:space="preserve"> </w:t>
      </w:r>
      <w:r w:rsidR="00D2012A"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{"citationItems":[{"id":"ITEM-1","itemData":{"author":[{"dropping-particle":"","family":"Wyss","given":"U.","non-dropping-particle":"","parse-names":false,"suffix":""}],"container-title":"Plant parasitic nematodes","id":"ITEM-1","issued":{"date-parts":[["1981"]]},"page":"325-351","publisher":"Academic Press","title":"Ectoparasitic root nematodes: feeding behaviour and plant cell responses","type":"article-journal","volume":"3"},"uris":["http://www.mendeley.com/documents/?uuid=76958c33-2c29-4284-8af5-00d1778b43a2"]}],"mendeley":{"formattedCitation":"(Wyss, 1981)","plainTextFormattedCitation":"(Wyss, 1981)","previouslyFormattedCitation":"(Wyss, 1981)"},"properties":{"noteIndex":0},"schema":"https://github.com/citation-style-language/schema/raw/master/csl-citation.json"}</w:instrText>
      </w:r>
      <w:r w:rsidR="00D2012A"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(Wyss, 1981)</w:t>
      </w:r>
      <w:r w:rsidR="00D2012A" w:rsidRPr="002B3D8A">
        <w:rPr>
          <w:rFonts w:ascii="Arial" w:eastAsia="Calibri" w:hAnsi="Arial" w:cs="Arial"/>
          <w:color w:val="000000" w:themeColor="text1"/>
          <w:sz w:val="24"/>
          <w:szCs w:val="24"/>
        </w:rPr>
        <w:fldChar w:fldCharType="end"/>
      </w:r>
      <w:r w:rsidR="006C7A2B">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R</w:t>
      </w:r>
      <w:r w:rsidRPr="002B3D8A">
        <w:rPr>
          <w:rFonts w:ascii="Arial" w:eastAsia="Calibri" w:hAnsi="Arial" w:cs="Arial"/>
          <w:color w:val="000000" w:themeColor="text1"/>
          <w:sz w:val="24"/>
          <w:szCs w:val="24"/>
        </w:rPr>
        <w:t xml:space="preserve">asping during feeding has been reported </w:t>
      </w:r>
      <w:r>
        <w:rPr>
          <w:rFonts w:ascii="Arial" w:eastAsia="Calibri" w:hAnsi="Arial" w:cs="Arial"/>
          <w:color w:val="000000" w:themeColor="text1"/>
          <w:sz w:val="24"/>
          <w:szCs w:val="24"/>
        </w:rPr>
        <w:t>for</w:t>
      </w:r>
      <w:r w:rsidR="006C7A2B">
        <w:rPr>
          <w:rFonts w:ascii="Arial" w:eastAsia="Calibri" w:hAnsi="Arial" w:cs="Arial"/>
          <w:color w:val="000000" w:themeColor="text1"/>
          <w:sz w:val="24"/>
          <w:szCs w:val="24"/>
        </w:rPr>
        <w:t xml:space="preserve"> </w:t>
      </w:r>
      <w:r w:rsidR="002B7C93" w:rsidRPr="002B3D8A">
        <w:rPr>
          <w:rFonts w:ascii="Arial" w:eastAsia="Calibri" w:hAnsi="Arial" w:cs="Arial"/>
          <w:i/>
          <w:color w:val="000000" w:themeColor="text1"/>
          <w:sz w:val="24"/>
          <w:szCs w:val="24"/>
        </w:rPr>
        <w:t>Paratrichodorus minor</w:t>
      </w:r>
      <w:r w:rsidR="002B7C93" w:rsidRPr="002B3D8A">
        <w:rPr>
          <w:rFonts w:ascii="Arial" w:eastAsia="Calibri" w:hAnsi="Arial" w:cs="Arial"/>
          <w:color w:val="000000" w:themeColor="text1"/>
          <w:sz w:val="24"/>
          <w:szCs w:val="24"/>
        </w:rPr>
        <w:t xml:space="preserve"> </w:t>
      </w:r>
      <w:r w:rsidR="006C7A2B" w:rsidRPr="002B3D8A">
        <w:rPr>
          <w:rFonts w:ascii="Arial" w:eastAsia="Calibri" w:hAnsi="Arial" w:cs="Arial"/>
          <w:color w:val="000000" w:themeColor="text1"/>
          <w:sz w:val="24"/>
          <w:szCs w:val="24"/>
        </w:rPr>
        <w:t>(Rohde</w:t>
      </w:r>
      <w:r w:rsidR="002B7C93" w:rsidRPr="002B3D8A">
        <w:rPr>
          <w:rFonts w:ascii="Arial" w:eastAsia="Calibri" w:hAnsi="Arial" w:cs="Arial"/>
          <w:color w:val="000000" w:themeColor="text1"/>
          <w:sz w:val="24"/>
          <w:szCs w:val="24"/>
        </w:rPr>
        <w:t xml:space="preserve"> and </w:t>
      </w:r>
      <w:r>
        <w:rPr>
          <w:rFonts w:ascii="Arial" w:eastAsia="Calibri" w:hAnsi="Arial" w:cs="Arial"/>
          <w:color w:val="000000" w:themeColor="text1"/>
          <w:sz w:val="24"/>
          <w:szCs w:val="24"/>
        </w:rPr>
        <w:t>J</w:t>
      </w:r>
      <w:r w:rsidR="002B7C93" w:rsidRPr="002B3D8A">
        <w:rPr>
          <w:rFonts w:ascii="Arial" w:eastAsia="Calibri" w:hAnsi="Arial" w:cs="Arial"/>
          <w:color w:val="000000" w:themeColor="text1"/>
          <w:sz w:val="24"/>
          <w:szCs w:val="24"/>
        </w:rPr>
        <w:t>e</w:t>
      </w:r>
      <w:r>
        <w:rPr>
          <w:rFonts w:ascii="Arial" w:eastAsia="Calibri" w:hAnsi="Arial" w:cs="Arial"/>
          <w:color w:val="000000" w:themeColor="text1"/>
          <w:sz w:val="24"/>
          <w:szCs w:val="24"/>
        </w:rPr>
        <w:t>n</w:t>
      </w:r>
      <w:r w:rsidR="002B7C93" w:rsidRPr="002B3D8A">
        <w:rPr>
          <w:rFonts w:ascii="Arial" w:eastAsia="Calibri" w:hAnsi="Arial" w:cs="Arial"/>
          <w:color w:val="000000" w:themeColor="text1"/>
          <w:sz w:val="24"/>
          <w:szCs w:val="24"/>
        </w:rPr>
        <w:t xml:space="preserve">kins,1957, Russell and </w:t>
      </w:r>
      <w:r>
        <w:rPr>
          <w:rFonts w:ascii="Arial" w:eastAsia="Calibri" w:hAnsi="Arial" w:cs="Arial"/>
          <w:color w:val="000000" w:themeColor="text1"/>
          <w:sz w:val="24"/>
          <w:szCs w:val="24"/>
        </w:rPr>
        <w:t>P</w:t>
      </w:r>
      <w:r w:rsidR="002B7C93" w:rsidRPr="002B3D8A">
        <w:rPr>
          <w:rFonts w:ascii="Arial" w:eastAsia="Calibri" w:hAnsi="Arial" w:cs="Arial"/>
          <w:color w:val="000000" w:themeColor="text1"/>
          <w:sz w:val="24"/>
          <w:szCs w:val="24"/>
        </w:rPr>
        <w:t>erry 1966).</w:t>
      </w:r>
      <w:r w:rsidR="005D6BA7">
        <w:rPr>
          <w:rFonts w:ascii="Arial" w:eastAsia="Calibri" w:hAnsi="Arial" w:cs="Arial"/>
          <w:color w:val="000000" w:themeColor="text1"/>
          <w:sz w:val="24"/>
          <w:szCs w:val="24"/>
        </w:rPr>
        <w:t>T.similis was observed to feed on upto 15 cells in an hour where it fed on an individual cell for few minutes</w:t>
      </w:r>
      <w:r w:rsidR="0022535A">
        <w:rPr>
          <w:rFonts w:ascii="Arial" w:eastAsia="Calibri" w:hAnsi="Arial" w:cs="Arial"/>
          <w:color w:val="000000" w:themeColor="text1"/>
          <w:sz w:val="24"/>
          <w:szCs w:val="24"/>
        </w:rPr>
        <w:t xml:space="preserve"> and moved to the next cell</w:t>
      </w:r>
      <w:r w:rsidR="005D6BA7">
        <w:rPr>
          <w:rFonts w:ascii="Arial" w:eastAsia="Calibri" w:hAnsi="Arial" w:cs="Arial"/>
          <w:color w:val="000000" w:themeColor="text1"/>
          <w:sz w:val="24"/>
          <w:szCs w:val="24"/>
        </w:rPr>
        <w:t xml:space="preserve"> Males and females fed the longest where 2hrs and 50 mins feeding time was recorded </w:t>
      </w:r>
      <w:r w:rsidR="002B7C93" w:rsidRPr="002B3D8A">
        <w:rPr>
          <w:rFonts w:ascii="Arial" w:eastAsia="Calibri" w:hAnsi="Arial" w:cs="Arial"/>
          <w:color w:val="000000" w:themeColor="text1"/>
          <w:sz w:val="24"/>
          <w:szCs w:val="24"/>
        </w:rPr>
        <w:fldChar w:fldCharType="begin" w:fldLock="1"/>
      </w:r>
      <w:r w:rsidR="00187AAD">
        <w:rPr>
          <w:rFonts w:ascii="Arial" w:eastAsia="Calibri" w:hAnsi="Arial" w:cs="Arial"/>
          <w:color w:val="000000" w:themeColor="text1"/>
          <w:sz w:val="24"/>
          <w:szCs w:val="24"/>
        </w:rPr>
        <w:instrText>ADDIN CSL_CITATION {"citationItems":[{"id":"ITEM-1","itemData":{"author":[{"dropping-particle":"","family":"Wyss","given":"U.","non-dropping-particle":"","parse-names":false,"suffix":""}],"container-title":"Plant parasitic nematodes","id":"ITEM-1","issued":{"date-parts":[["1981"]]},"page":"325-351","publisher":"Academic Press","title":"Ectoparasitic root nematodes: feeding behaviour and plant cell responses","type":"article-journal","volume":"3"},"uris":["http://www.mendeley.com/documents/?uuid=76958c33-2c29-4284-8af5-00d1778b43a2"]}],"mendeley":{"formattedCitation":"(Wyss, 1981)","plainTextFormattedCitation":"(Wyss, 1981)","previouslyFormattedCitation":"(Wyss, 1981)"},"properties":{"noteIndex":0},"schema":"https://github.com/citation-style-language/schema/raw/master/csl-citation.json"}</w:instrText>
      </w:r>
      <w:r w:rsidR="002B7C93" w:rsidRPr="002B3D8A">
        <w:rPr>
          <w:rFonts w:ascii="Arial" w:eastAsia="Calibri" w:hAnsi="Arial" w:cs="Arial"/>
          <w:color w:val="000000" w:themeColor="text1"/>
          <w:sz w:val="24"/>
          <w:szCs w:val="24"/>
        </w:rPr>
        <w:fldChar w:fldCharType="separate"/>
      </w:r>
      <w:r w:rsidR="00187AAD" w:rsidRPr="00187AAD">
        <w:rPr>
          <w:rFonts w:ascii="Arial" w:eastAsia="Calibri" w:hAnsi="Arial" w:cs="Arial"/>
          <w:noProof/>
          <w:color w:val="000000" w:themeColor="text1"/>
          <w:sz w:val="24"/>
          <w:szCs w:val="24"/>
        </w:rPr>
        <w:t>(Wyss, 1981)</w:t>
      </w:r>
      <w:r w:rsidR="002B7C93" w:rsidRPr="002B3D8A">
        <w:rPr>
          <w:rFonts w:ascii="Arial" w:eastAsia="Calibri" w:hAnsi="Arial" w:cs="Arial"/>
          <w:color w:val="000000" w:themeColor="text1"/>
          <w:sz w:val="24"/>
          <w:szCs w:val="24"/>
        </w:rPr>
        <w:fldChar w:fldCharType="end"/>
      </w:r>
      <w:r w:rsidR="002B7C93" w:rsidRPr="002B3D8A">
        <w:rPr>
          <w:rFonts w:ascii="Arial" w:eastAsia="Calibri" w:hAnsi="Arial" w:cs="Arial"/>
          <w:color w:val="000000" w:themeColor="text1"/>
          <w:sz w:val="24"/>
          <w:szCs w:val="24"/>
        </w:rPr>
        <w:t xml:space="preserve">. </w:t>
      </w:r>
      <w:r w:rsidR="6AC1B2C3" w:rsidRPr="6AC1B2C3">
        <w:rPr>
          <w:rFonts w:ascii="Arial" w:eastAsia="Calibri" w:hAnsi="Arial" w:cs="Arial"/>
          <w:color w:val="000000" w:themeColor="text1"/>
          <w:sz w:val="24"/>
          <w:szCs w:val="24"/>
        </w:rPr>
        <w:t xml:space="preserve">Although a shallow root system is a common symptom associated with injuries by </w:t>
      </w:r>
      <w:r w:rsidR="6AC1B2C3" w:rsidRPr="6AC1B2C3">
        <w:rPr>
          <w:rFonts w:ascii="Arial" w:eastAsia="Calibri" w:hAnsi="Arial" w:cs="Arial"/>
          <w:i/>
          <w:iCs/>
          <w:color w:val="000000" w:themeColor="text1"/>
          <w:sz w:val="24"/>
          <w:szCs w:val="24"/>
        </w:rPr>
        <w:t xml:space="preserve">Trichodorus and Paratrichodorus </w:t>
      </w:r>
      <w:r w:rsidR="6AC1B2C3" w:rsidRPr="6AC1B2C3">
        <w:rPr>
          <w:rFonts w:ascii="Arial" w:eastAsia="Calibri" w:hAnsi="Arial" w:cs="Arial"/>
          <w:color w:val="000000" w:themeColor="text1"/>
          <w:sz w:val="24"/>
          <w:szCs w:val="24"/>
        </w:rPr>
        <w:t>spp</w:t>
      </w:r>
      <w:r w:rsidR="6AC1B2C3" w:rsidRPr="6AC1B2C3">
        <w:rPr>
          <w:rFonts w:ascii="Arial" w:eastAsia="Calibri" w:hAnsi="Arial" w:cs="Arial"/>
          <w:i/>
          <w:iCs/>
          <w:color w:val="000000" w:themeColor="text1"/>
          <w:sz w:val="24"/>
          <w:szCs w:val="24"/>
        </w:rPr>
        <w:t>,</w:t>
      </w:r>
      <w:r w:rsidR="6AC1B2C3" w:rsidRPr="6AC1B2C3">
        <w:rPr>
          <w:rFonts w:ascii="Arial" w:eastAsia="Calibri" w:hAnsi="Arial" w:cs="Arial"/>
          <w:color w:val="000000" w:themeColor="text1"/>
          <w:sz w:val="24"/>
          <w:szCs w:val="24"/>
        </w:rPr>
        <w:t xml:space="preserve"> effects differ because of the influence of secondary pathogens or soil conditions. A patchy appearance due to damaged plants is visible in an infested field; less damaged plants may recover resulting in a 'hen and chick' effect in the field </w:t>
      </w:r>
      <w:r w:rsidR="006241CA" w:rsidRPr="6AC1B2C3">
        <w:rPr>
          <w:rFonts w:ascii="Arial" w:eastAsia="Calibri" w:hAnsi="Arial" w:cs="Arial"/>
          <w:color w:val="000000" w:themeColor="text1"/>
          <w:sz w:val="24"/>
          <w:szCs w:val="24"/>
        </w:rPr>
        <w:fldChar w:fldCharType="begin" w:fldLock="1"/>
      </w:r>
      <w:r w:rsidR="006241CA" w:rsidRPr="6AC1B2C3">
        <w:rPr>
          <w:rFonts w:ascii="Arial" w:eastAsia="Calibri" w:hAnsi="Arial" w:cs="Arial"/>
          <w:color w:val="000000" w:themeColor="text1"/>
          <w:sz w:val="24"/>
          <w:szCs w:val="24"/>
        </w:rPr>
        <w:instrText>ADDIN CSL_CITATION {"citationItems":[{"id":"ITEM-1","itemData":{"DOI":"https://doi.org/10.1111/j.1744-7348.1971.tb04648.x","author":[{"dropping-particle":"","family":"Sykes","given":"G B","non-dropping-particle":"","parse-names":false,"suffix":""},{"dropping-particle":"","family":"Brown","given":"E. B.","non-dropping-particle":"","parse-names":false,"suffix":""}],"container-title":"Ann. appl. Biol","id":"ITEM-1","issue":"May 1967","issued":{"date-parts":[["1971"]]},"page":"291-298","title":"Studies on the relation between density of Longidorus elongutus and growth of sugar beet, with supplementary observations on Trichodorus spp.","type":"article-journal","volume":"68"},"uris":["http://www.mendeley.com/documents/?uuid=f3d76144-fd43-4f2f-b6ff-980bb5d72b5e"]}],"mendeley":{"formattedCitation":"(Sykes and Brown, 1971)","plainTextFormattedCitation":"(Sykes and Brown, 1971)","previouslyFormattedCitation":"(Sykes and Brown, 1971)"},"properties":{"noteIndex":0},"schema":"https://github.com/citation-style-language/schema/raw/master/csl-citation.json"}</w:instrText>
      </w:r>
      <w:r w:rsidR="006241CA" w:rsidRPr="6AC1B2C3">
        <w:rPr>
          <w:rFonts w:ascii="Arial" w:eastAsia="Calibri" w:hAnsi="Arial" w:cs="Arial"/>
          <w:color w:val="000000" w:themeColor="text1"/>
          <w:sz w:val="24"/>
          <w:szCs w:val="24"/>
        </w:rPr>
        <w:fldChar w:fldCharType="separate"/>
      </w:r>
      <w:r w:rsidR="6AC1B2C3" w:rsidRPr="6AC1B2C3">
        <w:rPr>
          <w:rFonts w:ascii="Arial" w:eastAsia="Calibri" w:hAnsi="Arial" w:cs="Arial"/>
          <w:noProof/>
          <w:color w:val="000000" w:themeColor="text1"/>
          <w:sz w:val="24"/>
          <w:szCs w:val="24"/>
        </w:rPr>
        <w:t>(Sykes and Brown, 1971)</w:t>
      </w:r>
      <w:r w:rsidR="006241CA" w:rsidRPr="6AC1B2C3">
        <w:rPr>
          <w:rFonts w:ascii="Arial" w:eastAsia="Calibri" w:hAnsi="Arial" w:cs="Arial"/>
          <w:color w:val="000000" w:themeColor="text1"/>
          <w:sz w:val="24"/>
          <w:szCs w:val="24"/>
        </w:rPr>
        <w:fldChar w:fldCharType="end"/>
      </w:r>
      <w:r w:rsidR="6AC1B2C3" w:rsidRPr="6AC1B2C3">
        <w:rPr>
          <w:rFonts w:ascii="Arial" w:eastAsia="Calibri" w:hAnsi="Arial" w:cs="Arial"/>
          <w:color w:val="000000" w:themeColor="text1"/>
          <w:sz w:val="24"/>
          <w:szCs w:val="24"/>
        </w:rPr>
        <w:t xml:space="preserve">. </w:t>
      </w:r>
      <w:r w:rsidR="006241CA" w:rsidRPr="002B3D8A">
        <w:rPr>
          <w:rFonts w:ascii="Arial" w:eastAsia="Calibri" w:hAnsi="Arial" w:cs="Arial"/>
          <w:color w:val="000000" w:themeColor="text1"/>
          <w:sz w:val="24"/>
          <w:szCs w:val="24"/>
        </w:rPr>
        <w:t>The degree of attractiveness of roots to Trichodorids determine</w:t>
      </w:r>
      <w:r w:rsidR="00580D53" w:rsidRPr="002B3D8A">
        <w:rPr>
          <w:rFonts w:ascii="Arial" w:eastAsia="Calibri" w:hAnsi="Arial" w:cs="Arial"/>
          <w:color w:val="000000" w:themeColor="text1"/>
          <w:sz w:val="24"/>
          <w:szCs w:val="24"/>
        </w:rPr>
        <w:t>d</w:t>
      </w:r>
      <w:r w:rsidR="006241CA" w:rsidRPr="002B3D8A">
        <w:rPr>
          <w:rFonts w:ascii="Arial" w:eastAsia="Calibri" w:hAnsi="Arial" w:cs="Arial"/>
          <w:color w:val="000000" w:themeColor="text1"/>
          <w:sz w:val="24"/>
          <w:szCs w:val="24"/>
        </w:rPr>
        <w:t xml:space="preserve"> the numbers found </w:t>
      </w:r>
      <w:r w:rsidR="00580D53" w:rsidRPr="002B3D8A">
        <w:rPr>
          <w:rFonts w:ascii="Arial" w:eastAsia="Calibri" w:hAnsi="Arial" w:cs="Arial"/>
          <w:color w:val="000000" w:themeColor="text1"/>
          <w:sz w:val="24"/>
          <w:szCs w:val="24"/>
        </w:rPr>
        <w:t xml:space="preserve">in </w:t>
      </w:r>
      <w:r w:rsidR="006241CA" w:rsidRPr="002B3D8A">
        <w:rPr>
          <w:rFonts w:ascii="Arial" w:eastAsia="Calibri" w:hAnsi="Arial" w:cs="Arial"/>
          <w:color w:val="000000" w:themeColor="text1"/>
          <w:sz w:val="24"/>
          <w:szCs w:val="24"/>
        </w:rPr>
        <w:t xml:space="preserve">the soils taken near the root system </w:t>
      </w:r>
      <w:r w:rsidR="006241CA"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uthor":[{"dropping-particle":"","family":"Whitehead","given":"A.G.","non-dropping-particle":"","parse-names":false,"suffix":""},{"dropping-particle":"","family":"Hooper","given":"D.J.","non-dropping-particle":"","parse-names":false,"suffix":""}],"container-title":"Ann. appl. Biol","id":"ITEM-1","issued":{"date-parts":[["1970"]]},"page":"339-350","title":"Needle nematodes (Longidorus spp.) and stubby-root nematodes ( Trichodorus spp.) harmful to sugar beet and other field crops in England","type":"article-journal"},"uris":["http://www.mendeley.com/documents/?uuid=e3a9ba67-b49f-4808-a0ea-7bff1763d6dd"]}],"mendeley":{"formattedCitation":"(Whitehead and Hooper, 1970)","plainTextFormattedCitation":"(Whitehead and Hooper, 1970)","previouslyFormattedCitation":"(Whitehead and Hooper, 1970)"},"properties":{"noteIndex":0},"schema":"https://github.com/citation-style-language/schema/raw/master/csl-citation.json"}</w:instrText>
      </w:r>
      <w:r w:rsidR="006241CA"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(Whitehead and Hooper, 1970)</w:t>
      </w:r>
      <w:r w:rsidR="006241CA" w:rsidRPr="002B3D8A">
        <w:rPr>
          <w:rFonts w:ascii="Arial" w:eastAsia="Calibri" w:hAnsi="Arial" w:cs="Arial"/>
          <w:color w:val="000000" w:themeColor="text1"/>
          <w:sz w:val="24"/>
          <w:szCs w:val="24"/>
        </w:rPr>
        <w:fldChar w:fldCharType="end"/>
      </w:r>
      <w:r w:rsidR="001A056A" w:rsidRPr="002B3D8A">
        <w:rPr>
          <w:rFonts w:ascii="Arial" w:eastAsia="Calibri" w:hAnsi="Arial" w:cs="Arial"/>
          <w:color w:val="000000" w:themeColor="text1"/>
          <w:sz w:val="24"/>
          <w:szCs w:val="24"/>
        </w:rPr>
        <w:t xml:space="preserve">. </w:t>
      </w:r>
      <w:r w:rsidR="00E22FA8" w:rsidRPr="002B3D8A">
        <w:rPr>
          <w:rFonts w:ascii="Arial" w:eastAsia="Calibri" w:hAnsi="Arial" w:cs="Arial"/>
          <w:color w:val="000000" w:themeColor="text1"/>
          <w:sz w:val="24"/>
          <w:szCs w:val="24"/>
        </w:rPr>
        <w:t>Feeding involves continuous thrusting and withdrawal of the style</w:t>
      </w:r>
      <w:r w:rsidR="001A056A" w:rsidRPr="002B3D8A">
        <w:rPr>
          <w:rFonts w:ascii="Arial" w:eastAsia="Calibri" w:hAnsi="Arial" w:cs="Arial"/>
          <w:color w:val="000000" w:themeColor="text1"/>
          <w:sz w:val="24"/>
          <w:szCs w:val="24"/>
        </w:rPr>
        <w:t xml:space="preserve">t </w:t>
      </w:r>
      <w:r w:rsidR="00FF0D5F" w:rsidRPr="002B3D8A">
        <w:rPr>
          <w:rFonts w:ascii="Arial" w:eastAsia="Calibri" w:hAnsi="Arial" w:cs="Arial"/>
          <w:color w:val="000000" w:themeColor="text1"/>
          <w:sz w:val="24"/>
          <w:szCs w:val="24"/>
        </w:rPr>
        <w:t>causing</w:t>
      </w:r>
      <w:r w:rsidR="001A056A" w:rsidRPr="002B3D8A">
        <w:rPr>
          <w:rFonts w:ascii="Arial" w:eastAsia="Calibri" w:hAnsi="Arial" w:cs="Arial"/>
          <w:color w:val="000000" w:themeColor="text1"/>
          <w:sz w:val="24"/>
          <w:szCs w:val="24"/>
        </w:rPr>
        <w:t xml:space="preserve"> </w:t>
      </w:r>
      <w:r w:rsidR="00E22FA8" w:rsidRPr="002B3D8A">
        <w:rPr>
          <w:rFonts w:ascii="Arial" w:eastAsia="Calibri" w:hAnsi="Arial" w:cs="Arial"/>
          <w:color w:val="000000" w:themeColor="text1"/>
          <w:sz w:val="24"/>
          <w:szCs w:val="24"/>
        </w:rPr>
        <w:t>large brown lesions to form,</w:t>
      </w:r>
      <w:r w:rsidR="00997478">
        <w:rPr>
          <w:rFonts w:ascii="Arial" w:eastAsia="Calibri" w:hAnsi="Arial" w:cs="Arial"/>
          <w:color w:val="000000" w:themeColor="text1"/>
          <w:sz w:val="24"/>
          <w:szCs w:val="24"/>
        </w:rPr>
        <w:t xml:space="preserve"> while</w:t>
      </w:r>
      <w:r w:rsidR="00E22FA8" w:rsidRPr="002B3D8A">
        <w:rPr>
          <w:rFonts w:ascii="Arial" w:eastAsia="Calibri" w:hAnsi="Arial" w:cs="Arial"/>
          <w:color w:val="000000" w:themeColor="text1"/>
          <w:sz w:val="24"/>
          <w:szCs w:val="24"/>
        </w:rPr>
        <w:t xml:space="preserve"> repeated feeding at the root tip inhibit</w:t>
      </w:r>
      <w:r w:rsidR="00997478">
        <w:rPr>
          <w:rFonts w:ascii="Arial" w:eastAsia="Calibri" w:hAnsi="Arial" w:cs="Arial"/>
          <w:color w:val="000000" w:themeColor="text1"/>
          <w:sz w:val="24"/>
          <w:szCs w:val="24"/>
        </w:rPr>
        <w:t>s</w:t>
      </w:r>
      <w:r w:rsidR="00E22FA8" w:rsidRPr="002B3D8A">
        <w:rPr>
          <w:rFonts w:ascii="Arial" w:eastAsia="Calibri" w:hAnsi="Arial" w:cs="Arial"/>
          <w:color w:val="000000" w:themeColor="text1"/>
          <w:sz w:val="24"/>
          <w:szCs w:val="24"/>
        </w:rPr>
        <w:t xml:space="preserve"> further growth and</w:t>
      </w:r>
      <w:r w:rsidR="00997478">
        <w:rPr>
          <w:rFonts w:ascii="Arial" w:eastAsia="Calibri" w:hAnsi="Arial" w:cs="Arial"/>
          <w:color w:val="000000" w:themeColor="text1"/>
          <w:sz w:val="24"/>
          <w:szCs w:val="24"/>
        </w:rPr>
        <w:t xml:space="preserve"> leads to the</w:t>
      </w:r>
      <w:r w:rsidR="00E22FA8" w:rsidRPr="002B3D8A">
        <w:rPr>
          <w:rFonts w:ascii="Arial" w:eastAsia="Calibri" w:hAnsi="Arial" w:cs="Arial"/>
          <w:color w:val="000000" w:themeColor="text1"/>
          <w:sz w:val="24"/>
          <w:szCs w:val="24"/>
        </w:rPr>
        <w:t xml:space="preserve"> formation </w:t>
      </w:r>
      <w:r w:rsidR="00E22FA8" w:rsidRPr="001B539E">
        <w:rPr>
          <w:rFonts w:ascii="Arial" w:eastAsia="Calibri" w:hAnsi="Arial" w:cs="Arial"/>
          <w:color w:val="000000" w:themeColor="text1"/>
          <w:sz w:val="24"/>
          <w:szCs w:val="24"/>
        </w:rPr>
        <w:t>of browning</w:t>
      </w:r>
      <w:r w:rsidR="00202DE3" w:rsidRPr="00A70C3D">
        <w:rPr>
          <w:rFonts w:ascii="Arial" w:eastAsia="Calibri" w:hAnsi="Arial" w:cs="Arial"/>
          <w:color w:val="000000" w:themeColor="text1"/>
          <w:sz w:val="24"/>
          <w:szCs w:val="24"/>
        </w:rPr>
        <w:t xml:space="preserve"> </w:t>
      </w:r>
      <w:r w:rsidR="00202DE3" w:rsidRPr="001B539E">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{"citationItems":[{"id":"ITEM-1","itemData":{"ISSN":"0022300X","author":[{"dropping-particle":"","family":"Decraemer","given":"Wilfrida","non-dropping-particle":"","parse-names":false,"suffix":""},{"dropping-particle":"","family":"Robbins","given":"R. T.","non-dropping-particle":"","parse-names":false,"suffix":""}],"container-title":"Journal of Nematology","id":"ITEM-1","issue":"4","issued":{"date-parts":[["2007"]]},"page":"295-297","title":"The who, what and where of longidoridae and trichodoridae","type":"article-journal","volume":"39"},"uris":["http://www.mendeley.com/documents/?uuid=41103f79-9bfa-400e-bd82-60e30bd3c2e3"]}],"mendeley":{"formattedCitation":"(Decraemer and Robbins, 2007)","plainTextFormattedCitation":"(Decraemer and Robbins, 2007)","previouslyFormattedCitation":"(Decraemer and Robbins, 2007)"},"properties":{"noteIndex":0},"schema":"https://github.com/citation-style-language/schema/raw/master/csl-citation.json"}</w:instrText>
      </w:r>
      <w:r w:rsidR="00202DE3" w:rsidRPr="001B539E">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(Decraemer and Robbins, 2007)</w:t>
      </w:r>
      <w:r w:rsidR="00202DE3" w:rsidRPr="001B539E">
        <w:rPr>
          <w:rFonts w:ascii="Arial" w:eastAsia="Calibri" w:hAnsi="Arial" w:cs="Arial"/>
          <w:color w:val="000000" w:themeColor="text1"/>
          <w:sz w:val="24"/>
          <w:szCs w:val="24"/>
        </w:rPr>
        <w:fldChar w:fldCharType="end"/>
      </w:r>
      <w:r w:rsidR="00E22FA8" w:rsidRPr="002B3D8A">
        <w:rPr>
          <w:rFonts w:ascii="Arial" w:eastAsia="Calibri" w:hAnsi="Arial" w:cs="Arial"/>
          <w:color w:val="000000" w:themeColor="text1"/>
          <w:sz w:val="24"/>
          <w:szCs w:val="24"/>
        </w:rPr>
        <w:t xml:space="preserve">. </w:t>
      </w:r>
      <w:r w:rsidR="00E22FA8" w:rsidRPr="002B3D8A">
        <w:rPr>
          <w:rFonts w:ascii="Arial" w:eastAsia="Calibri" w:hAnsi="Arial" w:cs="Arial"/>
          <w:i/>
          <w:color w:val="000000" w:themeColor="text1"/>
          <w:sz w:val="24"/>
          <w:szCs w:val="24"/>
        </w:rPr>
        <w:t>T.</w:t>
      </w:r>
      <w:r w:rsidR="00997478">
        <w:rPr>
          <w:rFonts w:ascii="Arial" w:eastAsia="Calibri" w:hAnsi="Arial" w:cs="Arial"/>
          <w:i/>
          <w:color w:val="000000" w:themeColor="text1"/>
          <w:sz w:val="24"/>
          <w:szCs w:val="24"/>
        </w:rPr>
        <w:t xml:space="preserve"> </w:t>
      </w:r>
      <w:r w:rsidR="00E22FA8" w:rsidRPr="002B3D8A">
        <w:rPr>
          <w:rFonts w:ascii="Arial" w:eastAsia="Calibri" w:hAnsi="Arial" w:cs="Arial"/>
          <w:i/>
          <w:color w:val="000000" w:themeColor="text1"/>
          <w:sz w:val="24"/>
          <w:szCs w:val="24"/>
        </w:rPr>
        <w:t>proximus</w:t>
      </w:r>
      <w:r w:rsidR="00E22FA8" w:rsidRPr="002B3D8A">
        <w:rPr>
          <w:rFonts w:ascii="Arial" w:eastAsia="Calibri" w:hAnsi="Arial" w:cs="Arial"/>
          <w:color w:val="000000" w:themeColor="text1"/>
          <w:sz w:val="24"/>
          <w:szCs w:val="24"/>
        </w:rPr>
        <w:t xml:space="preserve"> caused chloro</w:t>
      </w:r>
      <w:r w:rsidR="00997478">
        <w:rPr>
          <w:rFonts w:ascii="Arial" w:eastAsia="Calibri" w:hAnsi="Arial" w:cs="Arial"/>
          <w:color w:val="000000" w:themeColor="text1"/>
          <w:sz w:val="24"/>
          <w:szCs w:val="24"/>
        </w:rPr>
        <w:t>sis</w:t>
      </w:r>
      <w:r w:rsidR="00E22FA8" w:rsidRPr="002B3D8A">
        <w:rPr>
          <w:rFonts w:ascii="Arial" w:eastAsia="Calibri" w:hAnsi="Arial" w:cs="Arial"/>
          <w:color w:val="000000" w:themeColor="text1"/>
          <w:sz w:val="24"/>
          <w:szCs w:val="24"/>
        </w:rPr>
        <w:t xml:space="preserve"> to St. Augustine grass and reduced the growth</w:t>
      </w:r>
      <w:r w:rsidR="00997478">
        <w:rPr>
          <w:rFonts w:ascii="Arial" w:eastAsia="Calibri" w:hAnsi="Arial" w:cs="Arial"/>
          <w:color w:val="000000" w:themeColor="text1"/>
          <w:sz w:val="24"/>
          <w:szCs w:val="24"/>
        </w:rPr>
        <w:t>;</w:t>
      </w:r>
      <w:r w:rsidR="00E22FA8" w:rsidRPr="002B3D8A">
        <w:rPr>
          <w:rFonts w:ascii="Arial" w:eastAsia="Calibri" w:hAnsi="Arial" w:cs="Arial"/>
          <w:color w:val="000000" w:themeColor="text1"/>
          <w:sz w:val="24"/>
          <w:szCs w:val="24"/>
        </w:rPr>
        <w:t xml:space="preserve"> root weight was greatly reduced by the nematode</w:t>
      </w:r>
      <w:r w:rsidR="00997478">
        <w:rPr>
          <w:rFonts w:ascii="Arial" w:eastAsia="Calibri" w:hAnsi="Arial" w:cs="Arial"/>
          <w:color w:val="000000" w:themeColor="text1"/>
          <w:sz w:val="24"/>
          <w:szCs w:val="24"/>
        </w:rPr>
        <w:t>.</w:t>
      </w:r>
      <w:r w:rsidR="00E22FA8" w:rsidRPr="002B3D8A">
        <w:rPr>
          <w:rFonts w:ascii="Arial" w:eastAsia="Calibri" w:hAnsi="Arial" w:cs="Arial"/>
          <w:color w:val="000000" w:themeColor="text1"/>
          <w:sz w:val="24"/>
          <w:szCs w:val="24"/>
        </w:rPr>
        <w:t xml:space="preserve"> An examination of infected roots by </w:t>
      </w:r>
      <w:r w:rsidR="00E22FA8" w:rsidRPr="002B3D8A">
        <w:rPr>
          <w:rFonts w:ascii="Arial" w:eastAsia="Calibri" w:hAnsi="Arial" w:cs="Arial"/>
          <w:i/>
          <w:color w:val="000000" w:themeColor="text1"/>
          <w:sz w:val="24"/>
          <w:szCs w:val="24"/>
        </w:rPr>
        <w:t xml:space="preserve">T.proximus </w:t>
      </w:r>
      <w:r w:rsidR="00E22FA8" w:rsidRPr="002B3D8A">
        <w:rPr>
          <w:rFonts w:ascii="Arial" w:eastAsia="Calibri" w:hAnsi="Arial" w:cs="Arial"/>
          <w:color w:val="000000" w:themeColor="text1"/>
          <w:sz w:val="24"/>
          <w:szCs w:val="24"/>
        </w:rPr>
        <w:t xml:space="preserve">showed that lesions were irregular in shape and were deeper in the root tissues </w:t>
      </w:r>
      <w:r w:rsidR="00E22FA8" w:rsidRPr="002B3D8A">
        <w:rPr>
          <w:rFonts w:ascii="Arial" w:eastAsia="Calibri" w:hAnsi="Arial" w:cs="Arial"/>
          <w:color w:val="000000" w:themeColor="text1"/>
          <w:sz w:val="24"/>
          <w:szCs w:val="24"/>
        </w:rPr>
        <w:fldChar w:fldCharType="begin" w:fldLock="1"/>
      </w:r>
      <w:r w:rsidR="00CE46CB">
        <w:rPr>
          <w:rFonts w:ascii="Arial" w:eastAsia="Calibri" w:hAnsi="Arial" w:cs="Arial"/>
          <w:color w:val="000000" w:themeColor="text1"/>
          <w:sz w:val="24"/>
          <w:szCs w:val="24"/>
        </w:rPr>
        <w:instrText>ADDIN CSL_CITATION {"citationItems":[{"id":"ITEM-1","itemData":{"author":[{"dropping-particle":"","family":"Rhoades","given":"HoL","non-dropping-particle":"","parse-names":false,"suffix":""}],"container-title":"Plant Disease Reporter","id":"ITEM-1","issue":"3","issued":{"date-parts":[["1965"]]},"page":"259-262","title":"Parasitism and pathogenicity of Trichodorus proximus to St. Augustine grass.","type":"article-journal","volume":"49"},"uris":["http://www.mendeley.com/documents/?uuid=f70e8b0b-d383-42d5-ad6e-b7b25dd7c569"]}],"mendeley":{"formattedCitation":"(Rhoades, 1965)","plainTextFormattedCitation":"(Rhoades, 1965)","previouslyFormattedCitation":"(Rhoades, 1965)"},"properties":{"noteIndex":0},"schema":"https://github.com/citation-style-language/schema/raw/master/csl-citation.json"}</w:instrText>
      </w:r>
      <w:r w:rsidR="00E22FA8" w:rsidRPr="002B3D8A">
        <w:rPr>
          <w:rFonts w:ascii="Arial" w:eastAsia="Calibri" w:hAnsi="Arial" w:cs="Arial"/>
          <w:color w:val="000000" w:themeColor="text1"/>
          <w:sz w:val="24"/>
          <w:szCs w:val="24"/>
        </w:rPr>
        <w:fldChar w:fldCharType="separate"/>
      </w:r>
      <w:r w:rsidR="00CE46CB" w:rsidRPr="00CE46CB">
        <w:rPr>
          <w:rFonts w:ascii="Arial" w:eastAsia="Calibri" w:hAnsi="Arial" w:cs="Arial"/>
          <w:noProof/>
          <w:color w:val="000000" w:themeColor="text1"/>
          <w:sz w:val="24"/>
          <w:szCs w:val="24"/>
        </w:rPr>
        <w:t>(Rhoades, 1965)</w:t>
      </w:r>
      <w:r w:rsidR="00E22FA8" w:rsidRPr="002B3D8A">
        <w:rPr>
          <w:rFonts w:ascii="Arial" w:eastAsia="Calibri" w:hAnsi="Arial" w:cs="Arial"/>
          <w:color w:val="000000" w:themeColor="text1"/>
          <w:sz w:val="24"/>
          <w:szCs w:val="24"/>
        </w:rPr>
        <w:fldChar w:fldCharType="end"/>
      </w:r>
      <w:r w:rsidR="00E22FA8" w:rsidRPr="002B3D8A">
        <w:rPr>
          <w:rFonts w:ascii="Arial" w:eastAsia="Calibri" w:hAnsi="Arial" w:cs="Arial"/>
          <w:color w:val="000000" w:themeColor="text1"/>
          <w:sz w:val="24"/>
          <w:szCs w:val="24"/>
        </w:rPr>
        <w:t xml:space="preserve">. Studies conducted to determine the pathogenicity of </w:t>
      </w:r>
      <w:r w:rsidR="00E22FA8" w:rsidRPr="002B3D8A">
        <w:rPr>
          <w:rFonts w:ascii="Arial" w:eastAsia="Calibri" w:hAnsi="Arial" w:cs="Arial"/>
          <w:i/>
          <w:color w:val="000000" w:themeColor="text1"/>
          <w:sz w:val="24"/>
          <w:szCs w:val="24"/>
        </w:rPr>
        <w:t>Paratrichodorus christie</w:t>
      </w:r>
      <w:r w:rsidR="00E22FA8" w:rsidRPr="002B3D8A">
        <w:rPr>
          <w:rFonts w:ascii="Arial" w:eastAsia="Calibri" w:hAnsi="Arial" w:cs="Arial"/>
          <w:color w:val="000000" w:themeColor="text1"/>
          <w:sz w:val="24"/>
          <w:szCs w:val="24"/>
        </w:rPr>
        <w:t xml:space="preserve"> on onions showed that symptoms caused by the nematodes on onion, were as a result of longitudinal and radial increase of the cortex and that earlier damage may have resulted from abnormal cell maturation near the apical meristems </w:t>
      </w:r>
      <w:r w:rsidR="00E22FA8"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uthor":[{"dropping-particle":"","family":"Hoff","given":"J.K.","non-dropping-particle":"","parse-names":false,"suffix":""},{"dropping-particle":"","family":"Mai","given":"W.F.","non-dropping-particle":"","parse-names":false,"suffix":""}],"container-title":"PLANT DISEASE REPORTER","id":"ITEM-1","issue":"1","issued":{"date-parts":[["1962"]]},"page":"24-25","title":"Hoff, J. K., and Mai, W. F., Pathogenicity of the stubby root nematode to onion, Plant Dis. Reptr. 46 (1): 24,1962.","type":"article-journal","volume":"46"},"uris":["http://www.mendeley.com/documents/?uuid=fdd01f58-4d3f-3dcd-be57-96d54862ff9b"]}],"mendeley":{"formattedCitation":"(Hoff and Mai, 1962)","plainTextFormattedCitation":"(Hoff and Mai, 1962)","previouslyFormattedCitation":"(Hoff and Mai, 1962)"},"properties":{"noteIndex":0},"schema":"https://github.com/citation-style-language/schema/raw/master/csl-citation.json"}</w:instrText>
      </w:r>
      <w:r w:rsidR="00E22FA8"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(Hoff and Mai, 1962)</w:t>
      </w:r>
      <w:r w:rsidR="00E22FA8" w:rsidRPr="002B3D8A">
        <w:rPr>
          <w:rFonts w:ascii="Arial" w:eastAsia="Calibri" w:hAnsi="Arial" w:cs="Arial"/>
          <w:color w:val="000000" w:themeColor="text1"/>
          <w:sz w:val="24"/>
          <w:szCs w:val="24"/>
        </w:rPr>
        <w:fldChar w:fldCharType="end"/>
      </w:r>
    </w:p>
    <w:p w14:paraId="207B75BF" w14:textId="5A69D3D9" w:rsidR="00E22FA8" w:rsidRDefault="001A0616" w:rsidP="004A7DDE">
      <w:pPr>
        <w:pStyle w:val="Heading3"/>
        <w:spacing w:line="360" w:lineRule="auto"/>
        <w:rPr>
          <w:rFonts w:ascii="Arial" w:eastAsia="Calibri" w:hAnsi="Arial" w:cs="Arial"/>
          <w:b/>
          <w:color w:val="000000" w:themeColor="text1"/>
          <w:sz w:val="24"/>
          <w:szCs w:val="24"/>
        </w:rPr>
      </w:pPr>
      <w:bookmarkStart w:id="24" w:name="_Toc110341280"/>
      <w:r w:rsidRPr="002B3D8A">
        <w:rPr>
          <w:rFonts w:ascii="Arial" w:eastAsia="Calibri" w:hAnsi="Arial" w:cs="Arial"/>
          <w:b/>
          <w:color w:val="000000" w:themeColor="text1"/>
          <w:sz w:val="24"/>
          <w:szCs w:val="24"/>
        </w:rPr>
        <w:lastRenderedPageBreak/>
        <w:t>1.2.</w:t>
      </w:r>
      <w:r w:rsidR="00F52458">
        <w:rPr>
          <w:rFonts w:ascii="Arial" w:eastAsia="Calibri" w:hAnsi="Arial" w:cs="Arial"/>
          <w:b/>
          <w:color w:val="000000" w:themeColor="text1"/>
          <w:sz w:val="24"/>
          <w:szCs w:val="24"/>
        </w:rPr>
        <w:t>8</w:t>
      </w:r>
      <w:r w:rsidRPr="002B3D8A">
        <w:rPr>
          <w:rFonts w:ascii="Arial" w:eastAsia="Calibri" w:hAnsi="Arial" w:cs="Arial"/>
          <w:b/>
          <w:color w:val="000000" w:themeColor="text1"/>
          <w:sz w:val="24"/>
          <w:szCs w:val="24"/>
        </w:rPr>
        <w:t xml:space="preserve"> </w:t>
      </w:r>
      <w:r w:rsidR="00E22FA8" w:rsidRPr="002B3D8A">
        <w:rPr>
          <w:rFonts w:ascii="Arial" w:eastAsia="Calibri" w:hAnsi="Arial" w:cs="Arial"/>
          <w:b/>
          <w:color w:val="000000" w:themeColor="text1"/>
          <w:sz w:val="24"/>
          <w:szCs w:val="24"/>
        </w:rPr>
        <w:t xml:space="preserve">Docking disorder in </w:t>
      </w:r>
      <w:r w:rsidR="00FF0D5F" w:rsidRPr="002B3D8A">
        <w:rPr>
          <w:rFonts w:ascii="Arial" w:eastAsia="Calibri" w:hAnsi="Arial" w:cs="Arial"/>
          <w:b/>
          <w:color w:val="000000" w:themeColor="text1"/>
          <w:sz w:val="24"/>
          <w:szCs w:val="24"/>
        </w:rPr>
        <w:t>sugar beet</w:t>
      </w:r>
      <w:bookmarkEnd w:id="24"/>
      <w:r w:rsidR="00E22FA8" w:rsidRPr="002B3D8A">
        <w:rPr>
          <w:rFonts w:ascii="Arial" w:eastAsia="Calibri" w:hAnsi="Arial" w:cs="Arial"/>
          <w:b/>
          <w:color w:val="000000" w:themeColor="text1"/>
          <w:sz w:val="24"/>
          <w:szCs w:val="24"/>
        </w:rPr>
        <w:t xml:space="preserve"> </w:t>
      </w:r>
    </w:p>
    <w:p w14:paraId="30CE5AB2" w14:textId="6A1BFD07" w:rsidR="00487AD5" w:rsidRPr="002B3D8A" w:rsidRDefault="6AC1B2C3" w:rsidP="00616CDC">
      <w:pPr>
        <w:tabs>
          <w:tab w:val="left" w:pos="3969"/>
        </w:tabs>
        <w:spacing w:line="360" w:lineRule="auto"/>
        <w:ind w:left="-567"/>
        <w:contextualSpacing/>
        <w:jc w:val="both"/>
        <w:rPr>
          <w:rFonts w:ascii="Arial" w:eastAsia="Calibri" w:hAnsi="Arial" w:cs="Arial"/>
          <w:color w:val="000000" w:themeColor="text1"/>
          <w:sz w:val="24"/>
          <w:szCs w:val="24"/>
        </w:rPr>
      </w:pPr>
      <w:r w:rsidRPr="6AC1B2C3">
        <w:rPr>
          <w:rFonts w:ascii="Arial" w:eastAsia="Calibri" w:hAnsi="Arial" w:cs="Arial"/>
          <w:color w:val="000000" w:themeColor="text1"/>
          <w:sz w:val="24"/>
          <w:szCs w:val="24"/>
        </w:rPr>
        <w:t xml:space="preserve">Nematodes in the family Trichodoridae are known to cause damage to economically important crops by either feeding directly on the roots </w:t>
      </w:r>
      <w:r w:rsidR="00BF7D78" w:rsidRPr="6AC1B2C3">
        <w:rPr>
          <w:rFonts w:ascii="Arial" w:eastAsia="Calibri" w:hAnsi="Arial" w:cs="Arial"/>
          <w:color w:val="000000" w:themeColor="text1"/>
          <w:sz w:val="24"/>
          <w:szCs w:val="24"/>
        </w:rPr>
        <w:fldChar w:fldCharType="begin" w:fldLock="1"/>
      </w:r>
      <w:r w:rsidR="00BF7D78" w:rsidRPr="6AC1B2C3">
        <w:rPr>
          <w:rFonts w:ascii="Arial" w:eastAsia="Calibri" w:hAnsi="Arial" w:cs="Arial"/>
          <w:color w:val="000000" w:themeColor="text1"/>
          <w:sz w:val="24"/>
          <w:szCs w:val="24"/>
        </w:rPr>
        <w:instrText>ADDIN CSL_CITATION {"citationItems":[{"id":"ITEM-1","itemData":{"author":[{"dropping-particle":"","family":"Christie","given":"J.R.","non-dropping-particle":"","parse-names":false,"suffix":""},{"dropping-particle":"","family":"Perry","given":"V.G.","non-dropping-particle":"","parse-names":false,"suffix":""}],"container-title":"Science","id":"ITEM-1","issue":"2939","issued":{"date-parts":[["1951"]]},"page":"491-493","title":"A Root Disease of Plants Caused by a Nematode of the Genus Trichodorus","type":"article-journal","volume":"113"},"uris":["http://www.mendeley.com/documents/?uuid=a9dad506-e7f5-4f7b-912b-40f949ec7020"]}],"mendeley":{"formattedCitation":"(Christie and Perry, 1951)","plainTextFormattedCitation":"(Christie and Perry, 1951)","previouslyFormattedCitation":"(Christie and Perry, 1951)"},"properties":{"noteIndex":0},"schema":"https://github.com/citation-style-language/schema/raw/master/csl-citation.json"}</w:instrText>
      </w:r>
      <w:r w:rsidR="00BF7D78" w:rsidRPr="6AC1B2C3">
        <w:rPr>
          <w:rFonts w:ascii="Arial" w:eastAsia="Calibri" w:hAnsi="Arial" w:cs="Arial"/>
          <w:color w:val="000000" w:themeColor="text1"/>
          <w:sz w:val="24"/>
          <w:szCs w:val="24"/>
        </w:rPr>
        <w:fldChar w:fldCharType="separate"/>
      </w:r>
      <w:r w:rsidRPr="6AC1B2C3">
        <w:rPr>
          <w:rFonts w:ascii="Arial" w:eastAsia="Calibri" w:hAnsi="Arial" w:cs="Arial"/>
          <w:noProof/>
          <w:color w:val="000000" w:themeColor="text1"/>
          <w:sz w:val="24"/>
          <w:szCs w:val="24"/>
        </w:rPr>
        <w:t>(Christie and Perry, 1951)</w:t>
      </w:r>
      <w:r w:rsidR="00BF7D78" w:rsidRPr="6AC1B2C3">
        <w:rPr>
          <w:rFonts w:ascii="Arial" w:eastAsia="Calibri" w:hAnsi="Arial" w:cs="Arial"/>
          <w:color w:val="000000" w:themeColor="text1"/>
          <w:sz w:val="24"/>
          <w:szCs w:val="24"/>
        </w:rPr>
        <w:fldChar w:fldCharType="end"/>
      </w:r>
      <w:r w:rsidRPr="6AC1B2C3">
        <w:rPr>
          <w:rFonts w:ascii="Arial" w:eastAsia="Calibri" w:hAnsi="Arial" w:cs="Arial"/>
          <w:color w:val="000000" w:themeColor="text1"/>
          <w:sz w:val="24"/>
          <w:szCs w:val="24"/>
        </w:rPr>
        <w:t xml:space="preserve"> or indirectly through transmission of three viruses belonging to the tobravirus group namely: tobacco rattle virus (TRV) </w:t>
      </w:r>
      <w:r w:rsidR="00BF7D78" w:rsidRPr="6AC1B2C3">
        <w:rPr>
          <w:rFonts w:ascii="Arial" w:eastAsia="Calibri" w:hAnsi="Arial" w:cs="Arial"/>
          <w:b/>
          <w:bCs/>
          <w:color w:val="000000" w:themeColor="text1"/>
          <w:sz w:val="24"/>
          <w:szCs w:val="24"/>
        </w:rPr>
        <w:fldChar w:fldCharType="begin" w:fldLock="1"/>
      </w:r>
      <w:r w:rsidR="00BF7D78" w:rsidRPr="6AC1B2C3">
        <w:rPr>
          <w:rFonts w:ascii="Arial" w:eastAsia="Calibri" w:hAnsi="Arial" w:cs="Arial"/>
          <w:b/>
          <w:bCs/>
          <w:color w:val="000000" w:themeColor="text1"/>
          <w:sz w:val="24"/>
          <w:szCs w:val="24"/>
        </w:rPr>
        <w:instrText>ADDIN CSL_CITATION {"citationItems":[{"id":"ITEM-1","itemData":{"DOI":"10.1111/j.1744-7348.1976.tb01780.x","ISSN":"17447348","abstract":"This survey describes the distribution of trichodorid nematodes in Great Britain. Twelve species were recorded, including the newly described species Trichodorus hooperi Loof, 1973 and the first British record of T. sparsus Szczygiel, 1968. In the survey 3614 samples and records were analysed using the Statistical Package for Social Sciences computer programme. Seven hundred and ninety</w:instrText>
      </w:r>
      <w:r w:rsidR="00BF7D78" w:rsidRPr="6AC1B2C3">
        <w:rPr>
          <w:rFonts w:ascii="Cambria Math" w:eastAsia="Calibri" w:hAnsi="Cambria Math" w:cs="Cambria Math"/>
          <w:b/>
          <w:bCs/>
          <w:color w:val="000000" w:themeColor="text1"/>
          <w:sz w:val="24"/>
          <w:szCs w:val="24"/>
        </w:rPr>
        <w:instrText>‐</w:instrText>
      </w:r>
      <w:r w:rsidR="00BF7D78" w:rsidRPr="6AC1B2C3">
        <w:rPr>
          <w:rFonts w:ascii="Arial" w:eastAsia="Calibri" w:hAnsi="Arial" w:cs="Arial"/>
          <w:b/>
          <w:bCs/>
          <w:color w:val="000000" w:themeColor="text1"/>
          <w:sz w:val="24"/>
          <w:szCs w:val="24"/>
        </w:rPr>
        <w:instrText>two positive sites, containing 971 trichodorid populations, were located. Outline maps show the geographical distribution of each species. T. primitivus de Man, 1880 was the most commonly found species and had a cosmopolitan distribution. Paratrichodorus pachy</w:instrText>
      </w:r>
      <w:r w:rsidR="00BF7D78" w:rsidRPr="6AC1B2C3">
        <w:rPr>
          <w:rFonts w:ascii="Cambria Math" w:eastAsia="Calibri" w:hAnsi="Cambria Math" w:cs="Cambria Math"/>
          <w:b/>
          <w:bCs/>
          <w:color w:val="000000" w:themeColor="text1"/>
          <w:sz w:val="24"/>
          <w:szCs w:val="24"/>
        </w:rPr>
        <w:instrText>‐</w:instrText>
      </w:r>
      <w:r w:rsidR="00BF7D78" w:rsidRPr="6AC1B2C3">
        <w:rPr>
          <w:rFonts w:ascii="Arial" w:eastAsia="Calibri" w:hAnsi="Arial" w:cs="Arial"/>
          <w:b/>
          <w:bCs/>
          <w:color w:val="000000" w:themeColor="text1"/>
          <w:sz w:val="24"/>
          <w:szCs w:val="24"/>
        </w:rPr>
        <w:instrText>dermus Seinhorst, 1954 was the next most prevalent and occurred mostly in eastern England and Scotland. Populations of the other ten species were more restricted in both number and distribution. The distribution of trichodorid spp. with respect to altitude, soil type, pH and primary vegetation was tested using chi</w:instrText>
      </w:r>
      <w:r w:rsidR="00BF7D78" w:rsidRPr="6AC1B2C3">
        <w:rPr>
          <w:rFonts w:ascii="Cambria Math" w:eastAsia="Calibri" w:hAnsi="Cambria Math" w:cs="Cambria Math"/>
          <w:b/>
          <w:bCs/>
          <w:color w:val="000000" w:themeColor="text1"/>
          <w:sz w:val="24"/>
          <w:szCs w:val="24"/>
        </w:rPr>
        <w:instrText>‐</w:instrText>
      </w:r>
      <w:r w:rsidR="00BF7D78" w:rsidRPr="6AC1B2C3">
        <w:rPr>
          <w:rFonts w:ascii="Arial" w:eastAsia="Calibri" w:hAnsi="Arial" w:cs="Arial"/>
          <w:b/>
          <w:bCs/>
          <w:color w:val="000000" w:themeColor="text1"/>
          <w:sz w:val="24"/>
          <w:szCs w:val="24"/>
        </w:rPr>
        <w:instrText>squared contingency tests. A significant relationship between nematodes and environmental factors was found in all cases examined. However, interactions were found between several environmental factors and further tests were applied to study the independence of the species distributions with respect to these interactions. Copyright © 1976, Wiley Blackwell. All rights reserved","author":[{"dropping-particle":"","family":"Alphey","given":"T. J.W.","non-dropping-particle":"","parse-names":false,"suffix":""},{"dropping-particle":"","family":"Boag","given":"B.","non-dropping-particle":"","parse-names":false,"suffix":""}],"container-title":"Annals of Applied Biology","id":"ITEM-1","issue":"3","issued":{"date-parts":[["1976"]]},"page":"371-381","title":"Distribution of trichodorid nematodes in Great Britain","type":"article-journal","volume":"84"},"uris":["http://www.mendeley.com/documents/?uuid=e0936ad2-ed9a-3964-b9a2-6618f1fad6bd"]}],"mendeley":{"formattedCitation":"(Alphey and Boag, 1976)","plainTextFormattedCitation":"(Alphey and Boag, 1976)","previouslyFormattedCitation":"(Alphey and Boag, 1976)"},"properties":{"noteIndex":0},"schema":"https://github.com/citation-style-language/schema/raw/master/csl-citation.json"}</w:instrText>
      </w:r>
      <w:r w:rsidR="00BF7D78" w:rsidRPr="6AC1B2C3">
        <w:rPr>
          <w:rFonts w:ascii="Arial" w:eastAsia="Calibri" w:hAnsi="Arial" w:cs="Arial"/>
          <w:b/>
          <w:bCs/>
          <w:color w:val="000000" w:themeColor="text1"/>
          <w:sz w:val="24"/>
          <w:szCs w:val="24"/>
        </w:rPr>
        <w:fldChar w:fldCharType="separate"/>
      </w:r>
      <w:r w:rsidRPr="6AC1B2C3">
        <w:rPr>
          <w:rFonts w:ascii="Arial" w:eastAsia="Calibri" w:hAnsi="Arial" w:cs="Arial"/>
          <w:noProof/>
          <w:color w:val="000000" w:themeColor="text1"/>
          <w:sz w:val="24"/>
          <w:szCs w:val="24"/>
        </w:rPr>
        <w:t>(Alphey and Boag, 1976)</w:t>
      </w:r>
      <w:r w:rsidR="00BF7D78" w:rsidRPr="6AC1B2C3">
        <w:rPr>
          <w:rFonts w:ascii="Arial" w:eastAsia="Calibri" w:hAnsi="Arial" w:cs="Arial"/>
          <w:b/>
          <w:bCs/>
          <w:color w:val="000000" w:themeColor="text1"/>
          <w:sz w:val="24"/>
          <w:szCs w:val="24"/>
        </w:rPr>
        <w:fldChar w:fldCharType="end"/>
      </w:r>
      <w:r w:rsidRPr="6AC1B2C3">
        <w:rPr>
          <w:rFonts w:ascii="Arial" w:eastAsia="Calibri" w:hAnsi="Arial" w:cs="Arial"/>
          <w:color w:val="000000" w:themeColor="text1"/>
          <w:sz w:val="24"/>
          <w:szCs w:val="24"/>
        </w:rPr>
        <w:t xml:space="preserve">, pea early browning virus (PEBV) </w:t>
      </w:r>
      <w:r w:rsidR="00BF7D78" w:rsidRPr="6AC1B2C3">
        <w:rPr>
          <w:rFonts w:ascii="Arial" w:eastAsia="Calibri" w:hAnsi="Arial" w:cs="Arial"/>
          <w:color w:val="000000" w:themeColor="text1"/>
          <w:sz w:val="24"/>
          <w:szCs w:val="24"/>
        </w:rPr>
        <w:fldChar w:fldCharType="begin" w:fldLock="1"/>
      </w:r>
      <w:r w:rsidR="00BF7D78" w:rsidRPr="6AC1B2C3">
        <w:rPr>
          <w:rFonts w:ascii="Arial" w:eastAsia="Calibri" w:hAnsi="Arial" w:cs="Arial"/>
          <w:color w:val="000000" w:themeColor="text1"/>
          <w:sz w:val="24"/>
          <w:szCs w:val="24"/>
        </w:rPr>
        <w:instrText>ADDIN CSL_CITATION {"citationItems":[{"id":"ITEM-1","itemData":{"author":[{"dropping-particle":"","family":"Hoff","given":"J.K.","non-dropping-particle":"","parse-names":false,"suffix":""},{"dropping-particle":"","family":"Mai","given":"W.F.","non-dropping-particle":"","parse-names":false,"suffix":""}],"container-title":"PLANT DISEASE REPORTER","id":"ITEM-1","issue":"1","issued":{"date-parts":[["1962"]]},"page":"24-25","title":"Hoff, J. K., and Mai, W. F., Pathogenicity of the stubby root nematode to onion, Plant Dis. Reptr. 46 (1): 24,1962.","type":"article-journal","volume":"46"},"uris":["http://www.mendeley.com/documents/?uuid=fdd01f58-4d3f-3dcd-be57-96d54862ff9b"]}],"mendeley":{"formattedCitation":"(Hoff and Mai, 1962)","plainTextFormattedCitation":"(Hoff and Mai, 1962)","previouslyFormattedCitation":"(Hoff and Mai, 1962)"},"properties":{"noteIndex":0},"schema":"https://github.com/citation-style-language/schema/raw/master/csl-citation.json"}</w:instrText>
      </w:r>
      <w:r w:rsidR="00BF7D78" w:rsidRPr="6AC1B2C3">
        <w:rPr>
          <w:rFonts w:ascii="Arial" w:eastAsia="Calibri" w:hAnsi="Arial" w:cs="Arial"/>
          <w:color w:val="000000" w:themeColor="text1"/>
          <w:sz w:val="24"/>
          <w:szCs w:val="24"/>
        </w:rPr>
        <w:fldChar w:fldCharType="separate"/>
      </w:r>
      <w:r w:rsidRPr="6AC1B2C3">
        <w:rPr>
          <w:rFonts w:ascii="Arial" w:eastAsia="Calibri" w:hAnsi="Arial" w:cs="Arial"/>
          <w:noProof/>
          <w:color w:val="000000" w:themeColor="text1"/>
          <w:sz w:val="24"/>
          <w:szCs w:val="24"/>
        </w:rPr>
        <w:t>(Hoff and Mai, 1962)</w:t>
      </w:r>
      <w:r w:rsidR="00BF7D78" w:rsidRPr="6AC1B2C3">
        <w:rPr>
          <w:rFonts w:ascii="Arial" w:eastAsia="Calibri" w:hAnsi="Arial" w:cs="Arial"/>
          <w:color w:val="000000" w:themeColor="text1"/>
          <w:sz w:val="24"/>
          <w:szCs w:val="24"/>
        </w:rPr>
        <w:fldChar w:fldCharType="end"/>
      </w:r>
      <w:r w:rsidRPr="6AC1B2C3">
        <w:rPr>
          <w:rFonts w:ascii="Arial" w:eastAsia="Calibri" w:hAnsi="Arial" w:cs="Arial"/>
          <w:color w:val="000000" w:themeColor="text1"/>
          <w:sz w:val="24"/>
          <w:szCs w:val="24"/>
        </w:rPr>
        <w:t xml:space="preserve"> and pepper ringspot virus (PRV) </w:t>
      </w:r>
      <w:r w:rsidR="00BF7D78" w:rsidRPr="6AC1B2C3">
        <w:rPr>
          <w:rFonts w:ascii="Arial" w:eastAsia="Calibri" w:hAnsi="Arial" w:cs="Arial"/>
          <w:color w:val="000000" w:themeColor="text1"/>
          <w:sz w:val="24"/>
          <w:szCs w:val="24"/>
        </w:rPr>
        <w:fldChar w:fldCharType="begin" w:fldLock="1"/>
      </w:r>
      <w:r w:rsidR="00BF7D78" w:rsidRPr="6AC1B2C3">
        <w:rPr>
          <w:rFonts w:ascii="Arial" w:eastAsia="Calibri" w:hAnsi="Arial" w:cs="Arial"/>
          <w:color w:val="000000" w:themeColor="text1"/>
          <w:sz w:val="24"/>
          <w:szCs w:val="24"/>
        </w:rPr>
        <w:instrText>ADDIN CSL_CITATION {"citationItems":[{"id":"ITEM-1","itemData":{"DOI":"10.1007/s11230-018-9780-6","ISSN":"15735192","PMID":"29450810","abstract":"Trichodorus zanjanensis n. sp., collected from the rhizosphere of wild almond tree (Amygdalus scoparia Spach) in Zanjan Province, Iran, is described and illustrated based on morphological and molecular data. The new species is characterised by its body length (772–819 μm in males; 704–953 μm in females), and in having medium-sized onchiostyle (60–64 μm in males; 59–65 μm in females) and a short dorsal overlap of the intestine. Males of the new species have two ventromedian cervical papillae posterior to onchiostyle region, ventrally curved spicules, smooth, long and wide manubrium, gradually continuing in a narrower anterior part of the blade provided with bristles and marked from the wider and transversely striated main part of the blade, tapered towards distal end, three ventromedian precloacal supplements, the posterior one (SP1) situated at the level of anterior blade and gubernaculum situated at 24–25 μm from the cloaca. Females have one pair of sublateral body pores in the vulva region, medium rounded triangular to oval sclerotised vaginal pieces in lateral view, and pear-shaped vagina. The new species resembles T. persicus De Waele &amp; Sturhan, 1987, T. minzi De Waele &amp; Cohn, 1992 and T. taylori De Waele, Mancini, Roca &amp; Lamberti, 1982. The results of morphological and morphometric comparisons and molecular data based on sequences of the partial 18S and D2-D3 expansion segments of 28S rRNA genes, clearly separated T. zanjanensis n. sp. from these known species and supported the description of T. zanjanensis n. sp. as a new species.","author":[{"dropping-particle":"","family":"Asghari","given":"Ramezan","non-dropping-particle":"","parse-names":false,"suffix":""},{"dropping-particle":"","family":"Eskandari","given":"Ali","non-dropping-particle":"","parse-names":false,"suffix":""},{"dropping-particle":"","family":"Tanha Maafi","given":"Zahra","non-dropping-particle":"","parse-names":false,"suffix":""},{"dropping-particle":"","family":"Decraemer","given":"Wilfrida","non-dropping-particle":"","parse-names":false,"suffix":""}],"container-title":"Systematic Parasitology","id":"ITEM-1","issue":"2-3","issued":{"date-parts":[["2018","3","1"]]},"page":"257-269","publisher":"Springer Netherlands","title":"Characterisation of a new species of Trichodorus Cobb, 1913 (Triplonchida: Trichodoridae) from Iran based on morphological and molecular data","type":"article-journal","volume":"95"},"uris":["http://www.mendeley.com/documents/?uuid=c3f7c992-2926-3fe0-8d96-52479271be10"]}],"mendeley":{"formattedCitation":"(Asghari &lt;i&gt;et al.&lt;/i&gt;, 2018)","plainTextFormattedCitation":"(Asghari et al., 2018)","previouslyFormattedCitation":"(Asghari &lt;i&gt;et al.&lt;/i&gt;, 2018)"},"properties":{"noteIndex":0},"schema":"https://github.com/citation-style-language/schema/raw/master/csl-citation.json"}</w:instrText>
      </w:r>
      <w:r w:rsidR="00BF7D78" w:rsidRPr="6AC1B2C3">
        <w:rPr>
          <w:rFonts w:ascii="Arial" w:eastAsia="Calibri" w:hAnsi="Arial" w:cs="Arial"/>
          <w:color w:val="000000" w:themeColor="text1"/>
          <w:sz w:val="24"/>
          <w:szCs w:val="24"/>
        </w:rPr>
        <w:fldChar w:fldCharType="separate"/>
      </w:r>
      <w:r w:rsidRPr="6AC1B2C3">
        <w:rPr>
          <w:rFonts w:ascii="Arial" w:eastAsia="Calibri" w:hAnsi="Arial" w:cs="Arial"/>
          <w:noProof/>
          <w:color w:val="000000" w:themeColor="text1"/>
          <w:sz w:val="24"/>
          <w:szCs w:val="24"/>
        </w:rPr>
        <w:t xml:space="preserve">(Asghari </w:t>
      </w:r>
      <w:r w:rsidRPr="6AC1B2C3">
        <w:rPr>
          <w:rFonts w:ascii="Arial" w:eastAsia="Calibri" w:hAnsi="Arial" w:cs="Arial"/>
          <w:i/>
          <w:iCs/>
          <w:noProof/>
          <w:color w:val="000000" w:themeColor="text1"/>
          <w:sz w:val="24"/>
          <w:szCs w:val="24"/>
        </w:rPr>
        <w:t>et al.</w:t>
      </w:r>
      <w:r w:rsidRPr="6AC1B2C3">
        <w:rPr>
          <w:rFonts w:ascii="Arial" w:eastAsia="Calibri" w:hAnsi="Arial" w:cs="Arial"/>
          <w:noProof/>
          <w:color w:val="000000" w:themeColor="text1"/>
          <w:sz w:val="24"/>
          <w:szCs w:val="24"/>
        </w:rPr>
        <w:t>, 2018)</w:t>
      </w:r>
      <w:r w:rsidR="00BF7D78" w:rsidRPr="6AC1B2C3">
        <w:rPr>
          <w:rFonts w:ascii="Arial" w:eastAsia="Calibri" w:hAnsi="Arial" w:cs="Arial"/>
          <w:color w:val="000000" w:themeColor="text1"/>
          <w:sz w:val="24"/>
          <w:szCs w:val="24"/>
        </w:rPr>
        <w:fldChar w:fldCharType="end"/>
      </w:r>
      <w:r w:rsidRPr="6AC1B2C3">
        <w:rPr>
          <w:rFonts w:ascii="Arial" w:eastAsia="Calibri" w:hAnsi="Arial" w:cs="Arial"/>
          <w:color w:val="000000" w:themeColor="text1"/>
          <w:sz w:val="24"/>
          <w:szCs w:val="24"/>
        </w:rPr>
        <w:t xml:space="preserve">.  </w:t>
      </w:r>
      <w:r w:rsidR="00BF7D78" w:rsidRPr="6AC1B2C3">
        <w:rPr>
          <w:rFonts w:ascii="Arial" w:eastAsia="Calibri" w:hAnsi="Arial" w:cs="Arial"/>
          <w:color w:val="000000" w:themeColor="text1"/>
          <w:sz w:val="24"/>
          <w:szCs w:val="24"/>
        </w:rPr>
        <w:fldChar w:fldCharType="begin" w:fldLock="1"/>
      </w:r>
      <w:r w:rsidR="00BF7D78" w:rsidRPr="6AC1B2C3">
        <w:rPr>
          <w:rFonts w:ascii="Arial" w:eastAsia="Calibri" w:hAnsi="Arial" w:cs="Arial"/>
          <w:color w:val="000000" w:themeColor="text1"/>
          <w:sz w:val="24"/>
          <w:szCs w:val="24"/>
        </w:rPr>
        <w:instrText>ADDIN CSL_CITATION {"citationItems":[{"id":"ITEM-1","itemData":{"author":[{"dropping-particle":"","family":"Gibbs","given":"A. J.","non-dropping-particle":"","parse-names":false,"suffix":""},{"dropping-particle":"","family":"Harrison","given":"B. D.","non-dropping-particle":"","parse-names":false,"suffix":""}],"container-title":"Plant Pathology","id":"ITEM-1","issued":{"date-parts":[["1963"]]},"title":"Nematode-transmitted viruses in sugar beet in East Anglia","type":"article-journal"},"uris":["http://www.mendeley.com/documents/?uuid=7c9fb5be-0e99-4242-be1a-3fbc45d79d9c"]}],"mendeley":{"formattedCitation":"(Gibbs and Harrison, 1963)","plainTextFormattedCitation":"(Gibbs and Harrison, 1963)","previouslyFormattedCitation":"(Gibbs and Harrison, 1963)"},"properties":{"noteIndex":0},"schema":"https://github.com/citation-style-language/schema/raw/master/csl-citation.json"}</w:instrText>
      </w:r>
      <w:r w:rsidR="00BF7D78" w:rsidRPr="6AC1B2C3">
        <w:rPr>
          <w:rFonts w:ascii="Arial" w:eastAsia="Calibri" w:hAnsi="Arial" w:cs="Arial"/>
          <w:color w:val="000000" w:themeColor="text1"/>
          <w:sz w:val="24"/>
          <w:szCs w:val="24"/>
        </w:rPr>
        <w:fldChar w:fldCharType="separate"/>
      </w:r>
      <w:r w:rsidRPr="6AC1B2C3">
        <w:rPr>
          <w:rFonts w:ascii="Arial" w:eastAsia="Calibri" w:hAnsi="Arial" w:cs="Arial"/>
          <w:noProof/>
          <w:color w:val="000000" w:themeColor="text1"/>
          <w:sz w:val="24"/>
          <w:szCs w:val="24"/>
        </w:rPr>
        <w:t>(Gibbs and Harrison, 1963)</w:t>
      </w:r>
      <w:r w:rsidR="00BF7D78" w:rsidRPr="6AC1B2C3">
        <w:rPr>
          <w:rFonts w:ascii="Arial" w:eastAsia="Calibri" w:hAnsi="Arial" w:cs="Arial"/>
          <w:color w:val="000000" w:themeColor="text1"/>
          <w:sz w:val="24"/>
          <w:szCs w:val="24"/>
        </w:rPr>
        <w:fldChar w:fldCharType="end"/>
      </w:r>
      <w:r w:rsidRPr="6AC1B2C3">
        <w:rPr>
          <w:rFonts w:ascii="Arial" w:eastAsia="Calibri" w:hAnsi="Arial" w:cs="Arial"/>
          <w:color w:val="000000" w:themeColor="text1"/>
          <w:sz w:val="24"/>
          <w:szCs w:val="24"/>
        </w:rPr>
        <w:t xml:space="preserve">. All juvenile stages have ability to transmit viruses </w:t>
      </w:r>
      <w:r w:rsidR="0082771F" w:rsidRPr="6AC1B2C3">
        <w:rPr>
          <w:rFonts w:ascii="Arial" w:eastAsia="Calibri" w:hAnsi="Arial" w:cs="Arial"/>
          <w:color w:val="000000" w:themeColor="text1"/>
          <w:sz w:val="24"/>
          <w:szCs w:val="24"/>
        </w:rPr>
        <w:t>and virus</w:t>
      </w:r>
      <w:r w:rsidRPr="6AC1B2C3">
        <w:rPr>
          <w:rFonts w:ascii="Arial" w:eastAsia="Calibri" w:hAnsi="Arial" w:cs="Arial"/>
          <w:color w:val="000000" w:themeColor="text1"/>
          <w:sz w:val="24"/>
          <w:szCs w:val="24"/>
        </w:rPr>
        <w:t xml:space="preserve"> particles are selectively absorbed in the oesophagus lining. Dissociation occurs when the nematode saliva is injected into the host, without killing of the cells for the transmission to be successful. However, juveniles lose the virus after every moult. Therefore, juveniles need to reacquire viruses to be able to transmit again while adults can retain the virus for a long period. </w:t>
      </w:r>
      <w:r w:rsidR="00E22FA8" w:rsidRPr="002B3D8A">
        <w:rPr>
          <w:rFonts w:ascii="Arial" w:eastAsia="Calibri" w:hAnsi="Arial" w:cs="Arial"/>
          <w:color w:val="000000" w:themeColor="text1"/>
          <w:sz w:val="24"/>
          <w:szCs w:val="24"/>
        </w:rPr>
        <w:t xml:space="preserve">In sugar beet in East England,  </w:t>
      </w:r>
      <w:r w:rsidR="0045537D" w:rsidRPr="002B3D8A">
        <w:rPr>
          <w:rFonts w:ascii="Arial" w:eastAsia="Calibri" w:hAnsi="Arial" w:cs="Arial"/>
          <w:i/>
          <w:color w:val="000000" w:themeColor="text1"/>
          <w:sz w:val="24"/>
          <w:szCs w:val="24"/>
        </w:rPr>
        <w:t>Longidorus</w:t>
      </w:r>
      <w:r w:rsidR="00FF0D5F" w:rsidRPr="002B3D8A">
        <w:rPr>
          <w:rFonts w:ascii="Arial" w:eastAsia="Calibri" w:hAnsi="Arial" w:cs="Arial"/>
          <w:color w:val="000000" w:themeColor="text1"/>
          <w:sz w:val="24"/>
          <w:szCs w:val="24"/>
        </w:rPr>
        <w:t xml:space="preserve"> spp, </w:t>
      </w:r>
      <w:r w:rsidR="00E22FA8" w:rsidRPr="002B3D8A">
        <w:rPr>
          <w:rFonts w:ascii="Arial" w:eastAsia="Calibri" w:hAnsi="Arial" w:cs="Arial"/>
          <w:i/>
          <w:color w:val="000000" w:themeColor="text1"/>
          <w:sz w:val="24"/>
          <w:szCs w:val="24"/>
        </w:rPr>
        <w:t>Trichodorus and Pa</w:t>
      </w:r>
      <w:r w:rsidR="00FF0D5F" w:rsidRPr="002B3D8A">
        <w:rPr>
          <w:rFonts w:ascii="Arial" w:eastAsia="Calibri" w:hAnsi="Arial" w:cs="Arial"/>
          <w:i/>
          <w:color w:val="000000" w:themeColor="text1"/>
          <w:sz w:val="24"/>
          <w:szCs w:val="24"/>
        </w:rPr>
        <w:t>ra</w:t>
      </w:r>
      <w:r w:rsidR="00E22FA8" w:rsidRPr="002B3D8A">
        <w:rPr>
          <w:rFonts w:ascii="Arial" w:eastAsia="Calibri" w:hAnsi="Arial" w:cs="Arial"/>
          <w:i/>
          <w:color w:val="000000" w:themeColor="text1"/>
          <w:sz w:val="24"/>
          <w:szCs w:val="24"/>
        </w:rPr>
        <w:t xml:space="preserve">trichodorus </w:t>
      </w:r>
      <w:r w:rsidR="00E22FA8" w:rsidRPr="002B3D8A">
        <w:rPr>
          <w:rFonts w:ascii="Arial" w:eastAsia="Calibri" w:hAnsi="Arial" w:cs="Arial"/>
          <w:color w:val="000000" w:themeColor="text1"/>
          <w:sz w:val="24"/>
          <w:szCs w:val="24"/>
        </w:rPr>
        <w:t>spp attack young seedlings causing a condition known as docking disorder</w:t>
      </w:r>
      <w:r w:rsidR="00997478">
        <w:rPr>
          <w:rFonts w:ascii="Arial" w:eastAsia="Calibri" w:hAnsi="Arial" w:cs="Arial"/>
          <w:color w:val="000000" w:themeColor="text1"/>
          <w:sz w:val="24"/>
          <w:szCs w:val="24"/>
        </w:rPr>
        <w:t>, which</w:t>
      </w:r>
      <w:r w:rsidR="00E22FA8" w:rsidRPr="002B3D8A">
        <w:rPr>
          <w:rFonts w:ascii="Arial" w:eastAsia="Calibri" w:hAnsi="Arial" w:cs="Arial"/>
          <w:color w:val="000000" w:themeColor="text1"/>
          <w:sz w:val="24"/>
          <w:szCs w:val="24"/>
        </w:rPr>
        <w:t xml:space="preserve"> later leads to foliage appearing to be deficient in nitrogen or magnesium </w:t>
      </w:r>
      <w:r w:rsidR="00E22FA8" w:rsidRPr="002B3D8A">
        <w:rPr>
          <w:rFonts w:ascii="Arial" w:eastAsia="Calibri" w:hAnsi="Arial" w:cs="Arial"/>
          <w:color w:val="000000" w:themeColor="text1"/>
          <w:sz w:val="24"/>
          <w:szCs w:val="24"/>
        </w:rPr>
        <w:fldChar w:fldCharType="begin" w:fldLock="1"/>
      </w:r>
      <w:r w:rsidR="00200FF9">
        <w:rPr>
          <w:rFonts w:ascii="Arial" w:eastAsia="Calibri" w:hAnsi="Arial" w:cs="Arial"/>
          <w:color w:val="000000" w:themeColor="text1"/>
          <w:sz w:val="24"/>
          <w:szCs w:val="24"/>
        </w:rPr>
        <w:instrText>ADDIN CSL_CITATION {"citationItems":[{"id":"ITEM-1","itemData":{"DOI":"10.1016/0261-2194(85)90049-3","ISSN":"02612194","abstract":"Granular soil-applied pesticides were introduced in 1973 for the control of seedling pests of sugar beet, including the ectoparasitic nematodes that cause Docking disorder. By 1977 most of the area at risk from Docking disorder had been treated, largely with aldicarb; however, despite these treatments, surveys based on an examination of growing crops continued to report large yield losses in years with wet springs. In a field experiment, aldicarb was readily leached following early application in a year with a very wet spring (1983). The distribution of toxic aldicarb residues in soil was simulated for each of the years 1979-1983 using a mathematical model: these simulations suggested that nematode control would be seriously decreased only in exceptionally wet springs. It was concluded that the surveys contain a systematic bias, underestimating damage in earlier years but overestimating damage in recent years when pesticides have been widely used. © 1985.","author":[{"dropping-particle":"","family":"Cooke","given":"D. A.","non-dropping-particle":"","parse-names":false,"suffix":""},{"dropping-particle":"","family":"Bromilow","given":"R. H.","non-dropping-particle":"","parse-names":false,"suffix":""},{"dropping-particle":"","family":"Nicholls","given":"P. H.","non-dropping-particle":"","parse-names":false,"suffix":""}],"container-title":"Crop Protection","id":"ITEM-1","issue":"4","issued":{"date-parts":[["1985"]]},"page":"446-457","title":"The extent and efficacy of granular pesticide usage to control ectoparasitic nematodes on sugar beet","type":"article-journal","volume":"4"},"uris":["http://www.mendeley.com/documents/?uuid=99b79c40-d73f-3c11-baa3-b3e49de49823"]},{"id":"ITEM-2","itemData":{"DOI":"10.1016/0261-2194(89)90101-4","ISSN":"02612194","abstract":"Granular pesticides are used on about half of the UK sugar-beet crop, including almost all of the area at risk from damage by the ectoparasitic nematodes which cause Docking disorder. Survey data show that symptoms of damage are still widespread in some years but are rarely severe. In a series of field experiments comparing eight granular pesticides, those which are approved for control of Docking disorder usually gave large yield increases which were closely related to assessments of plant vigour made in June/July. Pesticide treatments decreased the numbers of active Trichodorus and Paratrichodorus in the rhizosphere by about 50%. © 1989.","author":[{"dropping-particle":"","family":"Cooke","given":"D. A.","non-dropping-particle":"","parse-names":false,"suffix":""}],"container-title":"Crop Protection","id":"ITEM-2","issue":"1","issued":{"date-parts":[["1989"]]},"page":"63-70","title":"Damage to sugar-beet crops by ectoparasitic nematodes, and its control by soil-applied granular pesticides","type":"article-journal","volume":"8"},"uris":["http://www.mendeley.com/documents/?uuid=db12597f-7be5-4c2b-862e-35b02ab7c2d1"]},{"id":"ITEM-3","itemData":{"author":[{"dropping-particle":"","family":"Whitehead","given":"A.G.","non-dropping-particle":"","parse-names":false,"suffix":""},{"dropping-particle":"","family":"Hooper","given":"D.J.","non-dropping-particle":"","parse-names":false,"suffix":""}],"container-title":"Ann. appl. Biol","id":"ITEM-3","issued":{"date-parts":[["1970"]]},"page":"339-350","title":"Needle nematodes (Longidorus spp.) and stubby-root nematodes ( Trichodorus spp.) harmful to sugar beet and other field crops in England","type":"article-journal"},"uris":["http://www.mendeley.com/documents/?uuid=e3a9ba67-b49f-4808-a0ea-7bff1763d6dd"]}],"mendeley":{"formattedCitation":"(Whitehead and Hooper, 1970; Cooke, Bromilow and Nicholls, 1985; Cooke, 1989)","plainTextFormattedCitation":"(Whitehead and Hooper, 1970; Cooke, Bromilow and Nicholls, 1985; Cooke, 1989)","previouslyFormattedCitation":"(Whitehead and Hooper, 1970; Cooke, Bromilow and Nicholls, 1985; Cooke, 1989)"},"properties":{"noteIndex":0},"schema":"https://github.com/citation-style-language/schema/raw/master/csl-citation.json"}</w:instrText>
      </w:r>
      <w:r w:rsidR="00E22FA8" w:rsidRPr="002B3D8A">
        <w:rPr>
          <w:rFonts w:ascii="Arial" w:eastAsia="Calibri" w:hAnsi="Arial" w:cs="Arial"/>
          <w:color w:val="000000" w:themeColor="text1"/>
          <w:sz w:val="24"/>
          <w:szCs w:val="24"/>
        </w:rPr>
        <w:fldChar w:fldCharType="separate"/>
      </w:r>
      <w:r w:rsidR="00A07F2C" w:rsidRPr="00A07F2C">
        <w:rPr>
          <w:rFonts w:ascii="Arial" w:eastAsia="Calibri" w:hAnsi="Arial" w:cs="Arial"/>
          <w:noProof/>
          <w:color w:val="000000" w:themeColor="text1"/>
          <w:sz w:val="24"/>
          <w:szCs w:val="24"/>
        </w:rPr>
        <w:t>(Whitehead and Hooper, 1970; Cooke, Bromilow and Nicholls, 1985; Cooke, 1989)</w:t>
      </w:r>
      <w:r w:rsidR="00E22FA8" w:rsidRPr="002B3D8A">
        <w:rPr>
          <w:rFonts w:ascii="Arial" w:eastAsia="Calibri" w:hAnsi="Arial" w:cs="Arial"/>
          <w:color w:val="000000" w:themeColor="text1"/>
          <w:sz w:val="24"/>
          <w:szCs w:val="24"/>
        </w:rPr>
        <w:fldChar w:fldCharType="end"/>
      </w:r>
      <w:r w:rsidR="00997478">
        <w:rPr>
          <w:rFonts w:ascii="Arial" w:eastAsia="Calibri" w:hAnsi="Arial" w:cs="Arial"/>
          <w:color w:val="000000" w:themeColor="text1"/>
          <w:sz w:val="24"/>
          <w:szCs w:val="24"/>
        </w:rPr>
        <w:t>.</w:t>
      </w:r>
      <w:r w:rsidR="00E22FA8" w:rsidRPr="002B3D8A">
        <w:rPr>
          <w:rFonts w:ascii="Arial" w:eastAsia="Calibri" w:hAnsi="Arial" w:cs="Arial"/>
          <w:color w:val="000000" w:themeColor="text1"/>
          <w:sz w:val="24"/>
          <w:szCs w:val="24"/>
        </w:rPr>
        <w:t xml:space="preserve"> Docking disorder is named after the parish where it was first recognised and described by </w:t>
      </w:r>
      <w:r w:rsidR="008F4396">
        <w:rPr>
          <w:rFonts w:ascii="Arial" w:eastAsia="Calibri" w:hAnsi="Arial" w:cs="Arial"/>
          <w:color w:val="000000" w:themeColor="text1"/>
          <w:sz w:val="24"/>
          <w:szCs w:val="24"/>
        </w:rPr>
        <w:fldChar w:fldCharType="begin" w:fldLock="1"/>
      </w:r>
      <w:r w:rsidR="008F4396">
        <w:rPr>
          <w:rFonts w:ascii="Arial" w:eastAsia="Calibri" w:hAnsi="Arial" w:cs="Arial"/>
          <w:color w:val="000000" w:themeColor="text1"/>
          <w:sz w:val="24"/>
          <w:szCs w:val="24"/>
        </w:rPr>
        <w:instrText>ADDIN CSL_CITATION {"citationItems":[{"id":"ITEM-1","itemData":{"DOI":"10.1111/J.1365-3059.1959.TB00884.X","ISSN":"1365-3059","author":[{"dropping-particle":"","family":"Gibbs","given":"A. J.","non-dropping-particle":"","parse-names":false,"suffix":""}],"container-title":"Plant Pathology","id":"ITEM-1","issue":"3","issued":{"date-parts":[["1959","9","1"]]},"page":"93-94","publisher":"John Wiley &amp; Sons, Ltd","title":"DOCKING DISORDER","type":"article-journal","volume":"8"},"uris":["http://www.mendeley.com/documents/?uuid=daa2fe94-e292-3270-a4ce-352be87c85be"]}],"mendeley":{"formattedCitation":"(Gibbs, 1959)","manualFormatting":"Gibbs (1959)","plainTextFormattedCitation":"(Gibbs, 1959)"},"properties":{"noteIndex":0},"schema":"https://github.com/citation-style-language/schema/raw/master/csl-citation.json"}</w:instrText>
      </w:r>
      <w:r w:rsidR="008F4396">
        <w:rPr>
          <w:rFonts w:ascii="Arial" w:eastAsia="Calibri" w:hAnsi="Arial" w:cs="Arial"/>
          <w:color w:val="000000" w:themeColor="text1"/>
          <w:sz w:val="24"/>
          <w:szCs w:val="24"/>
        </w:rPr>
        <w:fldChar w:fldCharType="separate"/>
      </w:r>
      <w:r w:rsidR="008F4396" w:rsidRPr="008F4396">
        <w:rPr>
          <w:rFonts w:ascii="Arial" w:eastAsia="Calibri" w:hAnsi="Arial" w:cs="Arial"/>
          <w:noProof/>
          <w:color w:val="000000" w:themeColor="text1"/>
          <w:sz w:val="24"/>
          <w:szCs w:val="24"/>
        </w:rPr>
        <w:t>Gibbs</w:t>
      </w:r>
      <w:r w:rsidR="008F4396">
        <w:rPr>
          <w:rFonts w:ascii="Arial" w:eastAsia="Calibri" w:hAnsi="Arial" w:cs="Arial"/>
          <w:noProof/>
          <w:color w:val="000000" w:themeColor="text1"/>
          <w:sz w:val="24"/>
          <w:szCs w:val="24"/>
        </w:rPr>
        <w:t xml:space="preserve"> (</w:t>
      </w:r>
      <w:r w:rsidR="008F4396" w:rsidRPr="008F4396">
        <w:rPr>
          <w:rFonts w:ascii="Arial" w:eastAsia="Calibri" w:hAnsi="Arial" w:cs="Arial"/>
          <w:noProof/>
          <w:color w:val="000000" w:themeColor="text1"/>
          <w:sz w:val="24"/>
          <w:szCs w:val="24"/>
        </w:rPr>
        <w:t>1959)</w:t>
      </w:r>
      <w:r w:rsidR="008F4396">
        <w:rPr>
          <w:rFonts w:ascii="Arial" w:eastAsia="Calibri" w:hAnsi="Arial" w:cs="Arial"/>
          <w:color w:val="000000" w:themeColor="text1"/>
          <w:sz w:val="24"/>
          <w:szCs w:val="24"/>
        </w:rPr>
        <w:fldChar w:fldCharType="end"/>
      </w:r>
      <w:r w:rsidR="00446C42" w:rsidRPr="002B3D8A">
        <w:rPr>
          <w:rFonts w:ascii="Arial" w:eastAsia="Calibri" w:hAnsi="Arial" w:cs="Arial"/>
          <w:color w:val="000000" w:themeColor="text1"/>
          <w:sz w:val="24"/>
          <w:szCs w:val="24"/>
        </w:rPr>
        <w:fldChar w:fldCharType="begin" w:fldLock="1"/>
      </w:r>
      <w:r w:rsidR="008F4396">
        <w:rPr>
          <w:rFonts w:ascii="Arial" w:eastAsia="Calibri" w:hAnsi="Arial" w:cs="Arial"/>
          <w:color w:val="000000" w:themeColor="text1"/>
          <w:sz w:val="24"/>
          <w:szCs w:val="24"/>
        </w:rPr>
        <w:instrText>ADDIN CSL_CITATION {"citationItems":[{"id":"ITEM-1","itemData":{"author":[{"dropping-particle":"","family":"Gibbs","given":"A. J.","non-dropping-particle":"","parse-names":false,"suffix":""},{"dropping-particle":"","family":"Harrison","given":"B. D.","non-dropping-particle":"","parse-names":false,"suffix":""}],"container-title":"Plant Pathology","id":"ITEM-1","issued":{"date-parts":[["1963"]]},"title":"Nematode-transmitted viruses in sugar beet in East Anglia","type":"article-journal"},"uris":["http://www.mendeley.com/documents/?uuid=7c9fb5be-0e99-4242-be1a-3fbc45d79d9c"]}],"mendeley":{"formattedCitation":"(Gibbs and Harrison, 1963)","manualFormatting":". ","plainTextFormattedCitation":"(Gibbs and Harrison, 1963)","previouslyFormattedCitation":"(Gibbs and Harrison, 1963)"},"properties":{"noteIndex":0},"schema":"https://github.com/citation-style-language/schema/raw/master/csl-citation.json"}</w:instrText>
      </w:r>
      <w:r w:rsidR="00446C42" w:rsidRPr="002B3D8A">
        <w:rPr>
          <w:rFonts w:ascii="Arial" w:eastAsia="Calibri" w:hAnsi="Arial" w:cs="Arial"/>
          <w:color w:val="000000" w:themeColor="text1"/>
          <w:sz w:val="24"/>
          <w:szCs w:val="24"/>
        </w:rPr>
        <w:fldChar w:fldCharType="separate"/>
      </w:r>
      <w:r w:rsidR="00997478">
        <w:rPr>
          <w:rFonts w:ascii="Arial" w:eastAsia="Calibri" w:hAnsi="Arial" w:cs="Arial"/>
          <w:noProof/>
          <w:color w:val="000000" w:themeColor="text1"/>
          <w:sz w:val="24"/>
          <w:szCs w:val="24"/>
        </w:rPr>
        <w:t>.</w:t>
      </w:r>
      <w:r w:rsidR="00446C42" w:rsidRPr="002B3D8A">
        <w:rPr>
          <w:rFonts w:ascii="Arial" w:eastAsia="Calibri" w:hAnsi="Arial" w:cs="Arial"/>
          <w:noProof/>
          <w:color w:val="000000" w:themeColor="text1"/>
          <w:sz w:val="24"/>
          <w:szCs w:val="24"/>
        </w:rPr>
        <w:t xml:space="preserve"> </w:t>
      </w:r>
      <w:r w:rsidR="00446C42" w:rsidRPr="002B3D8A">
        <w:rPr>
          <w:rFonts w:ascii="Arial" w:eastAsia="Calibri" w:hAnsi="Arial" w:cs="Arial"/>
          <w:color w:val="000000" w:themeColor="text1"/>
          <w:sz w:val="24"/>
          <w:szCs w:val="24"/>
        </w:rPr>
        <w:fldChar w:fldCharType="end"/>
      </w:r>
      <w:r w:rsidR="0027750E" w:rsidRPr="002B3D8A">
        <w:rPr>
          <w:rFonts w:ascii="Arial" w:eastAsia="Calibri" w:hAnsi="Arial" w:cs="Arial"/>
          <w:color w:val="000000" w:themeColor="text1"/>
          <w:sz w:val="24"/>
          <w:szCs w:val="24"/>
        </w:rPr>
        <w:t xml:space="preserve">In studies done in 1963 and 1964, investigations on nematode transmitted viruses were conducted to establish whether the viruses were involved in the Docking disorder outbreaks. The findings showed that Tomato </w:t>
      </w:r>
      <w:r w:rsidR="00C54C1B">
        <w:rPr>
          <w:rFonts w:ascii="Arial" w:eastAsia="Calibri" w:hAnsi="Arial" w:cs="Arial"/>
          <w:color w:val="000000" w:themeColor="text1"/>
          <w:sz w:val="24"/>
          <w:szCs w:val="24"/>
        </w:rPr>
        <w:t>B</w:t>
      </w:r>
      <w:r w:rsidR="0027750E" w:rsidRPr="002B3D8A">
        <w:rPr>
          <w:rFonts w:ascii="Arial" w:eastAsia="Calibri" w:hAnsi="Arial" w:cs="Arial"/>
          <w:color w:val="000000" w:themeColor="text1"/>
          <w:sz w:val="24"/>
          <w:szCs w:val="24"/>
        </w:rPr>
        <w:t xml:space="preserve">lack </w:t>
      </w:r>
      <w:r w:rsidR="00C54C1B">
        <w:rPr>
          <w:rFonts w:ascii="Arial" w:eastAsia="Calibri" w:hAnsi="Arial" w:cs="Arial"/>
          <w:color w:val="000000" w:themeColor="text1"/>
          <w:sz w:val="24"/>
          <w:szCs w:val="24"/>
        </w:rPr>
        <w:t>R</w:t>
      </w:r>
      <w:r w:rsidR="0027750E" w:rsidRPr="002B3D8A">
        <w:rPr>
          <w:rFonts w:ascii="Arial" w:eastAsia="Calibri" w:hAnsi="Arial" w:cs="Arial"/>
          <w:color w:val="000000" w:themeColor="text1"/>
          <w:sz w:val="24"/>
          <w:szCs w:val="24"/>
        </w:rPr>
        <w:t>ing</w:t>
      </w:r>
      <w:r w:rsidR="00C54C1B">
        <w:rPr>
          <w:rFonts w:ascii="Arial" w:eastAsia="Calibri" w:hAnsi="Arial" w:cs="Arial"/>
          <w:color w:val="000000" w:themeColor="text1"/>
          <w:sz w:val="24"/>
          <w:szCs w:val="24"/>
        </w:rPr>
        <w:t xml:space="preserve"> Virus</w:t>
      </w:r>
      <w:r w:rsidR="0027750E" w:rsidRPr="002B3D8A">
        <w:rPr>
          <w:rFonts w:ascii="Arial" w:eastAsia="Calibri" w:hAnsi="Arial" w:cs="Arial"/>
          <w:color w:val="000000" w:themeColor="text1"/>
          <w:sz w:val="24"/>
          <w:szCs w:val="24"/>
        </w:rPr>
        <w:t xml:space="preserve"> (TBRV) incidence was </w:t>
      </w:r>
      <w:r w:rsidR="00C54C1B">
        <w:rPr>
          <w:rFonts w:ascii="Arial" w:eastAsia="Calibri" w:hAnsi="Arial" w:cs="Arial"/>
          <w:color w:val="000000" w:themeColor="text1"/>
          <w:sz w:val="24"/>
          <w:szCs w:val="24"/>
        </w:rPr>
        <w:t>greater</w:t>
      </w:r>
      <w:r w:rsidR="00C54C1B" w:rsidRPr="002B3D8A">
        <w:rPr>
          <w:rFonts w:ascii="Arial" w:eastAsia="Calibri" w:hAnsi="Arial" w:cs="Arial"/>
          <w:color w:val="000000" w:themeColor="text1"/>
          <w:sz w:val="24"/>
          <w:szCs w:val="24"/>
        </w:rPr>
        <w:t xml:space="preserve"> </w:t>
      </w:r>
      <w:r w:rsidR="0027750E" w:rsidRPr="002B3D8A">
        <w:rPr>
          <w:rFonts w:ascii="Arial" w:eastAsia="Calibri" w:hAnsi="Arial" w:cs="Arial"/>
          <w:color w:val="000000" w:themeColor="text1"/>
          <w:sz w:val="24"/>
          <w:szCs w:val="24"/>
        </w:rPr>
        <w:t xml:space="preserve">where their vectors, </w:t>
      </w:r>
      <w:r w:rsidR="0027750E" w:rsidRPr="002B3D8A">
        <w:rPr>
          <w:rFonts w:ascii="Arial" w:eastAsia="Calibri" w:hAnsi="Arial" w:cs="Arial"/>
          <w:i/>
          <w:color w:val="000000" w:themeColor="text1"/>
          <w:sz w:val="24"/>
          <w:szCs w:val="24"/>
        </w:rPr>
        <w:t>Longidorus attenuatus</w:t>
      </w:r>
      <w:r w:rsidR="0027750E" w:rsidRPr="002B3D8A">
        <w:rPr>
          <w:rFonts w:ascii="Arial" w:eastAsia="Calibri" w:hAnsi="Arial" w:cs="Arial"/>
          <w:color w:val="000000" w:themeColor="text1"/>
          <w:sz w:val="24"/>
          <w:szCs w:val="24"/>
        </w:rPr>
        <w:t xml:space="preserve"> occurred abundantly but the symptoms were not clearly defined as typical for virus infection</w:t>
      </w:r>
      <w:r w:rsidR="00C54C1B">
        <w:rPr>
          <w:rFonts w:ascii="Arial" w:eastAsia="Calibri" w:hAnsi="Arial" w:cs="Arial"/>
          <w:color w:val="000000" w:themeColor="text1"/>
          <w:sz w:val="24"/>
          <w:szCs w:val="24"/>
        </w:rPr>
        <w:t>.</w:t>
      </w:r>
      <w:r w:rsidR="0027750E" w:rsidRPr="002B3D8A">
        <w:rPr>
          <w:rFonts w:ascii="Arial" w:eastAsia="Calibri" w:hAnsi="Arial" w:cs="Arial"/>
          <w:color w:val="000000" w:themeColor="text1"/>
          <w:sz w:val="24"/>
          <w:szCs w:val="24"/>
        </w:rPr>
        <w:t xml:space="preserve"> </w:t>
      </w:r>
      <w:r w:rsidR="00C54C1B">
        <w:rPr>
          <w:rFonts w:ascii="Arial" w:eastAsia="Calibri" w:hAnsi="Arial" w:cs="Arial"/>
          <w:color w:val="000000" w:themeColor="text1"/>
          <w:sz w:val="24"/>
          <w:szCs w:val="24"/>
        </w:rPr>
        <w:t>T</w:t>
      </w:r>
      <w:r w:rsidR="0027750E" w:rsidRPr="002B3D8A">
        <w:rPr>
          <w:rFonts w:ascii="Arial" w:eastAsia="Calibri" w:hAnsi="Arial" w:cs="Arial"/>
          <w:color w:val="000000" w:themeColor="text1"/>
          <w:sz w:val="24"/>
          <w:szCs w:val="24"/>
        </w:rPr>
        <w:t>he virus was also isolated from normal growing plants and also when seed transmission tests of TBRV were done</w:t>
      </w:r>
      <w:r w:rsidR="00C54C1B">
        <w:rPr>
          <w:rFonts w:ascii="Arial" w:eastAsia="Calibri" w:hAnsi="Arial" w:cs="Arial"/>
          <w:color w:val="000000" w:themeColor="text1"/>
          <w:sz w:val="24"/>
          <w:szCs w:val="24"/>
        </w:rPr>
        <w:t>.</w:t>
      </w:r>
      <w:r w:rsidR="0027750E" w:rsidRPr="002B3D8A">
        <w:rPr>
          <w:rFonts w:ascii="Arial" w:eastAsia="Calibri" w:hAnsi="Arial" w:cs="Arial"/>
          <w:color w:val="000000" w:themeColor="text1"/>
          <w:sz w:val="24"/>
          <w:szCs w:val="24"/>
        </w:rPr>
        <w:t xml:space="preserve"> </w:t>
      </w:r>
      <w:r w:rsidR="00C54C1B">
        <w:rPr>
          <w:rFonts w:ascii="Arial" w:eastAsia="Calibri" w:hAnsi="Arial" w:cs="Arial"/>
          <w:color w:val="000000" w:themeColor="text1"/>
          <w:sz w:val="24"/>
          <w:szCs w:val="24"/>
        </w:rPr>
        <w:t>T</w:t>
      </w:r>
      <w:r w:rsidR="0027750E" w:rsidRPr="002B3D8A">
        <w:rPr>
          <w:rFonts w:ascii="Arial" w:eastAsia="Calibri" w:hAnsi="Arial" w:cs="Arial"/>
          <w:color w:val="000000" w:themeColor="text1"/>
          <w:sz w:val="24"/>
          <w:szCs w:val="24"/>
        </w:rPr>
        <w:t>he results showed that TBRV was present in progeny of six out of eight open-</w:t>
      </w:r>
      <w:r w:rsidR="00E25B86" w:rsidRPr="002B3D8A">
        <w:rPr>
          <w:rFonts w:ascii="Arial" w:eastAsia="Calibri" w:hAnsi="Arial" w:cs="Arial"/>
          <w:color w:val="000000" w:themeColor="text1"/>
          <w:sz w:val="24"/>
          <w:szCs w:val="24"/>
        </w:rPr>
        <w:t>pollinated,</w:t>
      </w:r>
      <w:r w:rsidR="0027750E" w:rsidRPr="002B3D8A">
        <w:rPr>
          <w:rFonts w:ascii="Arial" w:eastAsia="Calibri" w:hAnsi="Arial" w:cs="Arial"/>
          <w:color w:val="000000" w:themeColor="text1"/>
          <w:sz w:val="24"/>
          <w:szCs w:val="24"/>
        </w:rPr>
        <w:t xml:space="preserve"> virus-infected mother </w:t>
      </w:r>
      <w:r w:rsidR="00C01FEC" w:rsidRPr="002B3D8A">
        <w:rPr>
          <w:rFonts w:ascii="Arial" w:eastAsia="Calibri" w:hAnsi="Arial" w:cs="Arial"/>
          <w:color w:val="000000" w:themeColor="text1"/>
          <w:sz w:val="24"/>
          <w:szCs w:val="24"/>
        </w:rPr>
        <w:t>plants,</w:t>
      </w:r>
      <w:r w:rsidR="0027750E" w:rsidRPr="002B3D8A">
        <w:rPr>
          <w:rFonts w:ascii="Arial" w:eastAsia="Calibri" w:hAnsi="Arial" w:cs="Arial"/>
          <w:color w:val="000000" w:themeColor="text1"/>
          <w:sz w:val="24"/>
          <w:szCs w:val="24"/>
        </w:rPr>
        <w:t xml:space="preserve"> therefore showing that TBRV can be seed borne in sugar-beet, where the virus is transmitted to the seed by pollen. </w:t>
      </w:r>
      <w:r w:rsidR="001B539E">
        <w:rPr>
          <w:rFonts w:ascii="Arial" w:eastAsia="Calibri" w:hAnsi="Arial" w:cs="Arial"/>
          <w:color w:val="000000" w:themeColor="text1"/>
          <w:sz w:val="24"/>
          <w:szCs w:val="24"/>
        </w:rPr>
        <w:t xml:space="preserve">Symptoms expressed in affected plants differed where some showed </w:t>
      </w:r>
      <w:r w:rsidR="001B539E" w:rsidRPr="002B3D8A">
        <w:rPr>
          <w:rFonts w:ascii="Arial" w:eastAsia="Calibri" w:hAnsi="Arial" w:cs="Arial"/>
          <w:color w:val="000000" w:themeColor="text1"/>
          <w:sz w:val="24"/>
          <w:szCs w:val="24"/>
        </w:rPr>
        <w:t xml:space="preserve">a “laurel-leaf” symptom which </w:t>
      </w:r>
      <w:r w:rsidR="001B539E">
        <w:rPr>
          <w:rFonts w:ascii="Arial" w:eastAsia="Calibri" w:hAnsi="Arial" w:cs="Arial"/>
          <w:color w:val="000000" w:themeColor="text1"/>
          <w:sz w:val="24"/>
          <w:szCs w:val="24"/>
        </w:rPr>
        <w:t xml:space="preserve">is </w:t>
      </w:r>
      <w:r w:rsidR="001B539E" w:rsidRPr="002B3D8A">
        <w:rPr>
          <w:rFonts w:ascii="Arial" w:eastAsia="Calibri" w:hAnsi="Arial" w:cs="Arial"/>
          <w:color w:val="000000" w:themeColor="text1"/>
          <w:sz w:val="24"/>
          <w:szCs w:val="24"/>
        </w:rPr>
        <w:t>very different from typical mottling caused by infection from TBRV and the yellowing and stunting of these plants was unknown</w:t>
      </w:r>
      <w:r w:rsidR="001B539E">
        <w:rPr>
          <w:rFonts w:ascii="Arial" w:eastAsia="Calibri" w:hAnsi="Arial" w:cs="Arial"/>
          <w:color w:val="000000" w:themeColor="text1"/>
          <w:sz w:val="24"/>
          <w:szCs w:val="24"/>
        </w:rPr>
        <w:t xml:space="preserve">. When tested </w:t>
      </w:r>
      <w:r w:rsidR="001B539E" w:rsidRPr="002B3D8A">
        <w:rPr>
          <w:rFonts w:ascii="Arial" w:eastAsia="Calibri" w:hAnsi="Arial" w:cs="Arial"/>
          <w:color w:val="000000" w:themeColor="text1"/>
          <w:sz w:val="24"/>
          <w:szCs w:val="24"/>
        </w:rPr>
        <w:t xml:space="preserve">no TBRV was detected in these plants and therefore leading to a conclusion that </w:t>
      </w:r>
      <w:r w:rsidR="001B539E">
        <w:rPr>
          <w:rFonts w:ascii="Arial" w:eastAsia="Calibri" w:hAnsi="Arial" w:cs="Arial"/>
          <w:color w:val="000000" w:themeColor="text1"/>
          <w:sz w:val="24"/>
          <w:szCs w:val="24"/>
        </w:rPr>
        <w:t xml:space="preserve">yellowing and stunting </w:t>
      </w:r>
      <w:r w:rsidR="001B539E" w:rsidRPr="002B3D8A">
        <w:rPr>
          <w:rFonts w:ascii="Arial" w:eastAsia="Calibri" w:hAnsi="Arial" w:cs="Arial"/>
          <w:color w:val="000000" w:themeColor="text1"/>
          <w:sz w:val="24"/>
          <w:szCs w:val="24"/>
        </w:rPr>
        <w:t xml:space="preserve">outbreaks result from more than one cause or a combination of causes </w:t>
      </w:r>
      <w:r w:rsidR="001B539E"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{"citationItems":[{"id":"ITEM-1","itemData":{"author":[{"dropping-particle":"","family":"Gibbs","given":"A. J.","non-dropping-particle":"","parse-names":false,"suffix":""},{"dropping-particle":"","family":"Harrison","given":"B. D.","non-dropping-particle":"","parse-names":false,"suffix":""}],"container-title":"Plant Pathology","id":"ITEM-1","issued":{"date-parts":[["1963"]]},"title":"Nematode-transmitted viruses in sugar beet in East Anglia","type":"article-journal"},"uris":["http://www.mendeley.com/documents/?uuid=7c9fb5be-0e99-4242-be1a-3fbc45d79d9c"]}],"mendeley":{"formattedCitation":"(Gibbs and Harrison, 1963)","plainTextFormattedCitation":"(Gibbs and Harrison, 1963)","previouslyFormattedCitation":"(Gibbs and Harrison, 1963)"},"properties":{"noteIndex":0},"schema":"https://github.com/citation-style-language/schema/raw/master/csl-citation.json"}</w:instrText>
      </w:r>
      <w:r w:rsidR="001B539E"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(Gibbs and Harrison, 1963)</w:t>
      </w:r>
      <w:r w:rsidR="001B539E" w:rsidRPr="002B3D8A">
        <w:rPr>
          <w:rFonts w:ascii="Arial" w:eastAsia="Calibri" w:hAnsi="Arial" w:cs="Arial"/>
          <w:color w:val="000000" w:themeColor="text1"/>
          <w:sz w:val="24"/>
          <w:szCs w:val="24"/>
        </w:rPr>
        <w:fldChar w:fldCharType="end"/>
      </w:r>
      <w:r w:rsidR="00BF7D78">
        <w:rPr>
          <w:rFonts w:ascii="Arial" w:eastAsia="Calibri" w:hAnsi="Arial" w:cs="Arial"/>
          <w:color w:val="000000" w:themeColor="text1"/>
          <w:sz w:val="24"/>
          <w:szCs w:val="24"/>
        </w:rPr>
        <w:t>.</w:t>
      </w:r>
      <w:r w:rsidR="00BF7D78" w:rsidRPr="002B3D8A">
        <w:rPr>
          <w:rFonts w:ascii="Arial" w:eastAsia="Calibri" w:hAnsi="Arial" w:cs="Arial"/>
          <w:color w:val="000000" w:themeColor="text1"/>
          <w:sz w:val="24"/>
          <w:szCs w:val="24"/>
        </w:rPr>
        <w:t xml:space="preserve"> In studies </w:t>
      </w:r>
      <w:r w:rsidR="00BF7D78">
        <w:rPr>
          <w:rFonts w:ascii="Arial" w:eastAsia="Calibri" w:hAnsi="Arial" w:cs="Arial"/>
          <w:color w:val="000000" w:themeColor="text1"/>
          <w:sz w:val="24"/>
          <w:szCs w:val="24"/>
        </w:rPr>
        <w:t>undertaken</w:t>
      </w:r>
      <w:r w:rsidR="00BF7D78" w:rsidRPr="002B3D8A">
        <w:rPr>
          <w:rFonts w:ascii="Arial" w:eastAsia="Calibri" w:hAnsi="Arial" w:cs="Arial"/>
          <w:color w:val="000000" w:themeColor="text1"/>
          <w:sz w:val="24"/>
          <w:szCs w:val="24"/>
        </w:rPr>
        <w:t xml:space="preserve"> in </w:t>
      </w:r>
      <w:r w:rsidR="008F4396">
        <w:rPr>
          <w:rFonts w:ascii="Arial" w:eastAsia="Calibri" w:hAnsi="Arial" w:cs="Arial"/>
          <w:color w:val="000000" w:themeColor="text1"/>
          <w:sz w:val="24"/>
          <w:szCs w:val="24"/>
        </w:rPr>
        <w:t>1</w:t>
      </w:r>
      <w:r w:rsidR="00BF7D78" w:rsidRPr="002B3D8A">
        <w:rPr>
          <w:rFonts w:ascii="Arial" w:eastAsia="Calibri" w:hAnsi="Arial" w:cs="Arial"/>
          <w:color w:val="000000" w:themeColor="text1"/>
          <w:sz w:val="24"/>
          <w:szCs w:val="24"/>
        </w:rPr>
        <w:t>963 and 1964, investigations on nematode transmitted viruses were conducted to establish whether the viruses were involved in the Docking disorder outbreaks</w:t>
      </w:r>
      <w:r w:rsidR="00753BB8">
        <w:rPr>
          <w:rFonts w:ascii="Arial" w:eastAsia="Calibri" w:hAnsi="Arial" w:cs="Arial"/>
          <w:color w:val="000000" w:themeColor="text1"/>
          <w:sz w:val="24"/>
          <w:szCs w:val="24"/>
        </w:rPr>
        <w:t xml:space="preserve">. </w:t>
      </w:r>
      <w:r w:rsidR="0027750E" w:rsidRPr="002B3D8A">
        <w:rPr>
          <w:rFonts w:ascii="Arial" w:eastAsia="Calibri" w:hAnsi="Arial" w:cs="Arial"/>
          <w:color w:val="000000" w:themeColor="text1"/>
          <w:sz w:val="24"/>
          <w:szCs w:val="24"/>
        </w:rPr>
        <w:t xml:space="preserve">Studies conducted later in 1970 by Whitehead </w:t>
      </w:r>
      <w:r w:rsidR="00E25B86" w:rsidRPr="002B3D8A">
        <w:rPr>
          <w:rFonts w:ascii="Arial" w:eastAsia="Calibri" w:hAnsi="Arial" w:cs="Arial"/>
          <w:color w:val="000000" w:themeColor="text1"/>
          <w:sz w:val="24"/>
          <w:szCs w:val="24"/>
        </w:rPr>
        <w:t>et.al,</w:t>
      </w:r>
      <w:r w:rsidR="00E25B86">
        <w:rPr>
          <w:rFonts w:ascii="Arial" w:eastAsia="Calibri" w:hAnsi="Arial" w:cs="Arial"/>
          <w:color w:val="000000" w:themeColor="text1"/>
          <w:sz w:val="24"/>
          <w:szCs w:val="24"/>
        </w:rPr>
        <w:t xml:space="preserve"> (</w:t>
      </w:r>
      <w:r w:rsidR="001B539E">
        <w:rPr>
          <w:rFonts w:ascii="Arial" w:eastAsia="Calibri" w:hAnsi="Arial" w:cs="Arial"/>
          <w:color w:val="000000" w:themeColor="text1"/>
          <w:sz w:val="24"/>
          <w:szCs w:val="24"/>
        </w:rPr>
        <w:t>1970)</w:t>
      </w:r>
      <w:r w:rsidR="0027750E" w:rsidRPr="002B3D8A">
        <w:rPr>
          <w:rFonts w:ascii="Arial" w:eastAsia="Calibri" w:hAnsi="Arial" w:cs="Arial"/>
          <w:color w:val="000000" w:themeColor="text1"/>
          <w:sz w:val="24"/>
          <w:szCs w:val="24"/>
        </w:rPr>
        <w:t xml:space="preserve"> established that nematodes in the genus </w:t>
      </w:r>
      <w:r w:rsidR="0027750E" w:rsidRPr="002B3D8A">
        <w:rPr>
          <w:rFonts w:ascii="Arial" w:eastAsia="Calibri" w:hAnsi="Arial" w:cs="Arial"/>
          <w:i/>
          <w:color w:val="000000" w:themeColor="text1"/>
          <w:sz w:val="24"/>
          <w:szCs w:val="24"/>
        </w:rPr>
        <w:t>Trichodorus</w:t>
      </w:r>
      <w:r w:rsidR="0027750E" w:rsidRPr="002B3D8A">
        <w:rPr>
          <w:rFonts w:ascii="Arial" w:eastAsia="Calibri" w:hAnsi="Arial" w:cs="Arial"/>
          <w:color w:val="000000" w:themeColor="text1"/>
          <w:sz w:val="24"/>
          <w:szCs w:val="24"/>
        </w:rPr>
        <w:t xml:space="preserve">, </w:t>
      </w:r>
      <w:r w:rsidR="0027750E" w:rsidRPr="002B3D8A">
        <w:rPr>
          <w:rFonts w:ascii="Arial" w:eastAsia="Calibri" w:hAnsi="Arial" w:cs="Arial"/>
          <w:i/>
          <w:color w:val="000000" w:themeColor="text1"/>
          <w:sz w:val="24"/>
          <w:szCs w:val="24"/>
        </w:rPr>
        <w:t>Paratrichodorus</w:t>
      </w:r>
      <w:r w:rsidR="0027750E" w:rsidRPr="002B3D8A">
        <w:rPr>
          <w:rFonts w:ascii="Arial" w:eastAsia="Calibri" w:hAnsi="Arial" w:cs="Arial"/>
          <w:color w:val="000000" w:themeColor="text1"/>
          <w:sz w:val="24"/>
          <w:szCs w:val="24"/>
        </w:rPr>
        <w:t xml:space="preserve"> and </w:t>
      </w:r>
      <w:r w:rsidR="0027750E" w:rsidRPr="002B3D8A">
        <w:rPr>
          <w:rFonts w:ascii="Arial" w:eastAsia="Calibri" w:hAnsi="Arial" w:cs="Arial"/>
          <w:i/>
          <w:color w:val="000000" w:themeColor="text1"/>
          <w:sz w:val="24"/>
          <w:szCs w:val="24"/>
        </w:rPr>
        <w:t>Longidorus</w:t>
      </w:r>
      <w:r w:rsidR="0027750E" w:rsidRPr="002B3D8A">
        <w:rPr>
          <w:rFonts w:ascii="Arial" w:eastAsia="Calibri" w:hAnsi="Arial" w:cs="Arial"/>
          <w:color w:val="000000" w:themeColor="text1"/>
          <w:sz w:val="24"/>
          <w:szCs w:val="24"/>
        </w:rPr>
        <w:t xml:space="preserve"> spp were involved in stunting of sugar beet in fields with light sandy soils in Docking. Subsequent </w:t>
      </w:r>
      <w:r w:rsidR="0027750E" w:rsidRPr="002B3D8A">
        <w:rPr>
          <w:rFonts w:ascii="Arial" w:eastAsia="Calibri" w:hAnsi="Arial" w:cs="Arial"/>
          <w:color w:val="000000" w:themeColor="text1"/>
          <w:sz w:val="24"/>
          <w:szCs w:val="24"/>
        </w:rPr>
        <w:lastRenderedPageBreak/>
        <w:t xml:space="preserve">studies have shown that trichodorids i.e. </w:t>
      </w:r>
      <w:r w:rsidR="0027750E" w:rsidRPr="002B3D8A">
        <w:rPr>
          <w:rFonts w:ascii="Arial" w:eastAsia="Calibri" w:hAnsi="Arial" w:cs="Arial"/>
          <w:i/>
          <w:color w:val="000000" w:themeColor="text1"/>
          <w:sz w:val="24"/>
          <w:szCs w:val="24"/>
        </w:rPr>
        <w:t>Trichodorus primitivus</w:t>
      </w:r>
      <w:r w:rsidR="0027750E" w:rsidRPr="002B3D8A">
        <w:rPr>
          <w:rFonts w:ascii="Arial" w:eastAsia="Calibri" w:hAnsi="Arial" w:cs="Arial"/>
          <w:color w:val="000000" w:themeColor="text1"/>
          <w:sz w:val="24"/>
          <w:szCs w:val="24"/>
        </w:rPr>
        <w:t xml:space="preserve"> and </w:t>
      </w:r>
      <w:r w:rsidR="0027750E" w:rsidRPr="002B3D8A">
        <w:rPr>
          <w:rFonts w:ascii="Arial" w:eastAsia="Calibri" w:hAnsi="Arial" w:cs="Arial"/>
          <w:i/>
          <w:color w:val="000000" w:themeColor="text1"/>
          <w:sz w:val="24"/>
          <w:szCs w:val="24"/>
        </w:rPr>
        <w:t>Paratrichodorus pachydermus</w:t>
      </w:r>
      <w:r w:rsidR="0027750E" w:rsidRPr="002B3D8A">
        <w:rPr>
          <w:rFonts w:ascii="Arial" w:eastAsia="Calibri" w:hAnsi="Arial" w:cs="Arial"/>
          <w:color w:val="000000" w:themeColor="text1"/>
          <w:sz w:val="24"/>
          <w:szCs w:val="24"/>
        </w:rPr>
        <w:t xml:space="preserve"> are more prevalent in fields exhibiting docking disorder </w:t>
      </w:r>
      <w:r w:rsidR="0027750E" w:rsidRPr="002B3D8A">
        <w:rPr>
          <w:rFonts w:ascii="Arial" w:eastAsia="Calibri" w:hAnsi="Arial" w:cs="Arial"/>
          <w:color w:val="000000" w:themeColor="text1"/>
          <w:sz w:val="24"/>
          <w:szCs w:val="24"/>
        </w:rPr>
        <w:fldChar w:fldCharType="begin" w:fldLock="1"/>
      </w:r>
      <w:r w:rsidR="00CD6AD4" w:rsidRPr="002B3D8A">
        <w:rPr>
          <w:rFonts w:ascii="Arial" w:eastAsia="Calibri" w:hAnsi="Arial" w:cs="Arial"/>
          <w:color w:val="000000" w:themeColor="text1"/>
          <w:sz w:val="24"/>
          <w:szCs w:val="24"/>
        </w:rPr>
        <w:instrText>ADDIN CSL_CITATION {"citationItems":[{"id":"ITEM-1","itemData":{"DOI":"10.1016/0261-2194(89)90101-4","ISSN":"02612194","abstract":"Granular pesticides are used on about half of the UK sugar-beet crop, including almost all of the area at risk from damage by the ectoparasitic nematodes which cause Docking disorder. Survey data show that symptoms of damage are still widespread in some years but are rarely severe. In a series of field experiments comparing eight granular pesticides, those which are approved for control of Docking disorder usually gave large yield increases which were closely related to assessments of plant vigour made in June/July. Pesticide treatments decreased the numbers of active Trichodorus and Paratrichodorus in the rhizosphere by about 50%. © 1989.","author":[{"dropping-particle":"","family":"Cooke","given":"D. A.","non-dropping-particle":"","parse-names":false,"suffix":""}],"container-title":"Crop Protection","id":"ITEM-1","issue":"1","issued":{"date-parts":[["1989"]]},"page":"63-70","title":"Damage to sugar-beet crops by ectoparasitic nematodes, and its control by soil-applied granular pesticides","type":"article-journal","volume":"8"},"uris":["http://www.mendeley.com/documents/?uuid=db12597f-7be5-4c2b-862e-35b02ab7c2d1"]}],"mendeley":{"formattedCitation":"(Cooke, 1989)","plainTextFormattedCitation":"(Cooke, 1989)","previouslyFormattedCitation":"(Cooke, 1989)"},"properties":{"noteIndex":0},"schema":"https://github.com/citation-style-language/schema/raw/master/csl-citation.json"}</w:instrText>
      </w:r>
      <w:r w:rsidR="0027750E" w:rsidRPr="002B3D8A">
        <w:rPr>
          <w:rFonts w:ascii="Arial" w:eastAsia="Calibri" w:hAnsi="Arial" w:cs="Arial"/>
          <w:color w:val="000000" w:themeColor="text1"/>
          <w:sz w:val="24"/>
          <w:szCs w:val="24"/>
        </w:rPr>
        <w:fldChar w:fldCharType="separate"/>
      </w:r>
      <w:r w:rsidR="0027750E" w:rsidRPr="002B3D8A">
        <w:rPr>
          <w:rFonts w:ascii="Arial" w:eastAsia="Calibri" w:hAnsi="Arial" w:cs="Arial"/>
          <w:noProof/>
          <w:color w:val="000000" w:themeColor="text1"/>
          <w:sz w:val="24"/>
          <w:szCs w:val="24"/>
        </w:rPr>
        <w:t>(Cooke, 1989)</w:t>
      </w:r>
      <w:r w:rsidR="0027750E" w:rsidRPr="002B3D8A">
        <w:rPr>
          <w:rFonts w:ascii="Arial" w:eastAsia="Calibri" w:hAnsi="Arial" w:cs="Arial"/>
          <w:color w:val="000000" w:themeColor="text1"/>
          <w:sz w:val="24"/>
          <w:szCs w:val="24"/>
        </w:rPr>
        <w:fldChar w:fldCharType="end"/>
      </w:r>
      <w:r w:rsidR="0027750E" w:rsidRPr="002B3D8A">
        <w:rPr>
          <w:rFonts w:ascii="Arial" w:eastAsia="Calibri" w:hAnsi="Arial" w:cs="Arial"/>
          <w:color w:val="000000" w:themeColor="text1"/>
          <w:sz w:val="24"/>
          <w:szCs w:val="24"/>
        </w:rPr>
        <w:t xml:space="preserve">. Similar damage has also been reported from the Netherlands, where it is known as T-disease </w:t>
      </w:r>
      <w:r w:rsidR="0027750E"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{"citationItems":[{"id":"ITEM-1","itemData":{"author":[{"dropping-particle":"","family":"Kuiper","given":"K","non-dropping-particle":"","parse-names":false,"suffix":""},{"dropping-particle":"","family":"Loof","given":"P A A","non-dropping-particle":"","parse-names":false,"suffix":""}],"container-title":"Trichodorus flevensis n. sp.(Nematoda: Enoplida) a plant nematode from new polder soil.","id":"ITEM-1","issue":"136","issued":{"date-parts":[["1962"]]},"title":"Trichodorus flevensis n. sp.(Nematoda: Enoplida) a plant nematode from new polder soil.","type":"article-journal"},"uris":["http://www.mendeley.com/documents/?uuid=c8154a0f-1378-4584-8d20-38fcad336331"]}],"mendeley":{"formattedCitation":"(Kuiper and Loof, 1962)","plainTextFormattedCitation":"(Kuiper and Loof, 1962)","previouslyFormattedCitation":"(Kuiper and Loof, 1962)"},"properties":{"noteIndex":0},"schema":"https://github.com/citation-style-language/schema/raw/master/csl-citation.json"}</w:instrText>
      </w:r>
      <w:r w:rsidR="0027750E"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(Kuiper and Loof, 1962)</w:t>
      </w:r>
      <w:r w:rsidR="0027750E" w:rsidRPr="002B3D8A">
        <w:rPr>
          <w:rFonts w:ascii="Arial" w:eastAsia="Calibri" w:hAnsi="Arial" w:cs="Arial"/>
          <w:color w:val="000000" w:themeColor="text1"/>
          <w:sz w:val="24"/>
          <w:szCs w:val="24"/>
        </w:rPr>
        <w:fldChar w:fldCharType="end"/>
      </w:r>
      <w:r w:rsidR="0027750E" w:rsidRPr="002B3D8A">
        <w:rPr>
          <w:rFonts w:ascii="Arial" w:eastAsia="Calibri" w:hAnsi="Arial" w:cs="Arial"/>
          <w:color w:val="000000" w:themeColor="text1"/>
          <w:sz w:val="24"/>
          <w:szCs w:val="24"/>
        </w:rPr>
        <w:t xml:space="preserve">. </w:t>
      </w:r>
    </w:p>
    <w:p w14:paraId="2F43A86B" w14:textId="6A820F89" w:rsidR="001D0838" w:rsidRDefault="00FF0D5F" w:rsidP="00616CDC">
      <w:pPr>
        <w:tabs>
          <w:tab w:val="left" w:pos="3969"/>
        </w:tabs>
        <w:spacing w:line="360" w:lineRule="auto"/>
        <w:ind w:left="-567"/>
        <w:contextualSpacing/>
        <w:jc w:val="both"/>
        <w:rPr>
          <w:rFonts w:ascii="Arial" w:eastAsia="Calibri" w:hAnsi="Arial" w:cs="Arial"/>
          <w:color w:val="000000" w:themeColor="text1"/>
          <w:sz w:val="24"/>
          <w:szCs w:val="24"/>
        </w:rPr>
      </w:pPr>
      <w:r w:rsidRPr="002B3D8A">
        <w:rPr>
          <w:rFonts w:ascii="Arial" w:eastAsia="Calibri" w:hAnsi="Arial" w:cs="Arial"/>
          <w:color w:val="000000" w:themeColor="text1"/>
          <w:sz w:val="24"/>
          <w:szCs w:val="24"/>
        </w:rPr>
        <w:t xml:space="preserve">Docking disorder causes stunting of sugar beet in late </w:t>
      </w:r>
      <w:r w:rsidR="00446C42" w:rsidRPr="002B3D8A">
        <w:rPr>
          <w:rFonts w:ascii="Arial" w:eastAsia="Calibri" w:hAnsi="Arial" w:cs="Arial"/>
          <w:color w:val="000000" w:themeColor="text1"/>
          <w:sz w:val="24"/>
          <w:szCs w:val="24"/>
        </w:rPr>
        <w:t>May</w:t>
      </w:r>
      <w:r w:rsidRPr="002B3D8A">
        <w:rPr>
          <w:rFonts w:ascii="Arial" w:eastAsia="Calibri" w:hAnsi="Arial" w:cs="Arial"/>
          <w:color w:val="000000" w:themeColor="text1"/>
          <w:sz w:val="24"/>
          <w:szCs w:val="24"/>
        </w:rPr>
        <w:t xml:space="preserve"> or early </w:t>
      </w:r>
      <w:r w:rsidR="00446C42" w:rsidRPr="002B3D8A">
        <w:rPr>
          <w:rFonts w:ascii="Arial" w:eastAsia="Calibri" w:hAnsi="Arial" w:cs="Arial"/>
          <w:color w:val="000000" w:themeColor="text1"/>
          <w:sz w:val="24"/>
          <w:szCs w:val="24"/>
        </w:rPr>
        <w:t xml:space="preserve">June. Affected beets may have symptoms of magnesium or nitrogen </w:t>
      </w:r>
      <w:r w:rsidR="0045537D" w:rsidRPr="002B3D8A">
        <w:rPr>
          <w:rFonts w:ascii="Arial" w:eastAsia="Calibri" w:hAnsi="Arial" w:cs="Arial"/>
          <w:color w:val="000000" w:themeColor="text1"/>
          <w:sz w:val="24"/>
          <w:szCs w:val="24"/>
        </w:rPr>
        <w:t>deficiency.</w:t>
      </w:r>
      <w:r w:rsidR="00446C42" w:rsidRPr="002B3D8A">
        <w:rPr>
          <w:rFonts w:ascii="Arial" w:eastAsia="Calibri" w:hAnsi="Arial" w:cs="Arial"/>
          <w:color w:val="000000" w:themeColor="text1"/>
          <w:sz w:val="24"/>
          <w:szCs w:val="24"/>
        </w:rPr>
        <w:t xml:space="preserve"> The crop may recover through autumn/summer but the resulting root at harvest are </w:t>
      </w:r>
      <w:r w:rsidR="00C96C3E" w:rsidRPr="002B3D8A">
        <w:rPr>
          <w:rFonts w:ascii="Arial" w:eastAsia="Calibri" w:hAnsi="Arial" w:cs="Arial"/>
          <w:color w:val="000000" w:themeColor="text1"/>
          <w:sz w:val="24"/>
          <w:szCs w:val="24"/>
        </w:rPr>
        <w:t>o</w:t>
      </w:r>
      <w:r w:rsidR="00C96C3E">
        <w:rPr>
          <w:rFonts w:ascii="Arial" w:eastAsia="Calibri" w:hAnsi="Arial" w:cs="Arial"/>
          <w:color w:val="000000" w:themeColor="text1"/>
          <w:sz w:val="24"/>
          <w:szCs w:val="24"/>
        </w:rPr>
        <w:t>ften</w:t>
      </w:r>
      <w:r w:rsidR="00C96C3E" w:rsidRPr="002B3D8A">
        <w:rPr>
          <w:rFonts w:ascii="Arial" w:eastAsia="Calibri" w:hAnsi="Arial" w:cs="Arial"/>
          <w:color w:val="000000" w:themeColor="text1"/>
          <w:sz w:val="24"/>
          <w:szCs w:val="24"/>
        </w:rPr>
        <w:t xml:space="preserve"> </w:t>
      </w:r>
      <w:r w:rsidR="00446C42" w:rsidRPr="002B3D8A">
        <w:rPr>
          <w:rFonts w:ascii="Arial" w:eastAsia="Calibri" w:hAnsi="Arial" w:cs="Arial"/>
          <w:color w:val="000000" w:themeColor="text1"/>
          <w:sz w:val="24"/>
          <w:szCs w:val="24"/>
        </w:rPr>
        <w:t>fangy/misshapen</w:t>
      </w:r>
      <w:r w:rsidR="00C96C3E">
        <w:rPr>
          <w:rFonts w:ascii="Arial" w:eastAsia="Calibri" w:hAnsi="Arial" w:cs="Arial"/>
          <w:color w:val="000000" w:themeColor="text1"/>
          <w:sz w:val="24"/>
          <w:szCs w:val="24"/>
        </w:rPr>
        <w:t>.</w:t>
      </w:r>
      <w:r w:rsidR="0045537D" w:rsidRPr="002B3D8A">
        <w:rPr>
          <w:rFonts w:ascii="Arial" w:eastAsia="Calibri" w:hAnsi="Arial" w:cs="Arial"/>
          <w:color w:val="000000" w:themeColor="text1"/>
          <w:sz w:val="24"/>
          <w:szCs w:val="24"/>
        </w:rPr>
        <w:t xml:space="preserve"> </w:t>
      </w:r>
      <w:r w:rsidR="00C96C3E">
        <w:rPr>
          <w:rFonts w:ascii="Arial" w:eastAsia="Calibri" w:hAnsi="Arial" w:cs="Arial"/>
          <w:color w:val="000000" w:themeColor="text1"/>
          <w:sz w:val="24"/>
          <w:szCs w:val="24"/>
        </w:rPr>
        <w:t>I</w:t>
      </w:r>
      <w:r w:rsidR="0045537D" w:rsidRPr="002B3D8A">
        <w:rPr>
          <w:rFonts w:ascii="Arial" w:eastAsia="Calibri" w:hAnsi="Arial" w:cs="Arial"/>
          <w:color w:val="000000" w:themeColor="text1"/>
          <w:sz w:val="24"/>
          <w:szCs w:val="24"/>
        </w:rPr>
        <w:t>n fields where the symptoms persist</w:t>
      </w:r>
      <w:r w:rsidR="00C96C3E">
        <w:rPr>
          <w:rFonts w:ascii="Arial" w:eastAsia="Calibri" w:hAnsi="Arial" w:cs="Arial"/>
          <w:color w:val="000000" w:themeColor="text1"/>
          <w:sz w:val="24"/>
          <w:szCs w:val="24"/>
        </w:rPr>
        <w:t>ed</w:t>
      </w:r>
      <w:r w:rsidR="0045537D" w:rsidRPr="002B3D8A">
        <w:rPr>
          <w:rFonts w:ascii="Arial" w:eastAsia="Calibri" w:hAnsi="Arial" w:cs="Arial"/>
          <w:color w:val="000000" w:themeColor="text1"/>
          <w:sz w:val="24"/>
          <w:szCs w:val="24"/>
        </w:rPr>
        <w:t>, roots yielded 17.5 t /ha less and were more fang</w:t>
      </w:r>
      <w:r w:rsidR="001A49BE" w:rsidRPr="002B3D8A">
        <w:rPr>
          <w:rFonts w:ascii="Arial" w:eastAsia="Calibri" w:hAnsi="Arial" w:cs="Arial"/>
          <w:color w:val="000000" w:themeColor="text1"/>
          <w:sz w:val="24"/>
          <w:szCs w:val="24"/>
        </w:rPr>
        <w:t>y</w:t>
      </w:r>
      <w:r w:rsidR="0045537D" w:rsidRPr="002B3D8A">
        <w:rPr>
          <w:rFonts w:ascii="Arial" w:eastAsia="Calibri" w:hAnsi="Arial" w:cs="Arial"/>
          <w:color w:val="000000" w:themeColor="text1"/>
          <w:sz w:val="24"/>
          <w:szCs w:val="24"/>
        </w:rPr>
        <w:t xml:space="preserve"> tha</w:t>
      </w:r>
      <w:r w:rsidR="00C96C3E">
        <w:rPr>
          <w:rFonts w:ascii="Arial" w:eastAsia="Calibri" w:hAnsi="Arial" w:cs="Arial"/>
          <w:color w:val="000000" w:themeColor="text1"/>
          <w:sz w:val="24"/>
          <w:szCs w:val="24"/>
        </w:rPr>
        <w:t>n those from</w:t>
      </w:r>
      <w:r w:rsidR="0045537D" w:rsidRPr="002B3D8A">
        <w:rPr>
          <w:rFonts w:ascii="Arial" w:eastAsia="Calibri" w:hAnsi="Arial" w:cs="Arial"/>
          <w:color w:val="000000" w:themeColor="text1"/>
          <w:sz w:val="24"/>
          <w:szCs w:val="24"/>
        </w:rPr>
        <w:t xml:space="preserve"> </w:t>
      </w:r>
      <w:r w:rsidR="00C96C3E">
        <w:rPr>
          <w:rFonts w:ascii="Arial" w:eastAsia="Calibri" w:hAnsi="Arial" w:cs="Arial"/>
          <w:color w:val="000000" w:themeColor="text1"/>
          <w:sz w:val="24"/>
          <w:szCs w:val="24"/>
        </w:rPr>
        <w:t>un</w:t>
      </w:r>
      <w:r w:rsidR="0045537D" w:rsidRPr="002B3D8A">
        <w:rPr>
          <w:rFonts w:ascii="Arial" w:eastAsia="Calibri" w:hAnsi="Arial" w:cs="Arial"/>
          <w:color w:val="000000" w:themeColor="text1"/>
          <w:sz w:val="24"/>
          <w:szCs w:val="24"/>
        </w:rPr>
        <w:t xml:space="preserve">affected fields </w:t>
      </w:r>
      <w:r w:rsidR="0045537D" w:rsidRPr="002B3D8A">
        <w:rPr>
          <w:rFonts w:ascii="Arial" w:eastAsia="Calibri" w:hAnsi="Arial" w:cs="Arial"/>
          <w:color w:val="000000" w:themeColor="text1"/>
          <w:sz w:val="24"/>
          <w:szCs w:val="24"/>
        </w:rPr>
        <w:fldChar w:fldCharType="begin" w:fldLock="1"/>
      </w:r>
      <w:r w:rsidR="0045537D" w:rsidRPr="002B3D8A">
        <w:rPr>
          <w:rFonts w:ascii="Arial" w:eastAsia="Calibri" w:hAnsi="Arial" w:cs="Arial"/>
          <w:color w:val="000000" w:themeColor="text1"/>
          <w:sz w:val="24"/>
          <w:szCs w:val="24"/>
        </w:rPr>
        <w:instrText>ADDIN CSL_CITATION {"citationItems":[{"id":"ITEM-1","itemData":{"DOI":"10.1111/j.1365-3059.1973.tb01800.x","ISSN":"13653059","abstract":"In the years 1963 to 1972 the area of sugar beet in England reported affected with Docking disorder ranged from 174 to 7,819 ha. The disorder was most widespread after heavy May rainfall. Trichodorus spp. and Longidorus spp., which cause the primary damage to seedling roots, were common in sites prone to the disorder and surveyed between 1968 and 1971. Nematode numbers in soil samples taken from these sites at drilling could not be correlated with subsequent yield or root shape. Of the surveyed sites, 104 showed no symptoms of Docking disorder (average root yield=44·5 tonnes/ha), 44 showed symptoms early in the season but these disappeared later (average root yield=34·5 tonnes/ha) and 40 showed persistent symptoms (average root yield=27·0 tonnes/ha). Root shape was worst in sites with persistent symptoms. Docking disorder was impossible to predict accurately because the damage is influenced by growing conditions but it was more likely to be severe in fields with a previous history of the disorder. Copyright © 1973, Wiley Blackwell. All rights reserved","author":[{"dropping-particle":"","family":"Cooke","given":"D. A.","non-dropping-particle":"","parse-names":false,"suffix":""}],"container-title":"Plant Pathology","id":"ITEM-1","issue":"4","issued":{"date-parts":[["1973","12","1"]]},"page":"161-170","publisher":"John Wiley &amp; Sons, Ltd","title":"The Effect of Plant Parasitic Nematodes, Rainfall and Other Factors on Docking Disorder of Sugar Beet","type":"article-journal","volume":"22"},"uris":["http://www.mendeley.com/documents/?uuid=d8b52fbb-4455-4d00-877a-5a32f682cdaa"]}],"mendeley":{"formattedCitation":"(Cooke, 1973)","plainTextFormattedCitation":"(Cooke, 1973)","previouslyFormattedCitation":"(Cooke, 1973)"},"properties":{"noteIndex":0},"schema":"https://github.com/citation-style-language/schema/raw/master/csl-citation.json"}</w:instrText>
      </w:r>
      <w:r w:rsidR="0045537D" w:rsidRPr="002B3D8A">
        <w:rPr>
          <w:rFonts w:ascii="Arial" w:eastAsia="Calibri" w:hAnsi="Arial" w:cs="Arial"/>
          <w:color w:val="000000" w:themeColor="text1"/>
          <w:sz w:val="24"/>
          <w:szCs w:val="24"/>
        </w:rPr>
        <w:fldChar w:fldCharType="separate"/>
      </w:r>
      <w:r w:rsidR="0045537D" w:rsidRPr="002B3D8A">
        <w:rPr>
          <w:rFonts w:ascii="Arial" w:eastAsia="Calibri" w:hAnsi="Arial" w:cs="Arial"/>
          <w:noProof/>
          <w:color w:val="000000" w:themeColor="text1"/>
          <w:sz w:val="24"/>
          <w:szCs w:val="24"/>
        </w:rPr>
        <w:t>(Cooke, 1973)</w:t>
      </w:r>
      <w:r w:rsidR="0045537D" w:rsidRPr="002B3D8A">
        <w:rPr>
          <w:rFonts w:ascii="Arial" w:eastAsia="Calibri" w:hAnsi="Arial" w:cs="Arial"/>
          <w:color w:val="000000" w:themeColor="text1"/>
          <w:sz w:val="24"/>
          <w:szCs w:val="24"/>
        </w:rPr>
        <w:fldChar w:fldCharType="end"/>
      </w:r>
      <w:r w:rsidR="0045537D" w:rsidRPr="002B3D8A">
        <w:rPr>
          <w:rFonts w:ascii="Arial" w:eastAsia="Calibri" w:hAnsi="Arial" w:cs="Arial"/>
          <w:color w:val="000000" w:themeColor="text1"/>
          <w:sz w:val="24"/>
          <w:szCs w:val="24"/>
        </w:rPr>
        <w:t>. A yield loss of up to 50 % has been recorded as a result of</w:t>
      </w:r>
      <w:r w:rsidR="00C96C3E">
        <w:rPr>
          <w:rFonts w:ascii="Arial" w:eastAsia="Calibri" w:hAnsi="Arial" w:cs="Arial"/>
          <w:color w:val="000000" w:themeColor="text1"/>
          <w:sz w:val="24"/>
          <w:szCs w:val="24"/>
        </w:rPr>
        <w:t xml:space="preserve"> the</w:t>
      </w:r>
      <w:r w:rsidR="0045537D" w:rsidRPr="002B3D8A">
        <w:rPr>
          <w:rFonts w:ascii="Arial" w:eastAsia="Calibri" w:hAnsi="Arial" w:cs="Arial"/>
          <w:color w:val="000000" w:themeColor="text1"/>
          <w:sz w:val="24"/>
          <w:szCs w:val="24"/>
        </w:rPr>
        <w:t xml:space="preserve"> fangy root sy</w:t>
      </w:r>
      <w:r w:rsidR="00C96C3E">
        <w:rPr>
          <w:rFonts w:ascii="Arial" w:eastAsia="Calibri" w:hAnsi="Arial" w:cs="Arial"/>
          <w:color w:val="000000" w:themeColor="text1"/>
          <w:sz w:val="24"/>
          <w:szCs w:val="24"/>
        </w:rPr>
        <w:t>mptoms of Docking disorder</w:t>
      </w:r>
      <w:r w:rsidR="0045537D" w:rsidRPr="002B3D8A">
        <w:rPr>
          <w:rFonts w:ascii="Arial" w:eastAsia="Calibri" w:hAnsi="Arial" w:cs="Arial"/>
          <w:color w:val="000000" w:themeColor="text1"/>
          <w:sz w:val="24"/>
          <w:szCs w:val="24"/>
        </w:rPr>
        <w:t xml:space="preserve"> </w:t>
      </w:r>
      <w:r w:rsidR="0045537D" w:rsidRPr="002B3D8A">
        <w:rPr>
          <w:rFonts w:ascii="Arial" w:eastAsia="Calibri" w:hAnsi="Arial" w:cs="Arial"/>
          <w:color w:val="000000" w:themeColor="text1"/>
          <w:sz w:val="24"/>
          <w:szCs w:val="24"/>
        </w:rPr>
        <w:fldChar w:fldCharType="begin" w:fldLock="1"/>
      </w:r>
      <w:r w:rsidR="0027750E" w:rsidRPr="002B3D8A">
        <w:rPr>
          <w:rFonts w:ascii="Arial" w:eastAsia="Calibri" w:hAnsi="Arial" w:cs="Arial"/>
          <w:color w:val="000000" w:themeColor="text1"/>
          <w:sz w:val="24"/>
          <w:szCs w:val="24"/>
        </w:rPr>
        <w:instrText>ADDIN CSL_CITATION {"citationItems":[{"id":"ITEM-1","itemData":{"DOI":"10.1016/0261-2194(89)90101-4","ISSN":"02612194","abstract":"Granular pesticides are used on about half of the UK sugar-beet crop, including almost all of the area at risk from damage by the ectoparasitic nematodes which cause Docking disorder. Survey data show that symptoms of damage are still widespread in some years but are rarely severe. In a series of field experiments comparing eight granular pesticides, those which are approved for control of Docking disorder usually gave large yield increases which were closely related to assessments of plant vigour made in June/July. Pesticide treatments decreased the numbers of active Trichodorus and Paratrichodorus in the rhizosphere by about 50%. © 1989.","author":[{"dropping-particle":"","family":"Cooke","given":"D. A.","non-dropping-particle":"","parse-names":false,"suffix":""}],"container-title":"Crop Protection","id":"ITEM-1","issue":"1","issued":{"date-parts":[["1989"]]},"page":"63-70","title":"Damage to sugar-beet crops by ectoparasitic nematodes, and its control by soil-applied granular pesticides","type":"article-journal","volume":"8"},"uris":["http://www.mendeley.com/documents/?uuid=db12597f-7be5-4c2b-862e-35b02ab7c2d1"]}],"mendeley":{"formattedCitation":"(Cooke, 1989)","plainTextFormattedCitation":"(Cooke, 1989)","previouslyFormattedCitation":"(Cooke, 1989)"},"properties":{"noteIndex":0},"schema":"https://github.com/citation-style-language/schema/raw/master/csl-citation.json"}</w:instrText>
      </w:r>
      <w:r w:rsidR="0045537D" w:rsidRPr="002B3D8A">
        <w:rPr>
          <w:rFonts w:ascii="Arial" w:eastAsia="Calibri" w:hAnsi="Arial" w:cs="Arial"/>
          <w:color w:val="000000" w:themeColor="text1"/>
          <w:sz w:val="24"/>
          <w:szCs w:val="24"/>
        </w:rPr>
        <w:fldChar w:fldCharType="separate"/>
      </w:r>
      <w:r w:rsidR="0045537D" w:rsidRPr="002B3D8A">
        <w:rPr>
          <w:rFonts w:ascii="Arial" w:eastAsia="Calibri" w:hAnsi="Arial" w:cs="Arial"/>
          <w:noProof/>
          <w:color w:val="000000" w:themeColor="text1"/>
          <w:sz w:val="24"/>
          <w:szCs w:val="24"/>
        </w:rPr>
        <w:t>(Cooke, 1989)</w:t>
      </w:r>
      <w:r w:rsidR="0045537D" w:rsidRPr="002B3D8A">
        <w:rPr>
          <w:rFonts w:ascii="Arial" w:eastAsia="Calibri" w:hAnsi="Arial" w:cs="Arial"/>
          <w:color w:val="000000" w:themeColor="text1"/>
          <w:sz w:val="24"/>
          <w:szCs w:val="24"/>
        </w:rPr>
        <w:fldChar w:fldCharType="end"/>
      </w:r>
      <w:r w:rsidR="0045537D" w:rsidRPr="002B3D8A">
        <w:rPr>
          <w:rFonts w:ascii="Arial" w:eastAsia="Calibri" w:hAnsi="Arial" w:cs="Arial"/>
          <w:color w:val="000000" w:themeColor="text1"/>
          <w:sz w:val="24"/>
          <w:szCs w:val="24"/>
        </w:rPr>
        <w:t xml:space="preserve">. </w:t>
      </w:r>
      <w:r w:rsidR="00446C42" w:rsidRPr="002B3D8A">
        <w:rPr>
          <w:rFonts w:ascii="Arial" w:eastAsia="Calibri" w:hAnsi="Arial" w:cs="Arial"/>
          <w:color w:val="000000" w:themeColor="text1"/>
          <w:sz w:val="24"/>
          <w:szCs w:val="24"/>
        </w:rPr>
        <w:t>Severity of the disorder is often worsened by environmental factors such as rainfall, previous cropping, physical condition</w:t>
      </w:r>
      <w:r w:rsidR="00C96C3E">
        <w:rPr>
          <w:rFonts w:ascii="Arial" w:eastAsia="Calibri" w:hAnsi="Arial" w:cs="Arial"/>
          <w:color w:val="000000" w:themeColor="text1"/>
          <w:sz w:val="24"/>
          <w:szCs w:val="24"/>
        </w:rPr>
        <w:t>s</w:t>
      </w:r>
      <w:r w:rsidR="00446C42" w:rsidRPr="002B3D8A">
        <w:rPr>
          <w:rFonts w:ascii="Arial" w:eastAsia="Calibri" w:hAnsi="Arial" w:cs="Arial"/>
          <w:color w:val="000000" w:themeColor="text1"/>
          <w:sz w:val="24"/>
          <w:szCs w:val="24"/>
        </w:rPr>
        <w:t xml:space="preserve"> of the soil, rate and timing of fertiliser application/herbicides and other agricultural practices </w:t>
      </w:r>
      <w:r w:rsidR="00446C42" w:rsidRPr="002B3D8A">
        <w:rPr>
          <w:rFonts w:ascii="Arial" w:eastAsia="Calibri" w:hAnsi="Arial" w:cs="Arial"/>
          <w:color w:val="000000" w:themeColor="text1"/>
          <w:sz w:val="24"/>
          <w:szCs w:val="24"/>
        </w:rPr>
        <w:fldChar w:fldCharType="begin" w:fldLock="1"/>
      </w:r>
      <w:r w:rsidR="00446C42" w:rsidRPr="002B3D8A">
        <w:rPr>
          <w:rFonts w:ascii="Arial" w:eastAsia="Calibri" w:hAnsi="Arial" w:cs="Arial"/>
          <w:color w:val="000000" w:themeColor="text1"/>
          <w:sz w:val="24"/>
          <w:szCs w:val="24"/>
        </w:rPr>
        <w:instrText>ADDIN CSL_CITATION {"citationItems":[{"id":"ITEM-1","itemData":{"DOI":"10.1111/j.1365-3059.1973.tb01800.x","ISSN":"13653059","abstract":"In the years 1963 to 1972 the area of sugar beet in England reported affected with Docking disorder ranged from 174 to 7,819 ha. The disorder was most widespread after heavy May rainfall. Trichodorus spp. and Longidorus spp., which cause the primary damage to seedling roots, were common in sites prone to the disorder and surveyed between 1968 and 1971. Nematode numbers in soil samples taken from these sites at drilling could not be correlated with subsequent yield or root shape. Of the surveyed sites, 104 showed no symptoms of Docking disorder (average root yield=44·5 tonnes/ha), 44 showed symptoms early in the season but these disappeared later (average root yield=34·5 tonnes/ha) and 40 showed persistent symptoms (average root yield=27·0 tonnes/ha). Root shape was worst in sites with persistent symptoms. Docking disorder was impossible to predict accurately because the damage is influenced by growing conditions but it was more likely to be severe in fields with a previous history of the disorder. Copyright © 1973, Wiley Blackwell. All rights reserved","author":[{"dropping-particle":"","family":"Cooke","given":"D. A.","non-dropping-particle":"","parse-names":false,"suffix":""}],"container-title":"Plant Pathology","id":"ITEM-1","issue":"4","issued":{"date-parts":[["1973","12","1"]]},"page":"161-170","publisher":"John Wiley &amp; Sons, Ltd","title":"The Effect of Plant Parasitic Nematodes, Rainfall and Other Factors on Docking Disorder of Sugar Beet","type":"article-journal","volume":"22"},"uris":["http://www.mendeley.com/documents/?uuid=d8b52fbb-4455-4d00-877a-5a32f682cdaa"]}],"mendeley":{"formattedCitation":"(Cooke, 1973)","plainTextFormattedCitation":"(Cooke, 1973)","previouslyFormattedCitation":"(Cooke, 1973)"},"properties":{"noteIndex":0},"schema":"https://github.com/citation-style-language/schema/raw/master/csl-citation.json"}</w:instrText>
      </w:r>
      <w:r w:rsidR="00446C42" w:rsidRPr="002B3D8A">
        <w:rPr>
          <w:rFonts w:ascii="Arial" w:eastAsia="Calibri" w:hAnsi="Arial" w:cs="Arial"/>
          <w:color w:val="000000" w:themeColor="text1"/>
          <w:sz w:val="24"/>
          <w:szCs w:val="24"/>
        </w:rPr>
        <w:fldChar w:fldCharType="separate"/>
      </w:r>
      <w:r w:rsidR="00446C42" w:rsidRPr="002B3D8A">
        <w:rPr>
          <w:rFonts w:ascii="Arial" w:eastAsia="Calibri" w:hAnsi="Arial" w:cs="Arial"/>
          <w:noProof/>
          <w:color w:val="000000" w:themeColor="text1"/>
          <w:sz w:val="24"/>
          <w:szCs w:val="24"/>
        </w:rPr>
        <w:t>(Cooke, 1973)</w:t>
      </w:r>
      <w:r w:rsidR="00446C42" w:rsidRPr="002B3D8A">
        <w:rPr>
          <w:rFonts w:ascii="Arial" w:eastAsia="Calibri" w:hAnsi="Arial" w:cs="Arial"/>
          <w:color w:val="000000" w:themeColor="text1"/>
          <w:sz w:val="24"/>
          <w:szCs w:val="24"/>
        </w:rPr>
        <w:fldChar w:fldCharType="end"/>
      </w:r>
      <w:r w:rsidR="0045537D" w:rsidRPr="002B3D8A">
        <w:rPr>
          <w:rFonts w:ascii="Arial" w:eastAsia="Calibri" w:hAnsi="Arial" w:cs="Arial"/>
          <w:color w:val="000000" w:themeColor="text1"/>
          <w:sz w:val="24"/>
          <w:szCs w:val="24"/>
        </w:rPr>
        <w:t>.</w:t>
      </w:r>
      <w:r w:rsidR="00446C42" w:rsidRPr="002B3D8A">
        <w:rPr>
          <w:rFonts w:ascii="Arial" w:eastAsia="Calibri" w:hAnsi="Arial" w:cs="Arial"/>
          <w:color w:val="000000" w:themeColor="text1"/>
          <w:sz w:val="24"/>
          <w:szCs w:val="24"/>
        </w:rPr>
        <w:t xml:space="preserve"> Root damage is mostly evident at the end of </w:t>
      </w:r>
      <w:r w:rsidR="00791A9B" w:rsidRPr="002B3D8A">
        <w:rPr>
          <w:rFonts w:ascii="Arial" w:eastAsia="Calibri" w:hAnsi="Arial" w:cs="Arial"/>
          <w:color w:val="000000" w:themeColor="text1"/>
          <w:sz w:val="24"/>
          <w:szCs w:val="24"/>
        </w:rPr>
        <w:t>May</w:t>
      </w:r>
      <w:r w:rsidR="00C96C3E">
        <w:rPr>
          <w:rFonts w:ascii="Arial" w:eastAsia="Calibri" w:hAnsi="Arial" w:cs="Arial"/>
          <w:color w:val="000000" w:themeColor="text1"/>
          <w:sz w:val="24"/>
          <w:szCs w:val="24"/>
        </w:rPr>
        <w:t>,</w:t>
      </w:r>
      <w:r w:rsidR="00446C42" w:rsidRPr="002B3D8A">
        <w:rPr>
          <w:rFonts w:ascii="Arial" w:eastAsia="Calibri" w:hAnsi="Arial" w:cs="Arial"/>
          <w:color w:val="000000" w:themeColor="text1"/>
          <w:sz w:val="24"/>
          <w:szCs w:val="24"/>
        </w:rPr>
        <w:t xml:space="preserve"> coinciding with </w:t>
      </w:r>
      <w:r w:rsidR="00C96C3E">
        <w:rPr>
          <w:rFonts w:ascii="Arial" w:eastAsia="Calibri" w:hAnsi="Arial" w:cs="Arial"/>
          <w:color w:val="000000" w:themeColor="text1"/>
          <w:sz w:val="24"/>
          <w:szCs w:val="24"/>
        </w:rPr>
        <w:t>higher</w:t>
      </w:r>
      <w:r w:rsidR="00C96C3E" w:rsidRPr="002B3D8A">
        <w:rPr>
          <w:rFonts w:ascii="Arial" w:eastAsia="Calibri" w:hAnsi="Arial" w:cs="Arial"/>
          <w:color w:val="000000" w:themeColor="text1"/>
          <w:sz w:val="24"/>
          <w:szCs w:val="24"/>
        </w:rPr>
        <w:t xml:space="preserve"> </w:t>
      </w:r>
      <w:r w:rsidR="00446C42" w:rsidRPr="002B3D8A">
        <w:rPr>
          <w:rFonts w:ascii="Arial" w:eastAsia="Calibri" w:hAnsi="Arial" w:cs="Arial"/>
          <w:color w:val="000000" w:themeColor="text1"/>
          <w:sz w:val="24"/>
          <w:szCs w:val="24"/>
        </w:rPr>
        <w:t>rainfall</w:t>
      </w:r>
      <w:r w:rsidR="00C96C3E">
        <w:rPr>
          <w:rFonts w:ascii="Arial" w:eastAsia="Calibri" w:hAnsi="Arial" w:cs="Arial"/>
          <w:color w:val="000000" w:themeColor="text1"/>
          <w:sz w:val="24"/>
          <w:szCs w:val="24"/>
        </w:rPr>
        <w:t>,</w:t>
      </w:r>
      <w:r w:rsidR="00446C42" w:rsidRPr="002B3D8A">
        <w:rPr>
          <w:rFonts w:ascii="Arial" w:eastAsia="Calibri" w:hAnsi="Arial" w:cs="Arial"/>
          <w:color w:val="000000" w:themeColor="text1"/>
          <w:sz w:val="24"/>
          <w:szCs w:val="24"/>
        </w:rPr>
        <w:t xml:space="preserve"> while the symptoms of the tops i.e. symptoms of magnesium and nitrogen deficiency are mostly visible in June </w:t>
      </w:r>
      <w:r w:rsidR="00446C42" w:rsidRPr="002B3D8A">
        <w:rPr>
          <w:rFonts w:ascii="Arial" w:eastAsia="Calibri" w:hAnsi="Arial" w:cs="Arial"/>
          <w:color w:val="000000" w:themeColor="text1"/>
          <w:sz w:val="24"/>
          <w:szCs w:val="24"/>
        </w:rPr>
        <w:fldChar w:fldCharType="begin" w:fldLock="1"/>
      </w:r>
      <w:r w:rsidR="0045537D" w:rsidRPr="002B3D8A">
        <w:rPr>
          <w:rFonts w:ascii="Arial" w:eastAsia="Calibri" w:hAnsi="Arial" w:cs="Arial"/>
          <w:color w:val="000000" w:themeColor="text1"/>
          <w:sz w:val="24"/>
          <w:szCs w:val="24"/>
        </w:rPr>
        <w:instrText>ADDIN CSL_CITATION {"citationItems":[{"id":"ITEM-1","itemData":{"DOI":"10.1111/j.1365-3059.1973.tb01800.x","ISSN":"13653059","abstract":"In the years 1963 to 1972 the area of sugar beet in England reported affected with Docking disorder ranged from 174 to 7,819 ha. The disorder was most widespread after heavy May rainfall. Trichodorus spp. and Longidorus spp., which cause the primary damage to seedling roots, were common in sites prone to the disorder and surveyed between 1968 and 1971. Nematode numbers in soil samples taken from these sites at drilling could not be correlated with subsequent yield or root shape. Of the surveyed sites, 104 showed no symptoms of Docking disorder (average root yield=44·5 tonnes/ha), 44 showed symptoms early in the season but these disappeared later (average root yield=34·5 tonnes/ha) and 40 showed persistent symptoms (average root yield=27·0 tonnes/ha). Root shape was worst in sites with persistent symptoms. Docking disorder was impossible to predict accurately because the damage is influenced by growing conditions but it was more likely to be severe in fields with a previous history of the disorder. Copyright © 1973, Wiley Blackwell. All rights reserved","author":[{"dropping-particle":"","family":"Cooke","given":"D. A.","non-dropping-particle":"","parse-names":false,"suffix":""}],"container-title":"Plant Pathology","id":"ITEM-1","issue":"4","issued":{"date-parts":[["1973","12","1"]]},"page":"161-170","publisher":"John Wiley &amp; Sons, Ltd","title":"The Effect of Plant Parasitic Nematodes, Rainfall and Other Factors on Docking Disorder of Sugar Beet","type":"article-journal","volume":"22"},"uris":["http://www.mendeley.com/documents/?uuid=d8b52fbb-4455-4d00-877a-5a32f682cdaa"]}],"mendeley":{"formattedCitation":"(Cooke, 1973)","plainTextFormattedCitation":"(Cooke, 1973)","previouslyFormattedCitation":"(Cooke, 1973)"},"properties":{"noteIndex":0},"schema":"https://github.com/citation-style-language/schema/raw/master/csl-citation.json"}</w:instrText>
      </w:r>
      <w:r w:rsidR="00446C42" w:rsidRPr="002B3D8A">
        <w:rPr>
          <w:rFonts w:ascii="Arial" w:eastAsia="Calibri" w:hAnsi="Arial" w:cs="Arial"/>
          <w:color w:val="000000" w:themeColor="text1"/>
          <w:sz w:val="24"/>
          <w:szCs w:val="24"/>
        </w:rPr>
        <w:fldChar w:fldCharType="separate"/>
      </w:r>
      <w:r w:rsidR="00446C42" w:rsidRPr="002B3D8A">
        <w:rPr>
          <w:rFonts w:ascii="Arial" w:eastAsia="Calibri" w:hAnsi="Arial" w:cs="Arial"/>
          <w:noProof/>
          <w:color w:val="000000" w:themeColor="text1"/>
          <w:sz w:val="24"/>
          <w:szCs w:val="24"/>
        </w:rPr>
        <w:t>(Cooke, 1973)</w:t>
      </w:r>
      <w:r w:rsidR="00446C42" w:rsidRPr="002B3D8A">
        <w:rPr>
          <w:rFonts w:ascii="Arial" w:eastAsia="Calibri" w:hAnsi="Arial" w:cs="Arial"/>
          <w:color w:val="000000" w:themeColor="text1"/>
          <w:sz w:val="24"/>
          <w:szCs w:val="24"/>
        </w:rPr>
        <w:fldChar w:fldCharType="end"/>
      </w:r>
      <w:r w:rsidR="00E121D7" w:rsidRPr="00E121D7">
        <w:rPr>
          <w:rFonts w:ascii="Arial" w:eastAsia="Calibri" w:hAnsi="Arial" w:cs="Arial"/>
          <w:color w:val="000000" w:themeColor="text1"/>
          <w:sz w:val="24"/>
          <w:szCs w:val="24"/>
        </w:rPr>
        <w:t xml:space="preserve"> </w:t>
      </w:r>
      <w:r w:rsidR="001D0838" w:rsidRPr="002B3D8A">
        <w:rPr>
          <w:rFonts w:ascii="Arial" w:eastAsia="Calibri" w:hAnsi="Arial" w:cs="Arial"/>
          <w:color w:val="000000" w:themeColor="text1"/>
          <w:sz w:val="24"/>
          <w:szCs w:val="24"/>
        </w:rPr>
        <w:t xml:space="preserve">Seedlings attacked by </w:t>
      </w:r>
      <w:r w:rsidR="001D0838">
        <w:rPr>
          <w:rFonts w:ascii="Arial" w:eastAsia="Calibri" w:hAnsi="Arial" w:cs="Arial"/>
          <w:color w:val="000000" w:themeColor="text1"/>
          <w:sz w:val="24"/>
          <w:szCs w:val="24"/>
        </w:rPr>
        <w:t>trichodorid</w:t>
      </w:r>
      <w:r w:rsidR="001D0838" w:rsidRPr="002B3D8A">
        <w:rPr>
          <w:rFonts w:ascii="Arial" w:eastAsia="Calibri" w:hAnsi="Arial" w:cs="Arial"/>
          <w:color w:val="000000" w:themeColor="text1"/>
          <w:sz w:val="24"/>
          <w:szCs w:val="24"/>
        </w:rPr>
        <w:t xml:space="preserve"> nematodes may show typical damage symptoms with stubby lateral roots</w:t>
      </w:r>
      <w:r w:rsidR="001D0838">
        <w:rPr>
          <w:rFonts w:ascii="Arial" w:eastAsia="Calibri" w:hAnsi="Arial" w:cs="Arial"/>
          <w:color w:val="000000" w:themeColor="text1"/>
          <w:sz w:val="24"/>
          <w:szCs w:val="24"/>
        </w:rPr>
        <w:t>,</w:t>
      </w:r>
      <w:r w:rsidR="001D0838" w:rsidRPr="002B3D8A">
        <w:rPr>
          <w:rFonts w:ascii="Arial" w:eastAsia="Calibri" w:hAnsi="Arial" w:cs="Arial"/>
          <w:color w:val="000000" w:themeColor="text1"/>
          <w:sz w:val="24"/>
          <w:szCs w:val="24"/>
        </w:rPr>
        <w:t xml:space="preserve"> which turn grey- brown and later black as they die and decay. </w:t>
      </w:r>
      <w:r w:rsidR="001D0838">
        <w:rPr>
          <w:rFonts w:ascii="Arial" w:eastAsia="Calibri" w:hAnsi="Arial" w:cs="Arial"/>
          <w:color w:val="000000" w:themeColor="text1"/>
          <w:sz w:val="24"/>
          <w:szCs w:val="24"/>
        </w:rPr>
        <w:t>Figure 6 below shows a fanged sugar beet root system verses a healthy root system at maturity. Any n</w:t>
      </w:r>
      <w:r w:rsidR="001D0838" w:rsidRPr="002B3D8A">
        <w:rPr>
          <w:rFonts w:ascii="Arial" w:eastAsia="Calibri" w:hAnsi="Arial" w:cs="Arial"/>
          <w:color w:val="000000" w:themeColor="text1"/>
          <w:sz w:val="24"/>
          <w:szCs w:val="24"/>
        </w:rPr>
        <w:t xml:space="preserve">ew roots </w:t>
      </w:r>
      <w:r w:rsidR="001D0838">
        <w:rPr>
          <w:rFonts w:ascii="Arial" w:eastAsia="Calibri" w:hAnsi="Arial" w:cs="Arial"/>
          <w:color w:val="000000" w:themeColor="text1"/>
          <w:sz w:val="24"/>
          <w:szCs w:val="24"/>
        </w:rPr>
        <w:t>formed during development are also</w:t>
      </w:r>
      <w:r w:rsidR="001D0838" w:rsidRPr="002B3D8A">
        <w:rPr>
          <w:rFonts w:ascii="Arial" w:eastAsia="Calibri" w:hAnsi="Arial" w:cs="Arial"/>
          <w:color w:val="000000" w:themeColor="text1"/>
          <w:sz w:val="24"/>
          <w:szCs w:val="24"/>
        </w:rPr>
        <w:t xml:space="preserve"> attacked</w:t>
      </w:r>
      <w:r w:rsidR="001D0838">
        <w:rPr>
          <w:rFonts w:ascii="Arial" w:eastAsia="Calibri" w:hAnsi="Arial" w:cs="Arial"/>
          <w:color w:val="000000" w:themeColor="text1"/>
          <w:sz w:val="24"/>
          <w:szCs w:val="24"/>
        </w:rPr>
        <w:t>.</w:t>
      </w:r>
      <w:r w:rsidR="001D0838" w:rsidRPr="002B3D8A">
        <w:rPr>
          <w:rFonts w:ascii="Arial" w:eastAsia="Calibri" w:hAnsi="Arial" w:cs="Arial"/>
          <w:color w:val="000000" w:themeColor="text1"/>
          <w:sz w:val="24"/>
          <w:szCs w:val="24"/>
        </w:rPr>
        <w:t xml:space="preserve"> Often the tap root stops growing or is killed and lateral roots near the surface thicken and replace it resulting in a poorly yielding misshapen (fangy) root at harvest </w:t>
      </w:r>
      <w:r w:rsidR="001D0838" w:rsidRPr="002B3D8A">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uthor":[{"dropping-particle":"","family":"Whitehead","given":"A.G.","non-dropping-particle":"","parse-names":false,"suffix":""},{"dropping-particle":"","family":"Hooper","given":"D.J.","non-dropping-particle":"","parse-names":false,"suffix":""}],"container-title":"Ann. appl. Biol","id":"ITEM-1","issued":{"date-parts":[["1970"]]},"page":"339-350","title":"Needle nematodes (Longidorus spp.) and stubby-root nematodes ( Trichodorus spp.) harmful to sugar beet and other field crops in England","type":"article-journal"},"uris":["http://www.mendeley.com/documents/?uuid=e3a9ba67-b49f-4808-a0ea-7bff1763d6dd"]}],"mendeley":{"formattedCitation":"(Whitehead and Hooper, 1970)","plainTextFormattedCitation":"(Whitehead and Hooper, 1970)","previouslyFormattedCitation":"(Whitehead and Hooper, 1970)"},"properties":{"noteIndex":0},"schema":"https://github.com/citation-style-language/schema/raw/master/csl-citation.json"}</w:instrText>
      </w:r>
      <w:r w:rsidR="001D0838" w:rsidRPr="002B3D8A">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(Whitehead and Hooper, 1970)</w:t>
      </w:r>
      <w:r w:rsidR="001D0838" w:rsidRPr="002B3D8A">
        <w:rPr>
          <w:rFonts w:ascii="Arial" w:eastAsia="Calibri" w:hAnsi="Arial" w:cs="Arial"/>
          <w:color w:val="000000" w:themeColor="text1"/>
          <w:sz w:val="24"/>
          <w:szCs w:val="24"/>
        </w:rPr>
        <w:fldChar w:fldCharType="end"/>
      </w:r>
      <w:r w:rsidR="001D0838" w:rsidRPr="002B3D8A">
        <w:rPr>
          <w:rFonts w:ascii="Arial" w:eastAsia="Calibri" w:hAnsi="Arial" w:cs="Arial"/>
          <w:color w:val="000000" w:themeColor="text1"/>
          <w:sz w:val="24"/>
          <w:szCs w:val="24"/>
        </w:rPr>
        <w:t xml:space="preserve">. </w:t>
      </w:r>
    </w:p>
    <w:p w14:paraId="2084F19D" w14:textId="5C7CE311" w:rsidR="00FF0D5F" w:rsidRPr="002B3D8A" w:rsidRDefault="00FF0D5F" w:rsidP="006241CA">
      <w:pPr>
        <w:tabs>
          <w:tab w:val="left" w:pos="3969"/>
        </w:tabs>
        <w:spacing w:line="360" w:lineRule="auto"/>
        <w:contextualSpacing/>
        <w:jc w:val="both"/>
        <w:rPr>
          <w:rFonts w:ascii="Arial" w:eastAsia="Calibri" w:hAnsi="Arial" w:cs="Arial"/>
          <w:color w:val="000000" w:themeColor="text1"/>
          <w:sz w:val="24"/>
          <w:szCs w:val="24"/>
        </w:rPr>
      </w:pPr>
    </w:p>
    <w:p w14:paraId="31BEEB5F" w14:textId="2EAE3636" w:rsidR="0022535A" w:rsidRPr="002B3D8A" w:rsidRDefault="001A49BE" w:rsidP="006241CA">
      <w:pPr>
        <w:tabs>
          <w:tab w:val="left" w:pos="3969"/>
        </w:tabs>
        <w:spacing w:line="360" w:lineRule="auto"/>
        <w:contextualSpacing/>
        <w:jc w:val="both"/>
        <w:rPr>
          <w:rFonts w:ascii="Arial" w:eastAsia="Calibri" w:hAnsi="Arial" w:cs="Arial"/>
          <w:color w:val="000000" w:themeColor="text1"/>
          <w:sz w:val="24"/>
          <w:szCs w:val="24"/>
        </w:rPr>
      </w:pPr>
      <w:r w:rsidRPr="002B3D8A">
        <w:rPr>
          <w:rFonts w:ascii="Arial" w:hAnsi="Arial" w:cs="Arial"/>
          <w:noProof/>
          <w:color w:val="000000" w:themeColor="text1"/>
          <w:sz w:val="24"/>
          <w:szCs w:val="24"/>
        </w:rPr>
        <w:drawing>
          <wp:inline distT="0" distB="0" distL="0" distR="0" wp14:anchorId="679E33FC" wp14:editId="420203C6">
            <wp:extent cx="2593671" cy="2562225"/>
            <wp:effectExtent l="0" t="0" r="0" b="0"/>
            <wp:docPr id="51" name="Picture 50">
              <a:extLst xmlns:a="http://schemas.openxmlformats.org/drawingml/2006/main">
                <a:ext uri="{FF2B5EF4-FFF2-40B4-BE49-F238E27FC236}">
                  <a16:creationId xmlns:a16="http://schemas.microsoft.com/office/drawing/2014/main" id="{FE7421BB-257F-4491-885D-524A9A53F7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FE7421BB-257F-4491-885D-524A9A53F799}"/>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0845" r="7796" b="6010"/>
                    <a:stretch/>
                  </pic:blipFill>
                  <pic:spPr>
                    <a:xfrm rot="10800000">
                      <a:off x="0" y="0"/>
                      <a:ext cx="2602695" cy="2571140"/>
                    </a:xfrm>
                    <a:prstGeom prst="rect">
                      <a:avLst/>
                    </a:prstGeom>
                  </pic:spPr>
                </pic:pic>
              </a:graphicData>
            </a:graphic>
          </wp:inline>
        </w:drawing>
      </w:r>
      <w:r w:rsidR="0022535A">
        <w:rPr>
          <w:rFonts w:ascii="Arial" w:eastAsia="Calibri" w:hAnsi="Arial" w:cs="Arial"/>
          <w:noProof/>
          <w:color w:val="000000" w:themeColor="text1"/>
          <w:sz w:val="24"/>
          <w:szCs w:val="24"/>
        </w:rPr>
        <w:drawing>
          <wp:inline distT="0" distB="0" distL="0" distR="0" wp14:anchorId="319B1AA8" wp14:editId="2D919DC5">
            <wp:extent cx="1600200" cy="25594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84"/>
                    <a:stretch/>
                  </pic:blipFill>
                  <pic:spPr bwMode="auto">
                    <a:xfrm>
                      <a:off x="0" y="0"/>
                      <a:ext cx="1615186" cy="2583408"/>
                    </a:xfrm>
                    <a:prstGeom prst="rect">
                      <a:avLst/>
                    </a:prstGeom>
                    <a:noFill/>
                    <a:ln>
                      <a:noFill/>
                    </a:ln>
                  </pic:spPr>
                </pic:pic>
              </a:graphicData>
            </a:graphic>
          </wp:inline>
        </w:drawing>
      </w:r>
    </w:p>
    <w:p w14:paraId="2980ADF6" w14:textId="0EBD39DE" w:rsidR="00BF7D78" w:rsidRDefault="001A49BE" w:rsidP="00616CDC">
      <w:pPr>
        <w:rPr>
          <w:rFonts w:ascii="Arial" w:eastAsia="Calibri" w:hAnsi="Arial" w:cs="Arial"/>
          <w:color w:val="000000" w:themeColor="text1"/>
          <w:sz w:val="24"/>
          <w:szCs w:val="24"/>
        </w:rPr>
        <w:sectPr w:rsidR="00BF7D78" w:rsidSect="00B27D90">
          <w:pgSz w:w="11906" w:h="16838"/>
          <w:pgMar w:top="1440" w:right="1440" w:bottom="1440" w:left="1440" w:header="708" w:footer="708" w:gutter="0"/>
          <w:cols w:space="708"/>
          <w:docGrid w:linePitch="360"/>
        </w:sectPr>
      </w:pPr>
      <w:bookmarkStart w:id="25" w:name="_Toc110342109"/>
      <w:r w:rsidRPr="00791A9B">
        <w:rPr>
          <w:rFonts w:ascii="Arial" w:hAnsi="Arial" w:cs="Arial"/>
          <w:color w:val="000000" w:themeColor="text1"/>
        </w:rPr>
        <w:t xml:space="preserve">Figure </w:t>
      </w:r>
      <w:r w:rsidRPr="00791A9B">
        <w:rPr>
          <w:rFonts w:ascii="Arial" w:hAnsi="Arial" w:cs="Arial"/>
          <w:color w:val="000000" w:themeColor="text1"/>
        </w:rPr>
        <w:fldChar w:fldCharType="begin"/>
      </w:r>
      <w:r w:rsidRPr="00791A9B">
        <w:rPr>
          <w:rFonts w:ascii="Arial" w:hAnsi="Arial" w:cs="Arial"/>
          <w:color w:val="000000" w:themeColor="text1"/>
        </w:rPr>
        <w:instrText xml:space="preserve"> SEQ Figure \* ARABIC </w:instrText>
      </w:r>
      <w:r w:rsidRPr="00791A9B">
        <w:rPr>
          <w:rFonts w:ascii="Arial" w:hAnsi="Arial" w:cs="Arial"/>
          <w:color w:val="000000" w:themeColor="text1"/>
        </w:rPr>
        <w:fldChar w:fldCharType="separate"/>
      </w:r>
      <w:r w:rsidR="00C10D2B">
        <w:rPr>
          <w:rFonts w:ascii="Arial" w:hAnsi="Arial" w:cs="Arial"/>
          <w:noProof/>
          <w:color w:val="000000" w:themeColor="text1"/>
        </w:rPr>
        <w:t>6</w:t>
      </w:r>
      <w:r w:rsidRPr="00791A9B">
        <w:rPr>
          <w:rFonts w:ascii="Arial" w:hAnsi="Arial" w:cs="Arial"/>
          <w:color w:val="000000" w:themeColor="text1"/>
        </w:rPr>
        <w:fldChar w:fldCharType="end"/>
      </w:r>
      <w:r w:rsidRPr="00791A9B">
        <w:rPr>
          <w:rFonts w:ascii="Arial" w:hAnsi="Arial" w:cs="Arial"/>
          <w:color w:val="000000" w:themeColor="text1"/>
        </w:rPr>
        <w:t>:Fanged sugar beet root system (</w:t>
      </w:r>
      <w:r w:rsidR="001D0838">
        <w:rPr>
          <w:rFonts w:ascii="Arial" w:hAnsi="Arial" w:cs="Arial"/>
          <w:color w:val="000000" w:themeColor="text1"/>
        </w:rPr>
        <w:t>L</w:t>
      </w:r>
      <w:r w:rsidRPr="00791A9B">
        <w:rPr>
          <w:rFonts w:ascii="Arial" w:hAnsi="Arial" w:cs="Arial"/>
          <w:color w:val="000000" w:themeColor="text1"/>
        </w:rPr>
        <w:t>eft) verses healthy root system (Right)</w:t>
      </w:r>
      <w:bookmarkEnd w:id="25"/>
    </w:p>
    <w:p w14:paraId="64B3D763" w14:textId="77777777" w:rsidR="00BF7D78" w:rsidRPr="002B3D8A" w:rsidRDefault="00BF7D78" w:rsidP="006241CA">
      <w:pPr>
        <w:spacing w:line="360" w:lineRule="auto"/>
        <w:contextualSpacing/>
        <w:jc w:val="both"/>
        <w:rPr>
          <w:rFonts w:ascii="Arial" w:eastAsia="Calibri" w:hAnsi="Arial" w:cs="Arial"/>
          <w:color w:val="000000" w:themeColor="text1"/>
          <w:sz w:val="24"/>
          <w:szCs w:val="24"/>
        </w:rPr>
      </w:pPr>
    </w:p>
    <w:p w14:paraId="10F40005" w14:textId="45402BCF" w:rsidR="006241CA" w:rsidRPr="00791A9B" w:rsidRDefault="006241CA" w:rsidP="006A155D">
      <w:pPr>
        <w:pBdr>
          <w:top w:val="single" w:sz="4" w:space="1" w:color="auto"/>
          <w:bottom w:val="single" w:sz="4" w:space="1" w:color="auto"/>
        </w:pBdr>
        <w:jc w:val="both"/>
        <w:rPr>
          <w:rFonts w:ascii="Arial" w:hAnsi="Arial" w:cs="Arial"/>
          <w:color w:val="000000" w:themeColor="text1"/>
        </w:rPr>
      </w:pPr>
      <w:bookmarkStart w:id="26" w:name="_Toc110343300"/>
      <w:r w:rsidRPr="00791A9B">
        <w:rPr>
          <w:rFonts w:ascii="Arial" w:hAnsi="Arial" w:cs="Arial"/>
          <w:b/>
          <w:color w:val="000000" w:themeColor="text1"/>
        </w:rPr>
        <w:t xml:space="preserve">Table </w:t>
      </w:r>
      <w:r w:rsidRPr="00791A9B">
        <w:rPr>
          <w:rFonts w:ascii="Arial" w:hAnsi="Arial" w:cs="Arial"/>
          <w:b/>
          <w:color w:val="000000" w:themeColor="text1"/>
        </w:rPr>
        <w:fldChar w:fldCharType="begin"/>
      </w:r>
      <w:r w:rsidRPr="00791A9B">
        <w:rPr>
          <w:rFonts w:ascii="Arial" w:hAnsi="Arial" w:cs="Arial"/>
          <w:b/>
          <w:color w:val="000000" w:themeColor="text1"/>
        </w:rPr>
        <w:instrText xml:space="preserve"> SEQ Table \* ARABIC </w:instrText>
      </w:r>
      <w:r w:rsidRPr="00791A9B">
        <w:rPr>
          <w:rFonts w:ascii="Arial" w:hAnsi="Arial" w:cs="Arial"/>
          <w:b/>
          <w:color w:val="000000" w:themeColor="text1"/>
        </w:rPr>
        <w:fldChar w:fldCharType="separate"/>
      </w:r>
      <w:r w:rsidR="00DD3BE0">
        <w:rPr>
          <w:rFonts w:ascii="Arial" w:hAnsi="Arial" w:cs="Arial"/>
          <w:b/>
          <w:noProof/>
          <w:color w:val="000000" w:themeColor="text1"/>
        </w:rPr>
        <w:t>1</w:t>
      </w:r>
      <w:r w:rsidRPr="00791A9B">
        <w:rPr>
          <w:rFonts w:ascii="Arial" w:hAnsi="Arial" w:cs="Arial"/>
          <w:b/>
          <w:color w:val="000000" w:themeColor="text1"/>
        </w:rPr>
        <w:fldChar w:fldCharType="end"/>
      </w:r>
      <w:r w:rsidRPr="00791A9B">
        <w:rPr>
          <w:rFonts w:ascii="Arial" w:hAnsi="Arial" w:cs="Arial"/>
          <w:color w:val="000000" w:themeColor="text1"/>
        </w:rPr>
        <w:t xml:space="preserve">: </w:t>
      </w:r>
      <w:r w:rsidR="00EC67C6">
        <w:rPr>
          <w:rFonts w:ascii="Arial" w:hAnsi="Arial" w:cs="Arial"/>
          <w:color w:val="000000" w:themeColor="text1"/>
        </w:rPr>
        <w:t>The proportion of the</w:t>
      </w:r>
      <w:r w:rsidRPr="00791A9B">
        <w:rPr>
          <w:rFonts w:ascii="Arial" w:hAnsi="Arial" w:cs="Arial"/>
          <w:color w:val="000000" w:themeColor="text1"/>
        </w:rPr>
        <w:t xml:space="preserve"> sugar-beet crop reported </w:t>
      </w:r>
      <w:r w:rsidR="00EC67C6">
        <w:rPr>
          <w:rFonts w:ascii="Arial" w:hAnsi="Arial" w:cs="Arial"/>
          <w:color w:val="000000" w:themeColor="text1"/>
        </w:rPr>
        <w:t>to be affected by Docking disorder for</w:t>
      </w:r>
      <w:r w:rsidR="00EC67C6" w:rsidRPr="00791A9B">
        <w:rPr>
          <w:rFonts w:ascii="Arial" w:hAnsi="Arial" w:cs="Arial"/>
          <w:color w:val="000000" w:themeColor="text1"/>
        </w:rPr>
        <w:t xml:space="preserve"> </w:t>
      </w:r>
      <w:r w:rsidRPr="00791A9B">
        <w:rPr>
          <w:rFonts w:ascii="Arial" w:hAnsi="Arial" w:cs="Arial"/>
          <w:color w:val="000000" w:themeColor="text1"/>
        </w:rPr>
        <w:t xml:space="preserve">each factory area </w:t>
      </w:r>
      <w:r w:rsidR="00EC67C6">
        <w:rPr>
          <w:rFonts w:ascii="Arial" w:hAnsi="Arial" w:cs="Arial"/>
          <w:color w:val="000000" w:themeColor="text1"/>
        </w:rPr>
        <w:t>between 1967-1972</w:t>
      </w:r>
      <w:r w:rsidRPr="00791A9B">
        <w:rPr>
          <w:rFonts w:ascii="Arial" w:hAnsi="Arial" w:cs="Arial"/>
          <w:color w:val="000000" w:themeColor="text1"/>
        </w:rPr>
        <w:t>; the areas from 1968 onwards are those reported affected in June (the month in which most Docking disorder is usually apparent)</w:t>
      </w:r>
      <w:r w:rsidR="00EC67C6">
        <w:rPr>
          <w:rFonts w:ascii="Arial" w:hAnsi="Arial" w:cs="Arial"/>
          <w:color w:val="000000" w:themeColor="text1"/>
        </w:rPr>
        <w:t>. Source: Cooke, 1973.</w:t>
      </w:r>
      <w:bookmarkEnd w:id="26"/>
    </w:p>
    <w:p w14:paraId="3845E55B" w14:textId="09D7C450" w:rsidR="00E22FA8" w:rsidRPr="002B3D8A" w:rsidRDefault="008C392A" w:rsidP="00D4255D">
      <w:pPr>
        <w:tabs>
          <w:tab w:val="left" w:pos="3969"/>
        </w:tabs>
        <w:spacing w:line="360" w:lineRule="auto"/>
        <w:contextualSpacing/>
        <w:jc w:val="both"/>
        <w:rPr>
          <w:rFonts w:ascii="Arial" w:eastAsia="Calibri" w:hAnsi="Arial" w:cs="Arial"/>
          <w:color w:val="000000" w:themeColor="text1"/>
          <w:sz w:val="24"/>
          <w:szCs w:val="24"/>
        </w:rPr>
      </w:pPr>
      <w:r>
        <w:rPr>
          <w:rFonts w:ascii="Arial" w:eastAsia="Calibri" w:hAnsi="Arial" w:cs="Arial"/>
          <w:b/>
          <w:noProof/>
          <w:color w:val="000000" w:themeColor="text1"/>
          <w:sz w:val="24"/>
          <w:szCs w:val="24"/>
        </w:rPr>
        <mc:AlternateContent>
          <mc:Choice Requires="wps">
            <w:drawing>
              <wp:anchor distT="0" distB="0" distL="114300" distR="114300" simplePos="0" relativeHeight="251658248" behindDoc="0" locked="0" layoutInCell="1" allowOverlap="1" wp14:anchorId="19FB4D60" wp14:editId="11BB48F1">
                <wp:simplePos x="0" y="0"/>
                <wp:positionH relativeFrom="margin">
                  <wp:align>left</wp:align>
                </wp:positionH>
                <wp:positionV relativeFrom="paragraph">
                  <wp:posOffset>4409439</wp:posOffset>
                </wp:positionV>
                <wp:extent cx="6124575" cy="28575"/>
                <wp:effectExtent l="0" t="0" r="28575" b="28575"/>
                <wp:wrapNone/>
                <wp:docPr id="18" name="Straight Connector 18"/>
                <wp:cNvGraphicFramePr/>
                <a:graphic xmlns:a="http://schemas.openxmlformats.org/drawingml/2006/main">
                  <a:graphicData uri="http://schemas.microsoft.com/office/word/2010/wordprocessingShape">
                    <wps:wsp>
                      <wps:cNvCnPr/>
                      <wps:spPr>
                        <a:xfrm flipV="1">
                          <a:off x="0" y="0"/>
                          <a:ext cx="612457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4885A25">
              <v:line id="Straight Connector 18" style="position:absolute;flip:y;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lack [3200]" strokeweight=".5pt" from="0,347.2pt" to="482.25pt,349.45pt" w14:anchorId="010130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">
                <v:stroke joinstyle="miter"/>
                <w10:wrap anchorx="margin"/>
              </v:line>
            </w:pict>
          </mc:Fallback>
        </mc:AlternateContent>
      </w:r>
      <w:r w:rsidR="00AA6D77" w:rsidRPr="002B3D8A">
        <w:rPr>
          <w:rFonts w:ascii="Arial" w:hAnsi="Arial" w:cs="Arial"/>
          <w:noProof/>
          <w:color w:val="000000" w:themeColor="text1"/>
          <w:sz w:val="24"/>
          <w:szCs w:val="24"/>
        </w:rPr>
        <w:drawing>
          <wp:inline distT="0" distB="0" distL="0" distR="0" wp14:anchorId="6D7827F8" wp14:editId="15AE0346">
            <wp:extent cx="6246109" cy="4419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409" t="10239" r="5246"/>
                    <a:stretch/>
                  </pic:blipFill>
                  <pic:spPr bwMode="auto">
                    <a:xfrm>
                      <a:off x="0" y="0"/>
                      <a:ext cx="6742332" cy="4770716"/>
                    </a:xfrm>
                    <a:prstGeom prst="rect">
                      <a:avLst/>
                    </a:prstGeom>
                    <a:ln>
                      <a:noFill/>
                    </a:ln>
                    <a:extLst>
                      <a:ext uri="{53640926-AAD7-44D8-BBD7-CCE9431645EC}">
                        <a14:shadowObscured xmlns:a14="http://schemas.microsoft.com/office/drawing/2010/main"/>
                      </a:ext>
                    </a:extLst>
                  </pic:spPr>
                </pic:pic>
              </a:graphicData>
            </a:graphic>
          </wp:inline>
        </w:drawing>
      </w:r>
    </w:p>
    <w:p w14:paraId="4097D91E" w14:textId="02A85CF7" w:rsidR="00ED025C" w:rsidRPr="00616CDC" w:rsidRDefault="00D4255D" w:rsidP="00753BB8">
      <w:pPr>
        <w:pStyle w:val="Heading2"/>
        <w:spacing w:line="360" w:lineRule="auto"/>
        <w:rPr>
          <w:rFonts w:ascii="Arial" w:hAnsi="Arial" w:cs="Arial"/>
          <w:b/>
          <w:color w:val="000000" w:themeColor="text1"/>
          <w:sz w:val="24"/>
          <w:szCs w:val="24"/>
        </w:rPr>
      </w:pPr>
      <w:bookmarkStart w:id="27" w:name="_Toc110341281"/>
      <w:r w:rsidRPr="002B3D8A">
        <w:rPr>
          <w:rFonts w:ascii="Arial" w:eastAsia="Calibri" w:hAnsi="Arial" w:cs="Arial"/>
          <w:color w:val="000000" w:themeColor="text1"/>
          <w:sz w:val="24"/>
          <w:szCs w:val="24"/>
        </w:rPr>
        <w:t xml:space="preserve">. </w:t>
      </w:r>
      <w:r w:rsidR="001A0616" w:rsidRPr="00616CDC">
        <w:rPr>
          <w:rFonts w:ascii="Arial" w:hAnsi="Arial" w:cs="Arial"/>
          <w:b/>
          <w:color w:val="000000" w:themeColor="text1"/>
          <w:sz w:val="24"/>
          <w:szCs w:val="24"/>
        </w:rPr>
        <w:t xml:space="preserve">1.3 </w:t>
      </w:r>
      <w:r w:rsidR="004F0CD4" w:rsidRPr="00616CDC">
        <w:rPr>
          <w:rFonts w:ascii="Arial" w:hAnsi="Arial" w:cs="Arial"/>
          <w:b/>
          <w:color w:val="000000" w:themeColor="text1"/>
          <w:sz w:val="24"/>
          <w:szCs w:val="24"/>
        </w:rPr>
        <w:t xml:space="preserve">Management options for </w:t>
      </w:r>
      <w:r w:rsidR="00ED025C" w:rsidRPr="00616CDC">
        <w:rPr>
          <w:rFonts w:ascii="Arial" w:hAnsi="Arial" w:cs="Arial"/>
          <w:b/>
          <w:color w:val="000000" w:themeColor="text1"/>
          <w:sz w:val="24"/>
          <w:szCs w:val="24"/>
        </w:rPr>
        <w:t>Stubby root nematodes</w:t>
      </w:r>
      <w:bookmarkEnd w:id="27"/>
    </w:p>
    <w:p w14:paraId="5FD0D7D1" w14:textId="2BA759AA" w:rsidR="004F0CD4" w:rsidRDefault="00ED025C" w:rsidP="00753BB8">
      <w:pPr>
        <w:pStyle w:val="Heading2"/>
        <w:spacing w:line="360" w:lineRule="auto"/>
        <w:rPr>
          <w:rFonts w:ascii="Arial" w:hAnsi="Arial" w:cs="Arial"/>
          <w:b/>
          <w:color w:val="000000" w:themeColor="text1"/>
          <w:sz w:val="24"/>
          <w:szCs w:val="24"/>
        </w:rPr>
      </w:pPr>
      <w:bookmarkStart w:id="28" w:name="_Toc110341282"/>
      <w:r>
        <w:rPr>
          <w:rFonts w:ascii="Arial" w:hAnsi="Arial" w:cs="Arial"/>
          <w:b/>
          <w:color w:val="000000" w:themeColor="text1"/>
          <w:sz w:val="24"/>
          <w:szCs w:val="24"/>
        </w:rPr>
        <w:t>1.3.1 Introduction</w:t>
      </w:r>
      <w:bookmarkEnd w:id="28"/>
      <w:r>
        <w:rPr>
          <w:rFonts w:ascii="Arial" w:hAnsi="Arial" w:cs="Arial"/>
          <w:b/>
          <w:color w:val="000000" w:themeColor="text1"/>
          <w:sz w:val="24"/>
          <w:szCs w:val="24"/>
        </w:rPr>
        <w:t xml:space="preserve"> </w:t>
      </w:r>
    </w:p>
    <w:p w14:paraId="507A9FF7" w14:textId="320C9BCF" w:rsidR="006A4AEA" w:rsidRPr="00ED025C" w:rsidRDefault="00BA70A7" w:rsidP="00616CDC">
      <w:pPr>
        <w:spacing w:line="360" w:lineRule="auto"/>
        <w:ind w:left="-426"/>
        <w:jc w:val="both"/>
        <w:rPr>
          <w:rFonts w:ascii="Arial" w:eastAsia="Calibri" w:hAnsi="Arial" w:cs="Arial"/>
          <w:color w:val="000000" w:themeColor="text1"/>
          <w:sz w:val="24"/>
          <w:szCs w:val="24"/>
        </w:rPr>
      </w:pPr>
      <w:r w:rsidRPr="00ED025C">
        <w:rPr>
          <w:rFonts w:ascii="Arial" w:hAnsi="Arial" w:cs="Arial"/>
          <w:sz w:val="24"/>
          <w:szCs w:val="24"/>
        </w:rPr>
        <w:t xml:space="preserve">For many </w:t>
      </w:r>
      <w:r w:rsidR="006C7957" w:rsidRPr="00ED025C">
        <w:rPr>
          <w:rFonts w:ascii="Arial" w:hAnsi="Arial" w:cs="Arial"/>
          <w:sz w:val="24"/>
          <w:szCs w:val="24"/>
        </w:rPr>
        <w:t>decades, management</w:t>
      </w:r>
      <w:r w:rsidRPr="00ED025C">
        <w:rPr>
          <w:rFonts w:ascii="Arial" w:hAnsi="Arial" w:cs="Arial"/>
          <w:sz w:val="24"/>
          <w:szCs w:val="24"/>
        </w:rPr>
        <w:t xml:space="preserve"> strategies to minimise </w:t>
      </w:r>
      <w:r w:rsidR="006C7957" w:rsidRPr="00ED025C">
        <w:rPr>
          <w:rFonts w:ascii="Arial" w:hAnsi="Arial" w:cs="Arial"/>
          <w:sz w:val="24"/>
          <w:szCs w:val="24"/>
        </w:rPr>
        <w:t>sugar beet</w:t>
      </w:r>
      <w:r w:rsidRPr="00ED025C">
        <w:rPr>
          <w:rFonts w:ascii="Arial" w:hAnsi="Arial" w:cs="Arial"/>
          <w:sz w:val="24"/>
          <w:szCs w:val="24"/>
        </w:rPr>
        <w:t xml:space="preserve"> y</w:t>
      </w:r>
      <w:r w:rsidR="006C7957" w:rsidRPr="00ED025C">
        <w:rPr>
          <w:rFonts w:ascii="Arial" w:hAnsi="Arial" w:cs="Arial"/>
          <w:sz w:val="24"/>
          <w:szCs w:val="24"/>
        </w:rPr>
        <w:t>iel</w:t>
      </w:r>
      <w:r w:rsidRPr="00ED025C">
        <w:rPr>
          <w:rFonts w:ascii="Arial" w:hAnsi="Arial" w:cs="Arial"/>
          <w:sz w:val="24"/>
          <w:szCs w:val="24"/>
        </w:rPr>
        <w:t xml:space="preserve">d losses caused by stubby root nematodes has been prophylactic use of pesticides </w:t>
      </w:r>
      <w:r w:rsidR="006C7957" w:rsidRPr="00ED025C">
        <w:rPr>
          <w:rFonts w:ascii="Arial" w:hAnsi="Arial" w:cs="Arial"/>
          <w:sz w:val="24"/>
          <w:szCs w:val="24"/>
        </w:rPr>
        <w:t>i.e.</w:t>
      </w:r>
      <w:r w:rsidRPr="00ED025C">
        <w:rPr>
          <w:rFonts w:ascii="Arial" w:hAnsi="Arial" w:cs="Arial"/>
          <w:sz w:val="24"/>
          <w:szCs w:val="24"/>
        </w:rPr>
        <w:t xml:space="preserve"> use of soil fumigants. Application has been done either in autumn before sowing or as a row application shortly after drilling of </w:t>
      </w:r>
      <w:r w:rsidR="006C7957" w:rsidRPr="00ED025C">
        <w:rPr>
          <w:rFonts w:ascii="Arial" w:hAnsi="Arial" w:cs="Arial"/>
          <w:sz w:val="24"/>
          <w:szCs w:val="24"/>
        </w:rPr>
        <w:t>sugar beet</w:t>
      </w:r>
      <w:r w:rsidRPr="00ED025C">
        <w:rPr>
          <w:rFonts w:ascii="Arial" w:hAnsi="Arial" w:cs="Arial"/>
          <w:sz w:val="24"/>
          <w:szCs w:val="24"/>
        </w:rPr>
        <w:t xml:space="preserve">. </w:t>
      </w:r>
      <w:r w:rsidRPr="00ED025C">
        <w:rPr>
          <w:rFonts w:ascii="Arial" w:hAnsi="Arial" w:cs="Arial"/>
          <w:sz w:val="24"/>
          <w:szCs w:val="24"/>
        </w:rPr>
        <w:fldChar w:fldCharType="begin" w:fldLock="1"/>
      </w:r>
      <w:r w:rsidR="00E13293">
        <w:rPr>
          <w:rFonts w:ascii="Arial" w:hAnsi="Arial" w:cs="Arial"/>
          <w:sz w:val="24"/>
          <w:szCs w:val="24"/>
        </w:rPr>
        <w:instrText>ADDIN CSL_CITATION {"citationItems":[{"id":"ITEM-1","itemData":{"DOI":"10.1111/j.1744-7348.1971.tb04678.x","ISSN":"0003-4746","abstract":"In fifteen experiments on light land infested with plant</w:instrText>
      </w:r>
      <w:r w:rsidR="00E13293">
        <w:rPr>
          <w:rFonts w:ascii="Cambria Math" w:hAnsi="Cambria Math" w:cs="Cambria Math"/>
          <w:sz w:val="24"/>
          <w:szCs w:val="24"/>
        </w:rPr>
        <w:instrText>‐</w:instrText>
      </w:r>
      <w:r w:rsidR="00E13293">
        <w:rPr>
          <w:rFonts w:ascii="Arial" w:hAnsi="Arial" w:cs="Arial"/>
          <w:sz w:val="24"/>
          <w:szCs w:val="24"/>
        </w:rPr>
        <w:instrText>parasitic nematodes, fumigating the soil during the previous winter with D</w:instrText>
      </w:r>
      <w:r w:rsidR="00E13293">
        <w:rPr>
          <w:rFonts w:ascii="Cambria Math" w:hAnsi="Cambria Math" w:cs="Cambria Math"/>
          <w:sz w:val="24"/>
          <w:szCs w:val="24"/>
        </w:rPr>
        <w:instrText>‐</w:instrText>
      </w:r>
      <w:r w:rsidR="00E13293">
        <w:rPr>
          <w:rFonts w:ascii="Arial" w:hAnsi="Arial" w:cs="Arial"/>
          <w:sz w:val="24"/>
          <w:szCs w:val="24"/>
        </w:rPr>
        <w:instrText>D increased the average yield of sugar</w:instrText>
      </w:r>
      <w:r w:rsidR="00E13293">
        <w:rPr>
          <w:rFonts w:ascii="Cambria Math" w:hAnsi="Cambria Math" w:cs="Cambria Math"/>
          <w:sz w:val="24"/>
          <w:szCs w:val="24"/>
        </w:rPr>
        <w:instrText>‐</w:instrText>
      </w:r>
      <w:r w:rsidR="00E13293">
        <w:rPr>
          <w:rFonts w:ascii="Arial" w:hAnsi="Arial" w:cs="Arial"/>
          <w:sz w:val="24"/>
          <w:szCs w:val="24"/>
        </w:rPr>
        <w:instrText>beet roots from 25 to 36 t/ha; this was more than that obtained with various forms of nitrogenous fertilizers used in amounts up to 250 kg N/ha. Application of 85 kg N/ha increased yields on fumigated plots by 7 t/ha, and there was little benefit from giving more. Fumigation killed 65 % of the Pratylenchus spp., 80% of the Trichodorus spp. and 90% of the Tylenchorhynchus spp. in the top 5 cm of the soil and, at 15–20 cm deep, 90, 93 and 95% of these three genera. The increased yield from fumigant at different sites was not correlated with the initial populations of nematodes. The average increase in yield from fumigation was only poorly correlated with rainfall during May. The increases in nematode populations between April and August depended on rainfall, and were 0positively correlated both with the accumulated rainfall for the 10 weeks before sampling the soil in August and with the rainfall during the week previous to sampling. Fumigation not only improved the health of roots, and so enabled them to use nitrogen more efficiently, but also increased the amount of available nitrogen in the soil and decreased the amount lost by leaching. Injected anhydrous ammonia did not affect the populations of nematodes. Copyright © 1971, Wiley Blackwell. All rights reserved","author":[{"dropping-particle":"","family":"Cooke","given":"D. A.","non-dropping-particle":"","parse-names":false,"suffix":""},{"dropping-particle":"","family":"Draycott","given":"A. P.","non-dropping-particle":"","parse-names":false,"suffix":""}],"container-title":"Annals of Applied Biology","id":"ITEM-1","issue":"3","issued":{"date-parts":[["1971","12","1"]]},"page":"253-264","publisher":"John Wiley &amp; Sons, Ltd","title":"The effects of soil fumigation and nitrogen fertilizers on nematodes and sugar beet in sandy soils","type":"article-journal","volume":"69"},"uris":["http://www.mendeley.com/documents/?uuid=330c0861-0a9e-3b04-8fef-9c530dd04541"]}],"mendeley":{"formattedCitation":"(Cooke and Draycott, 1971)","plainTextFormattedCitation":"(Cooke and Draycott, 1971)","previouslyFormattedCitation":"(Cooke and Draycott, 1971)"},"properties":{"noteIndex":0},"schema":"https://github.com/citation-style-language/schema/raw/master/csl-citation.json"}</w:instrText>
      </w:r>
      <w:r w:rsidRPr="00ED025C">
        <w:rPr>
          <w:rFonts w:ascii="Arial" w:hAnsi="Arial" w:cs="Arial"/>
          <w:sz w:val="24"/>
          <w:szCs w:val="24"/>
        </w:rPr>
        <w:fldChar w:fldCharType="separate"/>
      </w:r>
      <w:r w:rsidR="00E13293" w:rsidRPr="00E13293">
        <w:rPr>
          <w:rFonts w:ascii="Arial" w:hAnsi="Arial" w:cs="Arial"/>
          <w:noProof/>
          <w:sz w:val="24"/>
          <w:szCs w:val="24"/>
        </w:rPr>
        <w:t>(Cooke and Draycott, 1971)</w:t>
      </w:r>
      <w:r w:rsidRPr="00ED025C">
        <w:rPr>
          <w:rFonts w:ascii="Arial" w:hAnsi="Arial" w:cs="Arial"/>
          <w:sz w:val="24"/>
          <w:szCs w:val="24"/>
        </w:rPr>
        <w:fldChar w:fldCharType="end"/>
      </w:r>
      <w:r w:rsidR="00A54430" w:rsidRPr="00ED025C">
        <w:rPr>
          <w:rFonts w:ascii="Arial" w:hAnsi="Arial" w:cs="Arial"/>
          <w:sz w:val="24"/>
          <w:szCs w:val="24"/>
        </w:rPr>
        <w:t xml:space="preserve">. Most of the sugar beet crop at risk of docking disorder </w:t>
      </w:r>
      <w:r w:rsidR="006C7957" w:rsidRPr="00ED025C">
        <w:rPr>
          <w:rFonts w:ascii="Arial" w:hAnsi="Arial" w:cs="Arial"/>
          <w:sz w:val="24"/>
          <w:szCs w:val="24"/>
        </w:rPr>
        <w:t xml:space="preserve">in the UK, </w:t>
      </w:r>
      <w:r w:rsidR="00A54430" w:rsidRPr="00ED025C">
        <w:rPr>
          <w:rFonts w:ascii="Arial" w:hAnsi="Arial" w:cs="Arial"/>
          <w:sz w:val="24"/>
          <w:szCs w:val="24"/>
        </w:rPr>
        <w:t xml:space="preserve">relied on row application of granular pesticides usually aldicarb at drilling to prevent root damage by the stubby root nematodes but the </w:t>
      </w:r>
      <w:r w:rsidR="00E97C2A" w:rsidRPr="00ED025C">
        <w:rPr>
          <w:rFonts w:ascii="Arial" w:hAnsi="Arial" w:cs="Arial"/>
          <w:sz w:val="24"/>
          <w:szCs w:val="24"/>
        </w:rPr>
        <w:t>expense and inconvenience of these techniques limited their use</w:t>
      </w:r>
      <w:r w:rsidR="00A54430" w:rsidRPr="00ED025C">
        <w:rPr>
          <w:rFonts w:ascii="Arial" w:hAnsi="Arial" w:cs="Arial"/>
          <w:sz w:val="24"/>
          <w:szCs w:val="24"/>
        </w:rPr>
        <w:t xml:space="preserve"> </w:t>
      </w:r>
      <w:r w:rsidR="00A54430" w:rsidRPr="00ED025C">
        <w:rPr>
          <w:rFonts w:ascii="Arial" w:hAnsi="Arial" w:cs="Arial"/>
          <w:sz w:val="24"/>
          <w:szCs w:val="24"/>
        </w:rPr>
        <w:fldChar w:fldCharType="begin" w:fldLock="1"/>
      </w:r>
      <w:r w:rsidR="00BC06E9" w:rsidRPr="00ED025C">
        <w:rPr>
          <w:rFonts w:ascii="Arial" w:hAnsi="Arial" w:cs="Arial"/>
          <w:sz w:val="24"/>
          <w:szCs w:val="24"/>
        </w:rPr>
        <w:instrText>ADDIN CSL_CITATION {"citationItems":[{"id":"ITEM-1","itemData":{"DOI":"10.1016/0261-2194(89)90101-4","ISSN":"02612194","abstract":"Granular pesticides are used on about half of the UK sugar-beet crop, including almost all of the area at risk from damage by the ectoparasitic nematodes which cause Docking disorder. Survey data show that symptoms of damage are still widespread in some years but are rarely severe. In a series of field experiments comparing eight granular pesticides, those which are approved for control of Docking disorder usually gave large yield increases which were closely related to assessments of plant vigour made in June/July. Pesticide treatments decreased the numbers of active Trichodorus and Paratrichodorus in the rhizosphere by about 50%. © 1989.","author":[{"dropping-particle":"","family":"Cooke","given":"D. A.","non-dropping-particle":"","parse-names":false,"suffix":""}],"container-title":"Crop Protection","id":"ITEM-1","issue":"1","issued":{"date-parts":[["1989"]]},"page":"63-70","title":"Damage to sugar-beet crops by ectoparasitic nematodes, and its control by soil-applied granular pesticides","type":"article-journal","volume":"8"},"uris":["http://www.mendeley.com/documents/?uuid=db12597f-7be5-4c2b-862e-35b02ab7c2d1"]}],"mendeley":{"formattedCitation":"(Cooke, 1989)","plainTextFormattedCitation":"(Cooke, 1989)","previouslyFormattedCitation":"(Cooke, 1989)"},"properties":{"noteIndex":0},"schema":"https://github.com/citation-style-language/schema/raw/master/csl-citation.json"}</w:instrText>
      </w:r>
      <w:r w:rsidR="00A54430" w:rsidRPr="00ED025C">
        <w:rPr>
          <w:rFonts w:ascii="Arial" w:hAnsi="Arial" w:cs="Arial"/>
          <w:sz w:val="24"/>
          <w:szCs w:val="24"/>
        </w:rPr>
        <w:fldChar w:fldCharType="separate"/>
      </w:r>
      <w:r w:rsidR="00A54430" w:rsidRPr="00ED025C">
        <w:rPr>
          <w:rFonts w:ascii="Arial" w:hAnsi="Arial" w:cs="Arial"/>
          <w:noProof/>
          <w:sz w:val="24"/>
          <w:szCs w:val="24"/>
        </w:rPr>
        <w:t>(Cooke, 1989)</w:t>
      </w:r>
      <w:r w:rsidR="00A54430" w:rsidRPr="00ED025C">
        <w:rPr>
          <w:rFonts w:ascii="Arial" w:hAnsi="Arial" w:cs="Arial"/>
          <w:sz w:val="24"/>
          <w:szCs w:val="24"/>
        </w:rPr>
        <w:fldChar w:fldCharType="end"/>
      </w:r>
      <w:r w:rsidR="00E97C2A" w:rsidRPr="00ED025C">
        <w:rPr>
          <w:rFonts w:ascii="Arial" w:hAnsi="Arial" w:cs="Arial"/>
          <w:sz w:val="24"/>
          <w:szCs w:val="24"/>
        </w:rPr>
        <w:t xml:space="preserve">. </w:t>
      </w:r>
      <w:r w:rsidR="006A4AEA" w:rsidRPr="00ED025C">
        <w:rPr>
          <w:rFonts w:ascii="Arial" w:eastAsia="Calibri" w:hAnsi="Arial" w:cs="Arial"/>
          <w:color w:val="000000" w:themeColor="text1"/>
          <w:sz w:val="24"/>
          <w:szCs w:val="24"/>
        </w:rPr>
        <w:t xml:space="preserve">The annual survey by British Sugar carried out in 1985, ,suggested that there was no decrease in area of sugar beet showing symptoms resulting from nematode damage despite use of nematicides </w:t>
      </w:r>
      <w:r w:rsidR="006A4AEA" w:rsidRPr="00ED025C">
        <w:rPr>
          <w:rFonts w:ascii="Arial" w:eastAsia="Calibri" w:hAnsi="Arial" w:cs="Arial"/>
          <w:color w:val="000000" w:themeColor="text1"/>
          <w:sz w:val="24"/>
          <w:szCs w:val="24"/>
        </w:rPr>
        <w:fldChar w:fldCharType="begin" w:fldLock="1"/>
      </w:r>
      <w:r w:rsidR="00200FF9">
        <w:rPr>
          <w:rFonts w:ascii="Arial" w:eastAsia="Calibri" w:hAnsi="Arial" w:cs="Arial"/>
          <w:color w:val="000000" w:themeColor="text1"/>
          <w:sz w:val="24"/>
          <w:szCs w:val="24"/>
        </w:rPr>
        <w:instrText>ADDIN CSL_CITATION {"citationItems":[{"id":"ITEM-1","itemData":{"DOI":"10.1016/0261-2194(85)90049-3","ISSN":"02612194","abstract":"Granular soil-applied pesticides were introduced in 1973 for the control of seedling pests of sugar beet, including the ectoparasitic nematodes that cause Docking disorder. By 1977 most of the area at risk from Docking disorder had been treated, largely with aldicarb; however, despite these treatments, surveys based on an examination of growing crops continued to report large yield losses in years with wet springs. In a field experiment, aldicarb was readily leached following early application in a year with a very wet spring (1983). The distribution of toxic aldicarb residues in soil was simulated for each of the years 1979-1983 using a mathematical model: these simulations suggested that nematode control would be seriously decreased only in exceptionally wet springs. It was concluded that the surveys contain a systematic bias, underestimating damage in earlier years but overestimating damage in recent years when pesticides have been widely used. © 1985.","author":[{"dropping-particle":"","family":"Cooke","given":"D. A.","non-dropping-particle":"","parse-names":false,"suffix":""},{"dropping-particle":"","family":"Bromilow","given":"R. H.","non-dropping-particle":"","parse-names":false,"suffix":""},{"dropping-particle":"","family":"Nicholls","given":"P. H.","non-dropping-particle":"","parse-names":false,"suffix":""}],"container-title":"Crop Protection","id":"ITEM-1","issue":"4","issued":{"date-parts":[["1985"]]},"page":"446-457","title":"The extent and efficacy of granular pesticide usage to control ectoparasitic nematodes on sugar beet","type":"article-journal","volume":"4"},"uris":["http://www.mendeley.com/documents/?uuid=99b79c40-d73f-3c11-baa3-b3e49de49823"]}],"mendeley":{"formattedCitation":"(Cooke, Bromilow and Nicholls, 1985)","plainTextFormattedCitation":"(Cooke, Bromilow and Nicholls, 1985)","previouslyFormattedCitation":"(Cooke, Bromilow and Nicholls, 1985)"},"properties":{"noteIndex":0},"schema":"https://github.com/citation-style-language/schema/raw/master/csl-citation.json"}</w:instrText>
      </w:r>
      <w:r w:rsidR="006A4AEA" w:rsidRPr="00ED025C">
        <w:rPr>
          <w:rFonts w:ascii="Arial" w:eastAsia="Calibri" w:hAnsi="Arial" w:cs="Arial"/>
          <w:color w:val="000000" w:themeColor="text1"/>
          <w:sz w:val="24"/>
          <w:szCs w:val="24"/>
        </w:rPr>
        <w:fldChar w:fldCharType="separate"/>
      </w:r>
      <w:r w:rsidR="00A07F2C" w:rsidRPr="00A07F2C">
        <w:rPr>
          <w:rFonts w:ascii="Arial" w:eastAsia="Calibri" w:hAnsi="Arial" w:cs="Arial"/>
          <w:noProof/>
          <w:color w:val="000000" w:themeColor="text1"/>
          <w:sz w:val="24"/>
          <w:szCs w:val="24"/>
        </w:rPr>
        <w:t>(Cooke, Bromilow and Nicholls, 1985)</w:t>
      </w:r>
      <w:r w:rsidR="006A4AEA" w:rsidRPr="00ED025C">
        <w:rPr>
          <w:rFonts w:ascii="Arial" w:eastAsia="Calibri" w:hAnsi="Arial" w:cs="Arial"/>
          <w:color w:val="000000" w:themeColor="text1"/>
          <w:sz w:val="24"/>
          <w:szCs w:val="24"/>
        </w:rPr>
        <w:fldChar w:fldCharType="end"/>
      </w:r>
      <w:r w:rsidR="006A4AEA" w:rsidRPr="00ED025C">
        <w:rPr>
          <w:rFonts w:ascii="Arial" w:eastAsia="Calibri" w:hAnsi="Arial" w:cs="Arial"/>
          <w:color w:val="000000" w:themeColor="text1"/>
          <w:sz w:val="24"/>
          <w:szCs w:val="24"/>
        </w:rPr>
        <w:t xml:space="preserve">. Nematode damage on </w:t>
      </w:r>
      <w:r w:rsidR="006A4AEA" w:rsidRPr="00ED025C">
        <w:rPr>
          <w:rFonts w:ascii="Arial" w:eastAsia="Calibri" w:hAnsi="Arial" w:cs="Arial"/>
          <w:color w:val="000000" w:themeColor="text1"/>
          <w:sz w:val="24"/>
          <w:szCs w:val="24"/>
        </w:rPr>
        <w:lastRenderedPageBreak/>
        <w:t xml:space="preserve">the roots was still evident post application of carbamates, as the reversible nature of carbamate effect means that nematodes resume feeding once the active ingredient has been degraded or leached from the rhizosphere </w:t>
      </w:r>
      <w:r w:rsidR="006A4AEA" w:rsidRPr="00ED025C">
        <w:rPr>
          <w:rFonts w:ascii="Arial" w:eastAsia="Calibri" w:hAnsi="Arial" w:cs="Arial"/>
          <w:color w:val="000000" w:themeColor="text1"/>
          <w:sz w:val="24"/>
          <w:szCs w:val="24"/>
        </w:rPr>
        <w:fldChar w:fldCharType="begin" w:fldLock="1"/>
      </w:r>
      <w:r w:rsidR="006A4AEA" w:rsidRPr="00ED025C">
        <w:rPr>
          <w:rFonts w:ascii="Arial" w:eastAsia="Calibri" w:hAnsi="Arial" w:cs="Arial"/>
          <w:color w:val="000000" w:themeColor="text1"/>
          <w:sz w:val="24"/>
          <w:szCs w:val="24"/>
        </w:rPr>
        <w:instrText>ADDIN CSL_CITATION {"citationItems":[{"id":"ITEM-1","itemData":{"abstract":"Ethoprop, oxamyl, PP 156, fenamiphos, carbofuran, AC 64,475, Bunema M®, CG 12223, aldicarb, aldicarb sulfoxide, and aldicarb sulfone were tested for their effects on hatching and emergence of larvae from cysts of Heterodera schachtii. The oxime carbamates and carbofuran inhibited hatching, but this response was reversed by removing the chemical treatment. Inhibition of hatching by Bunema M and all organophosphates tested was irreversible.","author":[{"dropping-particle":"","family":"Steele","given":"Arnold E","non-dropping-particle":"","parse-names":false,"suffix":""}],"container-title":"Journal of Ne","id":"ITEM-1","issue":"2","issued":{"date-parts":[["1977"]]},"page":"149-154","title":"Effects of Selected Carbamate and Organophosphate Nematicides on Hatching and Emergence of Heterodera schachtii","type":"article-journal","volume":"9"},"uris":["http://www.mendeley.com/documents/?uuid=e7023c81-a6eb-378b-896a-f785a4948414"]}],"mendeley":{"formattedCitation":"(Steele, 1977)","plainTextFormattedCitation":"(Steele, 1977)","previouslyFormattedCitation":"(Steele, 1977)"},"properties":{"noteIndex":0},"schema":"https://github.com/citation-style-language/schema/raw/master/csl-citation.json"}</w:instrText>
      </w:r>
      <w:r w:rsidR="006A4AEA" w:rsidRPr="00ED025C">
        <w:rPr>
          <w:rFonts w:ascii="Arial" w:eastAsia="Calibri" w:hAnsi="Arial" w:cs="Arial"/>
          <w:color w:val="000000" w:themeColor="text1"/>
          <w:sz w:val="24"/>
          <w:szCs w:val="24"/>
        </w:rPr>
        <w:fldChar w:fldCharType="separate"/>
      </w:r>
      <w:r w:rsidR="006A4AEA" w:rsidRPr="00ED025C">
        <w:rPr>
          <w:rFonts w:ascii="Arial" w:eastAsia="Calibri" w:hAnsi="Arial" w:cs="Arial"/>
          <w:noProof/>
          <w:color w:val="000000" w:themeColor="text1"/>
          <w:sz w:val="24"/>
          <w:szCs w:val="24"/>
        </w:rPr>
        <w:t>(Steele, 1977)</w:t>
      </w:r>
      <w:r w:rsidR="006A4AEA" w:rsidRPr="00ED025C">
        <w:rPr>
          <w:rFonts w:ascii="Arial" w:eastAsia="Calibri" w:hAnsi="Arial" w:cs="Arial"/>
          <w:color w:val="000000" w:themeColor="text1"/>
          <w:sz w:val="24"/>
          <w:szCs w:val="24"/>
        </w:rPr>
        <w:fldChar w:fldCharType="end"/>
      </w:r>
    </w:p>
    <w:p w14:paraId="0B57ACF0" w14:textId="2A46CFB0" w:rsidR="006A4AEA" w:rsidRPr="00ED025C" w:rsidRDefault="006A4AEA" w:rsidP="00616CDC">
      <w:pPr>
        <w:spacing w:line="360" w:lineRule="auto"/>
        <w:ind w:left="-426"/>
        <w:contextualSpacing/>
        <w:jc w:val="both"/>
        <w:rPr>
          <w:rFonts w:ascii="Arial" w:eastAsia="Calibri" w:hAnsi="Arial" w:cs="Arial"/>
          <w:color w:val="000000" w:themeColor="text1"/>
          <w:sz w:val="24"/>
          <w:szCs w:val="24"/>
        </w:rPr>
      </w:pPr>
      <w:r w:rsidRPr="00ED025C">
        <w:rPr>
          <w:rFonts w:ascii="Arial" w:eastAsia="Calibri" w:hAnsi="Arial" w:cs="Arial"/>
          <w:color w:val="000000" w:themeColor="text1"/>
          <w:sz w:val="24"/>
          <w:szCs w:val="24"/>
        </w:rPr>
        <w:t>Effect of aldicarb phytotoxicity on decrease of seedling numbers has been reported in the past especially in dry soils following drilling, carbofuran has been similarly been associated with reducing seedling numbers when applied in direct contact with the seed.</w:t>
      </w:r>
      <w:r w:rsidRPr="00ED025C">
        <w:rPr>
          <w:rFonts w:ascii="Arial" w:eastAsia="Calibri" w:hAnsi="Arial" w:cs="Arial"/>
          <w:color w:val="000000" w:themeColor="text1"/>
          <w:sz w:val="24"/>
          <w:szCs w:val="24"/>
        </w:rPr>
        <w:fldChar w:fldCharType="begin" w:fldLock="1"/>
      </w:r>
      <w:r w:rsidR="00200FF9">
        <w:rPr>
          <w:rFonts w:ascii="Arial" w:eastAsia="Calibri" w:hAnsi="Arial" w:cs="Arial"/>
          <w:color w:val="000000" w:themeColor="text1"/>
          <w:sz w:val="24"/>
          <w:szCs w:val="24"/>
        </w:rPr>
        <w:instrText>ADDIN CSL_CITATION {"citationItems":[{"id":"ITEM-1","itemData":{"DOI":"10.1111/j.1365-3059.1975.tb01879.x","ISSN":"13653059","abstract":"Field experiments in Norfolk in 1969–70 and in Yorkshire and Norfolk in 1970–71 and 1971–72 compared the control of Trichodorus spp. and Longidorus spp. given by different rates of dichloropropene placed by a tine injector and by a sub</w:instrText>
      </w:r>
      <w:r w:rsidR="00200FF9">
        <w:rPr>
          <w:rFonts w:ascii="Cambria Math" w:eastAsia="Calibri" w:hAnsi="Cambria Math" w:cs="Cambria Math"/>
          <w:color w:val="000000" w:themeColor="text1"/>
          <w:sz w:val="24"/>
          <w:szCs w:val="24"/>
        </w:rPr>
        <w:instrText>‐</w:instrText>
      </w:r>
      <w:r w:rsidR="00200FF9">
        <w:rPr>
          <w:rFonts w:ascii="Arial" w:eastAsia="Calibri" w:hAnsi="Arial" w:cs="Arial"/>
          <w:color w:val="000000" w:themeColor="text1"/>
          <w:sz w:val="24"/>
          <w:szCs w:val="24"/>
        </w:rPr>
        <w:instrText>surface sprayer. Increasing rates of fumigant up to 410 1./ha improved nematode control; populations recovered only slightly a year later. The larger rates of fumigant increased sugar yield especially when the crop had shown Docking disorder symptoms, but there was no consistent difference between the two methods of application in controlling nematodes or increasing sugar yield. Copyright © 1975, Wiley Blackwell. All rights reserved","author":[{"dropping-particle":"","family":"Cooke","given":"D. A.","non-dropping-particle":"","parse-names":false,"suffix":""},{"dropping-particle":"","family":"Holden","given":"M. R.","non-dropping-particle":"","parse-names":false,"suffix":""}],"container-title":"Plant Pathology","id":"ITEM-1","issue":"3","issued":{"date-parts":[["1975"]]},"page":"134-139","title":"A Comparison of Two Methods of Overall Fumigation for the Control of Docking Disorder of Sugar Beet","type":"article-journal","volume":"24"},"uris":["http://www.mendeley.com/documents/?uuid=5e78025e-f2f7-482f-acb7-acaa98a7e467"]},{"id":"ITEM-2","itemData":{"DOI":"10.1016/0261-2194(84)90026-7","ISSN":"02612194","abstract":"In 25 large-plot field trials in 1978-1980 the effects of recently approved granular pesticides on the establishment and yield of sugar beet were tested. Sugar yields were increased by some treatments at several sites where Docking disorder was anticipated, and plant populations and sugar yields increased at some sites containing severe infestations of soil pests. At several sites there was no response to pesticides, and greater selectivity in the use of granular pesticides on the UK sugar-beet crop is recommended. © 1984.","author":[{"dropping-particle":"","family":"Maughan","given":"G. L.","non-dropping-particle":"","parse-names":false,"suffix":""},{"dropping-particle":"","family":"Cooke","given":"D. A.","non-dropping-particle":"","parse-names":false,"suffix":""},{"dropping-particle":"","family":"Gnanasakthy","given":"A.","non-dropping-particle":"","parse-names":false,"suffix":""}],"container-title":"Crop Protection","id":"ITEM-2","issue":"4","issued":{"date-parts":[["1984"]]},"page":"439-450","title":"The effects of soil-applied granular pesticides on the establishment and yield of sugar beet in commercial fields","type":"article-journal","volume":"3"},"uris":["http://www.mendeley.com/documents/?uuid=6b3299e0-3349-384d-b5cb-9b22038a502d"]}],"mendeley":{"formattedCitation":"(Cooke and Holden, 1975; Maughan, Cooke and Gnanasakthy, 1984)","plainTextFormattedCitation":"(Cooke and Holden, 1975; Maughan, Cooke and Gnanasakthy, 1984)","previouslyFormattedCitation":"(Cooke and Holden, 1975; Maughan, Cooke and Gnanasakthy, 1984)"},"properties":{"noteIndex":0},"schema":"https://github.com/citation-style-language/schema/raw/master/csl-citation.json"}</w:instrText>
      </w:r>
      <w:r w:rsidRPr="00ED025C">
        <w:rPr>
          <w:rFonts w:ascii="Arial" w:eastAsia="Calibri" w:hAnsi="Arial" w:cs="Arial"/>
          <w:color w:val="000000" w:themeColor="text1"/>
          <w:sz w:val="24"/>
          <w:szCs w:val="24"/>
        </w:rPr>
        <w:fldChar w:fldCharType="separate"/>
      </w:r>
      <w:r w:rsidR="00A07F2C" w:rsidRPr="00A07F2C">
        <w:rPr>
          <w:rFonts w:ascii="Arial" w:eastAsia="Calibri" w:hAnsi="Arial" w:cs="Arial"/>
          <w:noProof/>
          <w:color w:val="000000" w:themeColor="text1"/>
          <w:sz w:val="24"/>
          <w:szCs w:val="24"/>
        </w:rPr>
        <w:t>(Cooke and Holden, 1975; Maughan, Cooke and Gnanasakthy, 1984)</w:t>
      </w:r>
      <w:r w:rsidRPr="00ED025C">
        <w:rPr>
          <w:rFonts w:ascii="Arial" w:eastAsia="Calibri" w:hAnsi="Arial" w:cs="Arial"/>
          <w:color w:val="000000" w:themeColor="text1"/>
          <w:sz w:val="24"/>
          <w:szCs w:val="24"/>
        </w:rPr>
        <w:fldChar w:fldCharType="end"/>
      </w:r>
      <w:r w:rsidRPr="00ED025C">
        <w:rPr>
          <w:rFonts w:ascii="Arial" w:eastAsia="Calibri" w:hAnsi="Arial" w:cs="Arial"/>
          <w:color w:val="000000" w:themeColor="text1"/>
          <w:sz w:val="24"/>
          <w:szCs w:val="24"/>
        </w:rPr>
        <w:t xml:space="preserve"> However, consistent soil fumigation as an overall treatment in the autumn prior to planting of sugar beet increased yields in nematode affected fields </w:t>
      </w:r>
      <w:r w:rsidRPr="00ED025C">
        <w:rPr>
          <w:rFonts w:ascii="Arial" w:eastAsia="Calibri" w:hAnsi="Arial" w:cs="Arial"/>
          <w:b/>
          <w:color w:val="000000" w:themeColor="text1"/>
          <w:sz w:val="24"/>
          <w:szCs w:val="24"/>
        </w:rPr>
        <w:fldChar w:fldCharType="begin" w:fldLock="1"/>
      </w:r>
      <w:r w:rsidR="00E13293">
        <w:rPr>
          <w:rFonts w:ascii="Arial" w:eastAsia="Calibri" w:hAnsi="Arial" w:cs="Arial"/>
          <w:b/>
          <w:color w:val="000000" w:themeColor="text1"/>
          <w:sz w:val="24"/>
          <w:szCs w:val="24"/>
        </w:rPr>
        <w:instrText>ADDIN CSL_CITATION {"citationItems":[{"id":"ITEM-1","itemData":{"DOI":"10.1111/j.1365-3059.1975.tb01879.x","ISSN":"13653059","abstract":"Field experiments in Norfolk in 1969–70 and in Yorkshire and Norfolk in 1970–71 and 1971–72 compared the control of Trichodorus spp. and Longidorus spp. given by different rates of dichloropropene placed by a tine injector and by a sub</w:instrText>
      </w:r>
      <w:r w:rsidR="00E13293">
        <w:rPr>
          <w:rFonts w:ascii="Cambria Math" w:eastAsia="Calibri" w:hAnsi="Cambria Math" w:cs="Cambria Math"/>
          <w:b/>
          <w:color w:val="000000" w:themeColor="text1"/>
          <w:sz w:val="24"/>
          <w:szCs w:val="24"/>
        </w:rPr>
        <w:instrText>‐</w:instrText>
      </w:r>
      <w:r w:rsidR="00E13293">
        <w:rPr>
          <w:rFonts w:ascii="Arial" w:eastAsia="Calibri" w:hAnsi="Arial" w:cs="Arial"/>
          <w:b/>
          <w:color w:val="000000" w:themeColor="text1"/>
          <w:sz w:val="24"/>
          <w:szCs w:val="24"/>
        </w:rPr>
        <w:instrText>surface sprayer. Increasing rates of fumigant up to 410 1./ha improved nematode control; populations recovered only slightly a year later. The larger rates of fumigant increased sugar yield especially when the crop had shown Docking disorder symptoms, but there was no consistent difference between the two methods of application in controlling nematodes or increasing sugar yield. Copyright © 1975, Wiley Blackwell. All rights reserved","author":[{"dropping-particle":"","family":"Cooke","given":"D. A.","non-dropping-particle":"","parse-names":false,"suffix":""},{"dropping-particle":"","family":"Holden","given":"M. R.","non-dropping-particle":"","parse-names":false,"suffix":""}],"container-title":"Plant Pathology","id":"ITEM-1","issue":"3","issued":{"date-parts":[["1975"]]},"page":"134-139","title":"A Comparison of Two Methods of Overall Fumigation for the Control of Docking Disorder of Sugar Beet","type":"article-journal","volume":"24"},"uris":["http://www.mendeley.com/documents/?uuid=5e78025e-f2f7-482f-acb7-acaa98a7e467"]}],"mendeley":{"formattedCitation":"(Cooke and Holden, 1975)","plainTextFormattedCitation":"(Cooke and Holden, 1975)","previouslyFormattedCitation":"(Cooke and Holden, 1975)"},"properties":{"noteIndex":0},"schema":"https://github.com/citation-style-language/schema/raw/master/csl-citation.json"}</w:instrText>
      </w:r>
      <w:r w:rsidRPr="00ED025C">
        <w:rPr>
          <w:rFonts w:ascii="Arial" w:eastAsia="Calibri" w:hAnsi="Arial" w:cs="Arial"/>
          <w:b/>
          <w:color w:val="000000" w:themeColor="text1"/>
          <w:sz w:val="24"/>
          <w:szCs w:val="24"/>
        </w:rPr>
        <w:fldChar w:fldCharType="separate"/>
      </w:r>
      <w:r w:rsidR="00E13293" w:rsidRPr="00E13293">
        <w:rPr>
          <w:rFonts w:ascii="Arial" w:eastAsia="Calibri" w:hAnsi="Arial" w:cs="Arial"/>
          <w:noProof/>
          <w:color w:val="000000" w:themeColor="text1"/>
          <w:sz w:val="24"/>
          <w:szCs w:val="24"/>
        </w:rPr>
        <w:t>(Cooke and Holden, 1975)</w:t>
      </w:r>
      <w:r w:rsidRPr="00ED025C">
        <w:rPr>
          <w:rFonts w:ascii="Arial" w:eastAsia="Calibri" w:hAnsi="Arial" w:cs="Arial"/>
          <w:b/>
          <w:color w:val="000000" w:themeColor="text1"/>
          <w:sz w:val="24"/>
          <w:szCs w:val="24"/>
        </w:rPr>
        <w:fldChar w:fldCharType="end"/>
      </w:r>
    </w:p>
    <w:p w14:paraId="3C14F8AD" w14:textId="7E489DDB" w:rsidR="008C392A" w:rsidRDefault="006A4AEA" w:rsidP="00616CDC">
      <w:pPr>
        <w:spacing w:line="360" w:lineRule="auto"/>
        <w:ind w:left="-426"/>
        <w:contextualSpacing/>
        <w:jc w:val="both"/>
        <w:rPr>
          <w:rFonts w:ascii="Arial" w:eastAsia="Calibri" w:hAnsi="Arial" w:cs="Arial"/>
          <w:color w:val="000000" w:themeColor="text1"/>
          <w:sz w:val="24"/>
          <w:szCs w:val="24"/>
        </w:rPr>
      </w:pPr>
      <w:r w:rsidRPr="00ED025C">
        <w:rPr>
          <w:rFonts w:ascii="Arial" w:eastAsia="Calibri" w:hAnsi="Arial" w:cs="Arial"/>
          <w:color w:val="000000" w:themeColor="text1"/>
          <w:sz w:val="24"/>
          <w:szCs w:val="24"/>
        </w:rPr>
        <w:t xml:space="preserve">In general stubby root nematodes are less susceptible to soil fumigants compared to other parasitic nematodes such as sting nematodes </w:t>
      </w:r>
      <w:r w:rsidRPr="00ED025C">
        <w:rPr>
          <w:rFonts w:ascii="Arial" w:eastAsia="Calibri" w:hAnsi="Arial" w:cs="Arial"/>
          <w:color w:val="000000" w:themeColor="text1"/>
          <w:sz w:val="24"/>
          <w:szCs w:val="24"/>
        </w:rPr>
        <w:fldChar w:fldCharType="begin" w:fldLock="1"/>
      </w:r>
      <w:r w:rsidR="00200FF9">
        <w:rPr>
          <w:rFonts w:ascii="Arial" w:eastAsia="Calibri" w:hAnsi="Arial" w:cs="Arial"/>
          <w:color w:val="000000" w:themeColor="text1"/>
          <w:sz w:val="24"/>
          <w:szCs w:val="24"/>
        </w:rPr>
        <w:instrText>ADDIN CSL_CITATION {"citationItems":[{"id":"ITEM-1","itemData":{"DOI":"10.21307/jofnem-2019-038","ISSN":"0022300X","abstract":"Florida produces 35% of the spring potato (Solanum tuberosum) crop in the USA, but plant-parasitic nematodes suppress yield in the region. The stubby-root nematodes, Paratrichodorus (Nanidorus) spp. and Trichodorus spp., vectors for corky ringspot disease, and sting nematode (Belonolaimus longicaudatus) are among the most damaging nematodes in Florida potato production. Nematicide application is an important component of nematode management in this system, but relatively few nematicides are currently available. Therefore, pre-plant applications of fluensulfone nematicide at various rates (3, 4, 6, and 8 l/ha) and the commercial standard fumigant 1,3-dichloropropene (1,3-D) were tested for management of plant-parasitic nematodes in three field trials from 2016 to 2018. Both fluensulfone, at all rates, and 1,3-D consistently decreased sting nematode abundance relative to the untreated control at harvest. Neither fluensulfone nor 1,3-D affected stubby-root nematode abundances at harvest. Efficacy of fluensulfone and 1,3-D for lesion nematode (Pratylenchus sp.) management varied by year. In 2016 and 2018, fluensulfone at most rates and 1,3-D increased marketable potato yield relative to the untreated control with increases by 49 to 66% and 33 to 55% in 2016 and 2018, respectively. In 2017, fluensulfone at lower rates (3, 4, and 6 l/ha) increased marketable potato yield relative to the untreated control by 41 to 61%, but fluensulfone at 8 l/ha and 1,3-D had similar yields to the untreated control. Results suggest that nematicidal activity of fluensulfone and 1,3-D varies by target nematode with both products effective against sting nematode, ineffective against stubby-root nematodes, and inconsistent against lesion nematode. In conclusion, fluensulfone and 1,3-D are effective options for sting nematode management in Florida potato production.","author":[{"dropping-particle":"","family":"Grabau","given":"Zane J.","non-dropping-particle":"","parse-names":false,"suffix":""},{"dropping-particle":"","family":"Noling","given":"Joseph W.","non-dropping-particle":"","parse-names":false,"suffix":""},{"dropping-particle":"","family":"Navia Gine","given":"Pablo A.","non-dropping-particle":"","parse-names":false,"suffix":""}],"container-title":"Journal of Nematology","id":"ITEM-1","issue":"1","issued":{"date-parts":[["2019"]]},"page":"1-12","title":"Fluensulfone and 1,3-dichloroprene for plant-parasitic nematode management in potato production","type":"article-journal","volume":"51"},"uris":["http://www.mendeley.com/documents/?uuid=a5d7bd45-c2bb-4e0e-8300-32816db4b946"]}],"mendeley":{"formattedCitation":"(Grabau, Noling and Navia Gine, 2019)","plainTextFormattedCitation":"(Grabau, Noling and Navia Gine, 2019)","previouslyFormattedCitation":"(Grabau, Noling and Navia Gine, 2019)"},"properties":{"noteIndex":0},"schema":"https://github.com/citation-style-language/schema/raw/master/csl-citation.json"}</w:instrText>
      </w:r>
      <w:r w:rsidRPr="00ED025C">
        <w:rPr>
          <w:rFonts w:ascii="Arial" w:eastAsia="Calibri" w:hAnsi="Arial" w:cs="Arial"/>
          <w:color w:val="000000" w:themeColor="text1"/>
          <w:sz w:val="24"/>
          <w:szCs w:val="24"/>
        </w:rPr>
        <w:fldChar w:fldCharType="separate"/>
      </w:r>
      <w:r w:rsidR="00A07F2C" w:rsidRPr="00A07F2C">
        <w:rPr>
          <w:rFonts w:ascii="Arial" w:eastAsia="Calibri" w:hAnsi="Arial" w:cs="Arial"/>
          <w:noProof/>
          <w:color w:val="000000" w:themeColor="text1"/>
          <w:sz w:val="24"/>
          <w:szCs w:val="24"/>
        </w:rPr>
        <w:t>(Grabau, Noling and Navia Gine, 2019)</w:t>
      </w:r>
      <w:r w:rsidRPr="00ED025C">
        <w:rPr>
          <w:rFonts w:ascii="Arial" w:eastAsia="Calibri" w:hAnsi="Arial" w:cs="Arial"/>
          <w:color w:val="000000" w:themeColor="text1"/>
          <w:sz w:val="24"/>
          <w:szCs w:val="24"/>
        </w:rPr>
        <w:fldChar w:fldCharType="end"/>
      </w:r>
      <w:r w:rsidRPr="00ED025C">
        <w:rPr>
          <w:rFonts w:ascii="Arial" w:eastAsia="Calibri" w:hAnsi="Arial" w:cs="Arial"/>
          <w:color w:val="000000" w:themeColor="text1"/>
          <w:sz w:val="24"/>
          <w:szCs w:val="24"/>
        </w:rPr>
        <w:t xml:space="preserve"> .Field experiments carried out for two years to evaluate the efficacy of soil fumigants ethylene dibromide (EDB), EDB + chloropicrin, and 1,3-dichloropropene (1,3-D) applied independently or in combination to Aldicarb on potato,</w:t>
      </w:r>
      <w:r w:rsidRPr="00ED025C">
        <w:rPr>
          <w:rFonts w:ascii="Arial" w:eastAsia="Calibri" w:hAnsi="Arial" w:cs="Arial"/>
          <w:i/>
          <w:color w:val="000000" w:themeColor="text1"/>
          <w:sz w:val="24"/>
          <w:szCs w:val="24"/>
        </w:rPr>
        <w:t xml:space="preserve"> Solanum tuberosum</w:t>
      </w:r>
      <w:r w:rsidRPr="00ED025C">
        <w:rPr>
          <w:rFonts w:ascii="Arial" w:eastAsia="Calibri" w:hAnsi="Arial" w:cs="Arial"/>
          <w:color w:val="000000" w:themeColor="text1"/>
          <w:sz w:val="24"/>
          <w:szCs w:val="24"/>
        </w:rPr>
        <w:t xml:space="preserve"> </w:t>
      </w:r>
      <w:proofErr w:type="spellStart"/>
      <w:r w:rsidRPr="00ED025C">
        <w:rPr>
          <w:rFonts w:ascii="Arial" w:eastAsia="Calibri" w:hAnsi="Arial" w:cs="Arial"/>
          <w:color w:val="000000" w:themeColor="text1"/>
          <w:sz w:val="24"/>
          <w:szCs w:val="24"/>
        </w:rPr>
        <w:t>cvs</w:t>
      </w:r>
      <w:proofErr w:type="spellEnd"/>
      <w:r w:rsidRPr="00ED025C">
        <w:rPr>
          <w:rFonts w:ascii="Arial" w:eastAsia="Calibri" w:hAnsi="Arial" w:cs="Arial"/>
          <w:color w:val="000000" w:themeColor="text1"/>
          <w:sz w:val="24"/>
          <w:szCs w:val="24"/>
        </w:rPr>
        <w:t>. Atlantic and Sebago, for control of trichodorid nematodes and potato corky ringspot disease (CRS), showed that soil fumigation is ineffective in management of CRS in northeast Florida.</w:t>
      </w:r>
      <w:r w:rsidRPr="00ED025C">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{"citationItems":[{"id":"ITEM-1","itemData":{"abstract":"In 1982 and 1983 the soil fumigants ethylene dibromide (EDB), EDB + chloropicrin, and 1,3-dichloropropene (1,3-D) applied with one or three chisels per row were evaluated singly and in combination with aldicarb on potato, Solanum tuberosum cvs. Atlantic and Sebago, for control of trichodorid nematodes and potato corky ringspot disease (CRS). In 1982 dosages per chisel for EDB, EDB + chloropicrin, and 1,3-D were 16.8, 23.9, and 56.1 liters/ha, respectively. EDB was applied at 12.6 liters per chisel per ha in 1983. Aldicarb was applied at 3.4 kg a.i./ha in-the-row. Differences (P-&lt; 0.05) in the percentages of tubers having CRS and in mean trichodorid population densities were recorded between methods of fumigant application and among fumigants. The reductions in CRS associated with triple-chisel applications compared with single-chisel applications of the fumigants were insufficient to justify their commercial use solely for CRS control. Addition of aldicarb to all fumigation treatments, regardless of the fumigant application method, resulted in highly effective control of CRS. The disease was less severe in Atlantic; however, CRS was sufficiently severe to justify use of aldicarb on either cultivar.","author":[{"dropping-particle":"","family":"Weingartner","given":"D P","non-dropping-particle":"","parse-names":false,"suffix":""},{"dropping-particle":"","family":"Shumaker","given":"J R","non-dropping-particle":"","parse-names":false,"suffix":""}],"container-title":"Supplement to Journal of Nematology","id":"ITEM-1","issued":{"date-parts":[["1990"]]},"number-of-pages":"665-671","title":"Effects of Soil Fumigants and Aldicarb on Corky Ringspot Disease and Trichodorid Nematodes in Potato 1","type":"report","volume":"22"},"uris":["http://www.mendeley.com/documents/?uuid=4d456317-ecd8-308e-b467-30e7431adab2"]}],"mendeley":{"formattedCitation":"(Weingartner and Shumaker, 1990)","plainTextFormattedCitation":"(Weingartner and Shumaker, 1990)","previouslyFormattedCitation":"(Weingartner and Shumaker, 1990)"},"properties":{"noteIndex":0},"schema":"https://github.com/citation-style-language/schema/raw/master/csl-citation.json"}</w:instrText>
      </w:r>
      <w:r w:rsidRPr="00ED025C">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(Weingartner and Shumaker, 1990)</w:t>
      </w:r>
      <w:r w:rsidRPr="00ED025C">
        <w:rPr>
          <w:rFonts w:ascii="Arial" w:eastAsia="Calibri" w:hAnsi="Arial" w:cs="Arial"/>
          <w:color w:val="000000" w:themeColor="text1"/>
          <w:sz w:val="24"/>
          <w:szCs w:val="24"/>
        </w:rPr>
        <w:fldChar w:fldCharType="end"/>
      </w:r>
      <w:r w:rsidR="008C392A">
        <w:rPr>
          <w:rFonts w:ascii="Arial" w:eastAsia="Calibri" w:hAnsi="Arial" w:cs="Arial"/>
          <w:color w:val="000000" w:themeColor="text1"/>
          <w:sz w:val="24"/>
          <w:szCs w:val="24"/>
        </w:rPr>
        <w:t xml:space="preserve">. </w:t>
      </w:r>
      <w:r w:rsidRPr="00ED025C">
        <w:rPr>
          <w:rFonts w:ascii="Arial" w:eastAsia="Calibri" w:hAnsi="Arial" w:cs="Arial"/>
          <w:color w:val="000000" w:themeColor="text1"/>
          <w:sz w:val="24"/>
          <w:szCs w:val="24"/>
        </w:rPr>
        <w:t xml:space="preserve">Earlier chemical management options used volatile nematicides such as DBCP, D-D or EDB which have now been banned in Europe and USA. other non-volatile nematicidal compounds such as aldicarb, carbofuran, fenamiphos and oxymyl have replaced them though they don’t act by reducing trichodorid densities but rather affecting their behaviour and host finding abilities therefore reducing virus transmission </w:t>
      </w:r>
      <w:r w:rsidRPr="00ED025C">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uthor":[{"dropping-particle":"de","family":"Pelsmaeker","given":"M","non-dropping-particle":"","parse-names":false,"suffix":""},{"dropping-particle":"","family":"Coomans","given":"A","non-dropping-particle":"","parse-names":false,"suffix":""}],"container-title":"Mededelingen van de Faculteit Landbouwwetenschappen, Rijksuniversiteit Gent","id":"ITEM-1","issued":{"date-parts":[["1987"]]},"page":"561-569","title":"Nematodes in potato fields and the relation to some biotic and abiotic factors","type":"article-journal","volume":"52"},"uris":["http://www.mendeley.com/documents/?uuid=65448aa0-3da1-4f9a-8dc7-3689369a2cd6"]}],"mendeley":{"formattedCitation":"(Pelsmaeker and Coomans, 1987)","plainTextFormattedCitation":"(Pelsmaeker and Coomans, 1987)","previouslyFormattedCitation":"(Pelsmaeker and Coomans, 1987)"},"properties":{"noteIndex":0},"schema":"https://github.com/citation-style-language/schema/raw/master/csl-citation.json"}</w:instrText>
      </w:r>
      <w:r w:rsidRPr="00ED025C">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(Pelsmaeker and Coomans, 1987)</w:t>
      </w:r>
      <w:r w:rsidRPr="00ED025C">
        <w:rPr>
          <w:rFonts w:ascii="Arial" w:eastAsia="Calibri" w:hAnsi="Arial" w:cs="Arial"/>
          <w:color w:val="000000" w:themeColor="text1"/>
          <w:sz w:val="24"/>
          <w:szCs w:val="24"/>
        </w:rPr>
        <w:fldChar w:fldCharType="end"/>
      </w:r>
      <w:r w:rsidR="008C392A">
        <w:rPr>
          <w:rFonts w:ascii="Arial" w:eastAsia="Calibri" w:hAnsi="Arial" w:cs="Arial"/>
          <w:color w:val="000000" w:themeColor="text1"/>
          <w:sz w:val="24"/>
          <w:szCs w:val="24"/>
        </w:rPr>
        <w:t>.</w:t>
      </w:r>
    </w:p>
    <w:p w14:paraId="46F4B72C" w14:textId="53E272A3" w:rsidR="008C392A" w:rsidRDefault="006A4AEA" w:rsidP="00616CDC">
      <w:pPr>
        <w:spacing w:line="360" w:lineRule="auto"/>
        <w:ind w:left="-426"/>
        <w:contextualSpacing/>
        <w:jc w:val="both"/>
        <w:rPr>
          <w:rFonts w:ascii="Arial" w:hAnsi="Arial" w:cs="Arial"/>
          <w:sz w:val="24"/>
          <w:szCs w:val="24"/>
        </w:rPr>
        <w:sectPr w:rsidR="008C392A" w:rsidSect="00B27D90">
          <w:pgSz w:w="11906" w:h="16838"/>
          <w:pgMar w:top="1440" w:right="1440" w:bottom="1440" w:left="1440" w:header="708" w:footer="708" w:gutter="0"/>
          <w:cols w:space="708"/>
          <w:docGrid w:linePitch="360"/>
        </w:sectPr>
      </w:pPr>
      <w:r w:rsidRPr="00ED025C">
        <w:rPr>
          <w:rFonts w:ascii="Arial" w:eastAsia="Calibri" w:hAnsi="Arial" w:cs="Arial"/>
          <w:color w:val="000000" w:themeColor="text1"/>
          <w:sz w:val="24"/>
          <w:szCs w:val="24"/>
        </w:rPr>
        <w:t xml:space="preserve">Studies have also shown that the rate of recovery by trichodorids upon use of fumigants varies considerably. In an experiment to investigate effect of fumigation on parasitic nematodes, </w:t>
      </w:r>
      <w:r w:rsidRPr="00ED025C">
        <w:rPr>
          <w:rFonts w:ascii="Arial" w:eastAsia="Calibri" w:hAnsi="Arial" w:cs="Arial"/>
          <w:i/>
          <w:color w:val="000000" w:themeColor="text1"/>
          <w:sz w:val="24"/>
          <w:szCs w:val="24"/>
        </w:rPr>
        <w:t>Paratrichodorus christie</w:t>
      </w:r>
      <w:r w:rsidRPr="00ED025C">
        <w:rPr>
          <w:rFonts w:ascii="Arial" w:eastAsia="Calibri" w:hAnsi="Arial" w:cs="Arial"/>
          <w:color w:val="000000" w:themeColor="text1"/>
          <w:sz w:val="24"/>
          <w:szCs w:val="24"/>
        </w:rPr>
        <w:t xml:space="preserve"> was shown to recover more quickly compared to other parasitic nematodes </w:t>
      </w:r>
      <w:r w:rsidRPr="00ED025C">
        <w:rPr>
          <w:rFonts w:ascii="Arial" w:eastAsia="Calibri" w:hAnsi="Arial" w:cs="Arial"/>
          <w:color w:val="000000" w:themeColor="text1"/>
          <w:sz w:val="24"/>
          <w:szCs w:val="24"/>
        </w:rPr>
        <w:fldChar w:fldCharType="begin" w:fldLock="1"/>
      </w:r>
      <w:r w:rsidR="00E13293">
        <w:rPr>
          <w:rFonts w:ascii="Arial" w:eastAsia="Calibri" w:hAnsi="Arial" w:cs="Arial"/>
          <w:color w:val="000000" w:themeColor="text1"/>
          <w:sz w:val="24"/>
          <w:szCs w:val="24"/>
        </w:rPr>
        <w:instrText>ADDIN CSL_CITATION {"citationItems":[{"id":"ITEM-1","itemData":{"author":[{"dropping-particle":"","family":"Christie","given":"J.R.","non-dropping-particle":"","parse-names":false,"suffix":""},{"dropping-particle":"","family":"Perry","given":"V.G.","non-dropping-particle":"","parse-names":false,"suffix":""}],"container-title":"Science","id":"ITEM-1","issue":"2939","issued":{"date-parts":[["1951"]]},"page":"491-493","title":"A Root Disease of Plants Caused by a Nematode of the Genus Trichodorus","type":"article-journal","volume":"113"},"uris":["http://www.mendeley.com/documents/?uuid=a9dad506-e7f5-4f7b-912b-40f949ec7020"]}],"mendeley":{"formattedCitation":"(Christie and Perry, 1951)","plainTextFormattedCitation":"(Christie and Perry, 1951)","previouslyFormattedCitation":"(Christie and Perry, 1951)"},"properties":{"noteIndex":0},"schema":"https://github.com/citation-style-language/schema/raw/master/csl-citation.json"}</w:instrText>
      </w:r>
      <w:r w:rsidRPr="00ED025C">
        <w:rPr>
          <w:rFonts w:ascii="Arial" w:eastAsia="Calibri" w:hAnsi="Arial" w:cs="Arial"/>
          <w:color w:val="000000" w:themeColor="text1"/>
          <w:sz w:val="24"/>
          <w:szCs w:val="24"/>
        </w:rPr>
        <w:fldChar w:fldCharType="separate"/>
      </w:r>
      <w:r w:rsidR="00E13293" w:rsidRPr="00E13293">
        <w:rPr>
          <w:rFonts w:ascii="Arial" w:eastAsia="Calibri" w:hAnsi="Arial" w:cs="Arial"/>
          <w:noProof/>
          <w:color w:val="000000" w:themeColor="text1"/>
          <w:sz w:val="24"/>
          <w:szCs w:val="24"/>
        </w:rPr>
        <w:t>(Christie and Perry, 1951)</w:t>
      </w:r>
      <w:r w:rsidRPr="00ED025C">
        <w:rPr>
          <w:rFonts w:ascii="Arial" w:eastAsia="Calibri" w:hAnsi="Arial" w:cs="Arial"/>
          <w:color w:val="000000" w:themeColor="text1"/>
          <w:sz w:val="24"/>
          <w:szCs w:val="24"/>
        </w:rPr>
        <w:fldChar w:fldCharType="end"/>
      </w:r>
      <w:r w:rsidRPr="00ED025C">
        <w:rPr>
          <w:rFonts w:ascii="Arial" w:eastAsia="Calibri" w:hAnsi="Arial" w:cs="Arial"/>
          <w:color w:val="000000" w:themeColor="text1"/>
          <w:sz w:val="24"/>
          <w:szCs w:val="24"/>
        </w:rPr>
        <w:t xml:space="preserve"> In a similar study, </w:t>
      </w:r>
      <w:r w:rsidRPr="00ED025C">
        <w:rPr>
          <w:rFonts w:ascii="Arial" w:eastAsia="Calibri" w:hAnsi="Arial" w:cs="Arial"/>
          <w:i/>
          <w:color w:val="000000" w:themeColor="text1"/>
          <w:sz w:val="24"/>
          <w:szCs w:val="24"/>
        </w:rPr>
        <w:t xml:space="preserve">P.christie </w:t>
      </w:r>
      <w:r w:rsidRPr="00ED025C">
        <w:rPr>
          <w:rFonts w:ascii="Arial" w:eastAsia="Calibri" w:hAnsi="Arial" w:cs="Arial"/>
          <w:color w:val="000000" w:themeColor="text1"/>
          <w:sz w:val="24"/>
          <w:szCs w:val="24"/>
        </w:rPr>
        <w:t>was shown to multiply more on cabbage four months post fumigation with DD or EDB when compared to unfumigated plots, numbers were however shown to be low when fumigation was done using DBCP, which had a more residual action</w:t>
      </w:r>
      <w:r w:rsidRPr="00ED025C">
        <w:rPr>
          <w:rFonts w:ascii="Arial" w:eastAsia="Calibri" w:hAnsi="Arial" w:cs="Arial"/>
          <w:color w:val="000000" w:themeColor="text1"/>
          <w:sz w:val="24"/>
          <w:szCs w:val="24"/>
        </w:rPr>
        <w:fldChar w:fldCharType="begin" w:fldLock="1"/>
      </w:r>
      <w:r w:rsidRPr="00ED025C">
        <w:rPr>
          <w:rFonts w:ascii="Arial" w:eastAsia="Calibri" w:hAnsi="Arial" w:cs="Arial"/>
          <w:color w:val="000000" w:themeColor="text1"/>
          <w:sz w:val="24"/>
          <w:szCs w:val="24"/>
        </w:rPr>
        <w:instrText>ADDIN CSL_CITATION {"citationItems":[{"id":"ITEM-1","itemData":{"author":[{"dropping-particle":"","family":"Rhoades","given":"","non-dropping-particle":"","parse-names":false,"suffix":""}],"container-title":"Plant Disease Reporter","id":"ITEM-1","issue":"9","issued":{"date-parts":[["1969"]]},"page":"728-730","title":"Nématicide efficacy in controlling sting and stubbyroot nematodes attacking onions in Central Florida.","type":"article-journal","volume":"53"},"uris":["http://www.mendeley.com/documents/?uuid=4df4e7e3-93fe-4592-9ac6-70a324571b70"]}],"mendeley":{"formattedCitation":"(Rhoades, 1969)","plainTextFormattedCitation":"(Rhoades, 1969)","previouslyFormattedCitation":"(Rhoades, 1969)"},"properties":{"noteIndex":0},"schema":"https://github.com/citation-style-language/schema/raw/master/csl-citation.json"}</w:instrText>
      </w:r>
      <w:r w:rsidRPr="00ED025C">
        <w:rPr>
          <w:rFonts w:ascii="Arial" w:eastAsia="Calibri" w:hAnsi="Arial" w:cs="Arial"/>
          <w:color w:val="000000" w:themeColor="text1"/>
          <w:sz w:val="24"/>
          <w:szCs w:val="24"/>
        </w:rPr>
        <w:fldChar w:fldCharType="separate"/>
      </w:r>
      <w:r w:rsidRPr="00ED025C">
        <w:rPr>
          <w:rFonts w:ascii="Arial" w:eastAsia="Calibri" w:hAnsi="Arial" w:cs="Arial"/>
          <w:noProof/>
          <w:color w:val="000000" w:themeColor="text1"/>
          <w:sz w:val="24"/>
          <w:szCs w:val="24"/>
        </w:rPr>
        <w:t>(Rhoades, 1969)</w:t>
      </w:r>
      <w:r w:rsidRPr="00ED025C">
        <w:rPr>
          <w:rFonts w:ascii="Arial" w:eastAsia="Calibri" w:hAnsi="Arial" w:cs="Arial"/>
          <w:color w:val="000000" w:themeColor="text1"/>
          <w:sz w:val="24"/>
          <w:szCs w:val="24"/>
        </w:rPr>
        <w:fldChar w:fldCharType="end"/>
      </w:r>
      <w:r w:rsidRPr="00ED025C">
        <w:rPr>
          <w:rFonts w:ascii="Arial" w:eastAsia="Calibri" w:hAnsi="Arial" w:cs="Arial"/>
          <w:color w:val="000000" w:themeColor="text1"/>
          <w:sz w:val="24"/>
          <w:szCs w:val="24"/>
        </w:rPr>
        <w:t xml:space="preserve">.Trials done in Yorkshire, Northern England and in Norfolk, Eastern England have however obtained successful results with fumigation. In Yorkshire, 93% </w:t>
      </w:r>
      <w:r w:rsidRPr="00ED025C">
        <w:rPr>
          <w:rFonts w:ascii="Arial" w:eastAsia="Calibri" w:hAnsi="Arial" w:cs="Arial"/>
          <w:i/>
          <w:color w:val="000000" w:themeColor="text1"/>
          <w:sz w:val="24"/>
          <w:szCs w:val="24"/>
        </w:rPr>
        <w:t xml:space="preserve">Paratrichodorus anemones </w:t>
      </w:r>
      <w:r w:rsidRPr="00ED025C">
        <w:rPr>
          <w:rFonts w:ascii="Arial" w:eastAsia="Calibri" w:hAnsi="Arial" w:cs="Arial"/>
          <w:color w:val="000000" w:themeColor="text1"/>
          <w:sz w:val="24"/>
          <w:szCs w:val="24"/>
        </w:rPr>
        <w:t xml:space="preserve">were killed during winter of 1965-67 where they were fewer when compared to unfumigated plots. In Norfolk, no recovery of </w:t>
      </w:r>
      <w:r w:rsidRPr="00ED025C">
        <w:rPr>
          <w:rFonts w:ascii="Arial" w:eastAsia="Calibri" w:hAnsi="Arial" w:cs="Arial"/>
          <w:i/>
          <w:color w:val="000000" w:themeColor="text1"/>
          <w:sz w:val="24"/>
          <w:szCs w:val="24"/>
        </w:rPr>
        <w:t>Paratrichodorus teres</w:t>
      </w:r>
      <w:r w:rsidRPr="00ED025C">
        <w:rPr>
          <w:rFonts w:ascii="Arial" w:eastAsia="Calibri" w:hAnsi="Arial" w:cs="Arial"/>
          <w:color w:val="000000" w:themeColor="text1"/>
          <w:sz w:val="24"/>
          <w:szCs w:val="24"/>
        </w:rPr>
        <w:t xml:space="preserve"> and </w:t>
      </w:r>
      <w:r w:rsidRPr="00ED025C">
        <w:rPr>
          <w:rFonts w:ascii="Arial" w:eastAsia="Calibri" w:hAnsi="Arial" w:cs="Arial"/>
          <w:i/>
          <w:color w:val="000000" w:themeColor="text1"/>
          <w:sz w:val="24"/>
          <w:szCs w:val="24"/>
        </w:rPr>
        <w:t>Trichodorus cylindricus</w:t>
      </w:r>
      <w:r w:rsidRPr="00ED025C">
        <w:rPr>
          <w:rFonts w:ascii="Arial" w:eastAsia="Calibri" w:hAnsi="Arial" w:cs="Arial"/>
          <w:color w:val="000000" w:themeColor="text1"/>
          <w:sz w:val="24"/>
          <w:szCs w:val="24"/>
        </w:rPr>
        <w:t xml:space="preserve"> was </w:t>
      </w:r>
      <w:r w:rsidRPr="00616CDC">
        <w:rPr>
          <w:rFonts w:ascii="Arial" w:eastAsia="Calibri" w:hAnsi="Arial" w:cs="Arial"/>
          <w:color w:val="000000" w:themeColor="text1"/>
          <w:sz w:val="24"/>
          <w:szCs w:val="24"/>
        </w:rPr>
        <w:lastRenderedPageBreak/>
        <w:t xml:space="preserve">observed after fumigation and a 99% kill was achieved during 1966-67 period. Cooke also observed that the re-establishment of </w:t>
      </w:r>
      <w:r w:rsidRPr="00616CDC">
        <w:rPr>
          <w:rFonts w:ascii="Arial" w:eastAsia="Calibri" w:hAnsi="Arial" w:cs="Arial"/>
          <w:i/>
          <w:color w:val="000000" w:themeColor="text1"/>
          <w:sz w:val="24"/>
          <w:szCs w:val="24"/>
        </w:rPr>
        <w:t>Trichodorus cylindricus</w:t>
      </w:r>
      <w:r w:rsidRPr="00616CDC">
        <w:rPr>
          <w:rFonts w:ascii="Arial" w:eastAsia="Calibri" w:hAnsi="Arial" w:cs="Arial"/>
          <w:color w:val="000000" w:themeColor="text1"/>
          <w:sz w:val="24"/>
          <w:szCs w:val="24"/>
        </w:rPr>
        <w:t xml:space="preserve"> and </w:t>
      </w:r>
      <w:r w:rsidRPr="00616CDC">
        <w:rPr>
          <w:rFonts w:ascii="Arial" w:eastAsia="Calibri" w:hAnsi="Arial" w:cs="Arial"/>
          <w:i/>
          <w:color w:val="000000" w:themeColor="text1"/>
          <w:sz w:val="24"/>
          <w:szCs w:val="24"/>
        </w:rPr>
        <w:t>Paratrichodorus pachydermus</w:t>
      </w:r>
      <w:r w:rsidRPr="00616CDC">
        <w:rPr>
          <w:rFonts w:ascii="Arial" w:eastAsia="Calibri" w:hAnsi="Arial" w:cs="Arial"/>
          <w:color w:val="000000" w:themeColor="text1"/>
          <w:sz w:val="24"/>
          <w:szCs w:val="24"/>
        </w:rPr>
        <w:t xml:space="preserve"> was slow upon fumigation </w:t>
      </w:r>
      <w:r w:rsidRPr="00616CDC">
        <w:rPr>
          <w:rFonts w:ascii="Arial" w:eastAsia="Calibri" w:hAnsi="Arial" w:cs="Arial"/>
          <w:color w:val="000000" w:themeColor="text1"/>
          <w:sz w:val="24"/>
          <w:szCs w:val="24"/>
        </w:rPr>
        <w:fldChar w:fldCharType="begin" w:fldLock="1"/>
      </w:r>
      <w:r w:rsidR="00E13293" w:rsidRPr="00616CDC">
        <w:rPr>
          <w:rFonts w:ascii="Arial" w:eastAsia="Calibri" w:hAnsi="Arial" w:cs="Arial"/>
          <w:color w:val="000000" w:themeColor="text1"/>
          <w:sz w:val="24"/>
          <w:szCs w:val="24"/>
        </w:rPr>
        <w:instrText>ADDIN CSL_CITATION {"citationItems":[{"id":"ITEM-1","itemData":{"DOI":"10.1111/j.1744-7348.1971.tb04678.x","ISSN":"0003-4746","abstract":"In fifteen experiments on light land infested with plant</w:instrText>
      </w:r>
      <w:r w:rsidR="00E13293" w:rsidRPr="00616CDC">
        <w:rPr>
          <w:rFonts w:ascii="Cambria Math" w:eastAsia="Calibri" w:hAnsi="Cambria Math" w:cs="Cambria Math"/>
          <w:color w:val="000000" w:themeColor="text1"/>
          <w:sz w:val="24"/>
          <w:szCs w:val="24"/>
        </w:rPr>
        <w:instrText>‐</w:instrText>
      </w:r>
      <w:r w:rsidR="00E13293" w:rsidRPr="00616CDC">
        <w:rPr>
          <w:rFonts w:ascii="Arial" w:eastAsia="Calibri" w:hAnsi="Arial" w:cs="Arial"/>
          <w:color w:val="000000" w:themeColor="text1"/>
          <w:sz w:val="24"/>
          <w:szCs w:val="24"/>
        </w:rPr>
        <w:instrText>parasitic nematodes, fumigating the soil during the previous winter with D</w:instrText>
      </w:r>
      <w:r w:rsidR="00E13293" w:rsidRPr="00616CDC">
        <w:rPr>
          <w:rFonts w:ascii="Cambria Math" w:eastAsia="Calibri" w:hAnsi="Cambria Math" w:cs="Cambria Math"/>
          <w:color w:val="000000" w:themeColor="text1"/>
          <w:sz w:val="24"/>
          <w:szCs w:val="24"/>
        </w:rPr>
        <w:instrText>‐</w:instrText>
      </w:r>
      <w:r w:rsidR="00E13293" w:rsidRPr="00616CDC">
        <w:rPr>
          <w:rFonts w:ascii="Arial" w:eastAsia="Calibri" w:hAnsi="Arial" w:cs="Arial"/>
          <w:color w:val="000000" w:themeColor="text1"/>
          <w:sz w:val="24"/>
          <w:szCs w:val="24"/>
        </w:rPr>
        <w:instrText>D increased the average yield of sugar</w:instrText>
      </w:r>
      <w:r w:rsidR="00E13293" w:rsidRPr="00616CDC">
        <w:rPr>
          <w:rFonts w:ascii="Cambria Math" w:eastAsia="Calibri" w:hAnsi="Cambria Math" w:cs="Cambria Math"/>
          <w:color w:val="000000" w:themeColor="text1"/>
          <w:sz w:val="24"/>
          <w:szCs w:val="24"/>
        </w:rPr>
        <w:instrText>‐</w:instrText>
      </w:r>
      <w:r w:rsidR="00E13293" w:rsidRPr="00616CDC">
        <w:rPr>
          <w:rFonts w:ascii="Arial" w:eastAsia="Calibri" w:hAnsi="Arial" w:cs="Arial"/>
          <w:color w:val="000000" w:themeColor="text1"/>
          <w:sz w:val="24"/>
          <w:szCs w:val="24"/>
        </w:rPr>
        <w:instrText>beet roots from 25 to 36 t/ha; this was more than that obtained with various forms of nitrogenous fertilizers used in amounts up to 250 kg N/ha. Application of 85 kg N/ha increased yields on fumigated plots by 7 t/ha, and there was little benefit from giving more. Fumigation killed 65 % of the Pratylenchus spp., 80% of the Trichodorus spp. and 90% of the Tylenchorhynchus spp. in the top 5 cm of the soil and, at 15–20 cm deep, 90, 93 and 95% of these three genera. The increased yield from fumigant at different sites was not correlated with the initial populations of nematodes. The average increase in yield from fumigation was only poorly correlated with rainfall during May. The increases in nematode populations between April and August depended on rainfall, and were 0positively correlated both with the accumulated rainfall for the 10 weeks before sampling the soil in August and with the rainfall during the week previous to sampling. Fumigation not only improved the health of roots, and so enabled them to use nitrogen more efficiently, but also increased the amount of available nitrogen in the soil and decreased the amount lost by leaching. Injected anhydrous ammonia did not affect the populations of nematodes. Copyright © 1971, Wiley Blackwell. All rights reserved","author":[{"dropping-particle":"","family":"Cooke","given":"D. A.","non-dropping-particle":"","parse-names":false,"suffix":""},{"dropping-particle":"","family":"Draycott","given":"A. P.","non-dropping-particle":"","parse-names":false,"suffix":""}],"container-title":"Annals of Applied Biology","id":"ITEM-1","issue":"3","issued":{"date-parts":[["1971","12","1"]]},"page":"253-264","publisher":"John Wiley &amp; Sons, Ltd","title":"The effects of soil fumigation and nitrogen fertilizers on nematodes and sugar beet in sandy soils","type":"article-journal","volume":"69"},"uris":["http://www.mendeley.com/documents/?uuid=330c0861-0a9e-3b04-8fef-9c530dd04541"]}],"mendeley":{"formattedCitation":"(Cooke and Draycott, 1971)","plainTextFormattedCitation":"(Cooke and Draycott, 1971)","previouslyFormattedCitation":"(Cooke and Draycott, 1971)"},"properties":{"noteIndex":0},"schema":"https://github.com/citation-style-language/schema/raw/master/csl-citation.json"}</w:instrText>
      </w:r>
      <w:r w:rsidRPr="00616CDC">
        <w:rPr>
          <w:rFonts w:ascii="Arial" w:eastAsia="Calibri" w:hAnsi="Arial" w:cs="Arial"/>
          <w:color w:val="000000" w:themeColor="text1"/>
          <w:sz w:val="24"/>
          <w:szCs w:val="24"/>
        </w:rPr>
        <w:fldChar w:fldCharType="separate"/>
      </w:r>
      <w:r w:rsidR="00E13293" w:rsidRPr="00616CDC">
        <w:rPr>
          <w:rFonts w:ascii="Arial" w:eastAsia="Calibri" w:hAnsi="Arial" w:cs="Arial"/>
          <w:noProof/>
          <w:color w:val="000000" w:themeColor="text1"/>
          <w:sz w:val="24"/>
          <w:szCs w:val="24"/>
        </w:rPr>
        <w:t>(Cooke and Draycott, 1971)</w:t>
      </w:r>
      <w:r w:rsidRPr="00616CDC">
        <w:rPr>
          <w:rFonts w:ascii="Arial" w:eastAsia="Calibri" w:hAnsi="Arial" w:cs="Arial"/>
          <w:color w:val="000000" w:themeColor="text1"/>
          <w:sz w:val="24"/>
          <w:szCs w:val="24"/>
        </w:rPr>
        <w:fldChar w:fldCharType="end"/>
      </w:r>
      <w:r w:rsidRPr="00616CDC">
        <w:rPr>
          <w:rFonts w:ascii="Arial" w:eastAsia="Calibri" w:hAnsi="Arial" w:cs="Arial"/>
          <w:color w:val="000000" w:themeColor="text1"/>
          <w:sz w:val="24"/>
          <w:szCs w:val="24"/>
        </w:rPr>
        <w:t xml:space="preserve"> Combined use of Abamectin and azoxybitron in field experiments aimed at management of </w:t>
      </w:r>
      <w:r w:rsidRPr="00616CDC">
        <w:rPr>
          <w:rFonts w:ascii="Arial" w:eastAsia="Calibri" w:hAnsi="Arial" w:cs="Arial"/>
          <w:i/>
          <w:color w:val="000000" w:themeColor="text1"/>
          <w:sz w:val="24"/>
          <w:szCs w:val="24"/>
        </w:rPr>
        <w:t>Trichodorus obstutus</w:t>
      </w:r>
      <w:r w:rsidRPr="00616CDC">
        <w:rPr>
          <w:rFonts w:ascii="Arial" w:eastAsia="Calibri" w:hAnsi="Arial" w:cs="Arial"/>
          <w:color w:val="000000" w:themeColor="text1"/>
          <w:sz w:val="24"/>
          <w:szCs w:val="24"/>
        </w:rPr>
        <w:t xml:space="preserve"> on zoysiagrass, showed that the root weight of treated plants increased by 0.50 and 0.81 g respectively compared to untreated controls. </w:t>
      </w:r>
      <w:r w:rsidRPr="00616CDC">
        <w:rPr>
          <w:rFonts w:ascii="Arial" w:eastAsia="Calibri" w:hAnsi="Arial" w:cs="Arial"/>
          <w:color w:val="000000" w:themeColor="text1"/>
          <w:sz w:val="24"/>
          <w:szCs w:val="24"/>
        </w:rPr>
        <w:fldChar w:fldCharType="begin" w:fldLock="1"/>
      </w:r>
      <w:r w:rsidR="00200FF9" w:rsidRPr="00616CDC">
        <w:rPr>
          <w:rFonts w:ascii="Arial" w:eastAsia="Calibri" w:hAnsi="Arial" w:cs="Arial"/>
          <w:color w:val="000000" w:themeColor="text1"/>
          <w:sz w:val="24"/>
          <w:szCs w:val="24"/>
        </w:rPr>
        <w:instrText>ADDIN CSL_CITATION {"citationItems":[{"id":"ITEM-1","itemData":{"DOI":"10.2135/cropsci2015.08.0528","ISSN":"0011183X","abstract":"Non-fumigant nematicides currently available for turfgrass have provided inconsistent nematode suppression and turf quality improvement. New products and management strategies are being evaluated to find alternatives to these chemistries. Field, greenhouse, and in vitro studies were conducted to determine the efficacy of abamectin and azoxystrobin for mitigating damage to ‘Empire’ zoysiagrass (Zoysia japonica Steud) turf caused by a stubby-root nematode (Trichodorus obtusus Cobb, 1913). Three years of data from greenhouse trials showed differences among treatments that were not observed in field trials. Combining azoxystrobin with abamectin formulations resulted in the highest root weights of any treatment for two out of three years, increasing root weights as much as threefold relative to the control. Differences in root weights for treatments containing abamectin were seen in all 3 yr. Data from the toxicity experiments show differences among formulations of abamectin. The commercial formulation of abamectin consistently immobilized a higher percentage of T. obtusus at all concentrations and evaluation periods compared to other treatments. Results indicate abamectin and azoxystrobin are useful for managing T. obtusus on zoysiagrass.","author":[{"dropping-particle":"","family":"Shaver","given":"Bradly R.","non-dropping-particle":"","parse-names":false,"suffix":""},{"dropping-particle":"","family":"Agudelo","given":"Paula","non-dropping-particle":"","parse-names":false,"suffix":""},{"dropping-particle":"","family":"Martin","given":"S. Bruce","non-dropping-particle":"","parse-names":false,"suffix":""}],"container-title":"Crop Science","id":"ITEM-1","issue":"3","issued":{"date-parts":[["2016","5","1"]]},"page":"1330-1336","publisher":"Crop Science Society of America","title":"Use of Abamectin and Azoxystrobin for Managing Stubby-Root Nematode( &lt;i&gt;Trichodorus obtusus&lt;/i&gt; Cobb) Damage to Zoysiagrass","type":"article-journal","volume":"56"},"uris":["http://www.mendeley.com/documents/?uuid=44ff844a-96d6-3b1f-b5fa-3d717a207b16"]}],"mendeley":{"formattedCitation":"(Shaver, Agudelo and Martin, 2016)","plainTextFormattedCitation":"(Shaver, Agudelo and Martin, 2016)","previouslyFormattedCitation":"(Shaver, Agudelo and Martin, 2016)"},"properties":{"noteIndex":0},"schema":"https://github.com/citation-style-language/schema/raw/master/csl-citation.json"}</w:instrText>
      </w:r>
      <w:r w:rsidRPr="00616CDC">
        <w:rPr>
          <w:rFonts w:ascii="Arial" w:eastAsia="Calibri" w:hAnsi="Arial" w:cs="Arial"/>
          <w:color w:val="000000" w:themeColor="text1"/>
          <w:sz w:val="24"/>
          <w:szCs w:val="24"/>
        </w:rPr>
        <w:fldChar w:fldCharType="separate"/>
      </w:r>
      <w:r w:rsidR="00A07F2C" w:rsidRPr="00616CDC">
        <w:rPr>
          <w:rFonts w:ascii="Arial" w:eastAsia="Calibri" w:hAnsi="Arial" w:cs="Arial"/>
          <w:noProof/>
          <w:color w:val="000000" w:themeColor="text1"/>
          <w:sz w:val="24"/>
          <w:szCs w:val="24"/>
        </w:rPr>
        <w:t>(Shaver, Agudelo and Martin, 2016)</w:t>
      </w:r>
      <w:r w:rsidRPr="00616CDC">
        <w:rPr>
          <w:rFonts w:ascii="Arial" w:eastAsia="Calibri" w:hAnsi="Arial" w:cs="Arial"/>
          <w:color w:val="000000" w:themeColor="text1"/>
          <w:sz w:val="24"/>
          <w:szCs w:val="24"/>
        </w:rPr>
        <w:fldChar w:fldCharType="end"/>
      </w:r>
      <w:r w:rsidR="008C392A" w:rsidRPr="00616CDC">
        <w:rPr>
          <w:rFonts w:ascii="Arial" w:eastAsia="Calibri" w:hAnsi="Arial" w:cs="Arial"/>
          <w:color w:val="000000" w:themeColor="text1"/>
          <w:sz w:val="24"/>
          <w:szCs w:val="24"/>
        </w:rPr>
        <w:t>.</w:t>
      </w:r>
      <w:r w:rsidR="00AC38EF" w:rsidRPr="00616CDC">
        <w:rPr>
          <w:rFonts w:ascii="Arial" w:hAnsi="Arial" w:cs="Arial"/>
          <w:sz w:val="24"/>
          <w:szCs w:val="24"/>
        </w:rPr>
        <w:t xml:space="preserve">The British beet research organisation (BBRO) recommends assessment of SRN densities before application of any nematicide. The set threshold for management measures i.e. nematicide application is 1000 trichodorid per 1 litre of soil. </w:t>
      </w:r>
      <w:r w:rsidR="00AC38EF" w:rsidRPr="00616CDC">
        <w:rPr>
          <w:rFonts w:ascii="Arial" w:hAnsi="Arial" w:cs="Arial"/>
          <w:color w:val="000000" w:themeColor="text1"/>
          <w:sz w:val="24"/>
          <w:szCs w:val="24"/>
        </w:rPr>
        <w:t>However, Vydate</w:t>
      </w:r>
      <w:r w:rsidR="00ED025C" w:rsidRPr="00616CDC">
        <w:rPr>
          <w:rFonts w:ascii="Arial" w:hAnsi="Arial" w:cs="Arial"/>
          <w:color w:val="000000" w:themeColor="text1"/>
          <w:sz w:val="24"/>
          <w:szCs w:val="24"/>
        </w:rPr>
        <w:t xml:space="preserve"> (Oxymyl)</w:t>
      </w:r>
      <w:r w:rsidR="00AC38EF" w:rsidRPr="00616CDC">
        <w:rPr>
          <w:rFonts w:ascii="Arial" w:hAnsi="Arial" w:cs="Arial"/>
          <w:color w:val="000000" w:themeColor="text1"/>
          <w:sz w:val="24"/>
          <w:szCs w:val="24"/>
        </w:rPr>
        <w:t xml:space="preserve">, which has been the nematicide applied by the sugar beet growers in the recent past, </w:t>
      </w:r>
      <w:r w:rsidR="00ED025C" w:rsidRPr="00616CDC">
        <w:rPr>
          <w:rFonts w:ascii="Arial" w:hAnsi="Arial" w:cs="Arial"/>
          <w:color w:val="000000" w:themeColor="text1"/>
          <w:sz w:val="24"/>
          <w:szCs w:val="24"/>
        </w:rPr>
        <w:t xml:space="preserve">was </w:t>
      </w:r>
      <w:r w:rsidR="00AC38EF" w:rsidRPr="00616CDC">
        <w:rPr>
          <w:rFonts w:ascii="Arial" w:hAnsi="Arial" w:cs="Arial"/>
          <w:color w:val="000000" w:themeColor="text1"/>
          <w:sz w:val="24"/>
          <w:szCs w:val="24"/>
        </w:rPr>
        <w:t>banned in UK</w:t>
      </w:r>
      <w:r w:rsidR="00ED025C" w:rsidRPr="00616CDC">
        <w:rPr>
          <w:rFonts w:ascii="Arial" w:hAnsi="Arial" w:cs="Arial"/>
          <w:color w:val="000000" w:themeColor="text1"/>
          <w:sz w:val="24"/>
          <w:szCs w:val="24"/>
        </w:rPr>
        <w:t xml:space="preserve"> in December 2020</w:t>
      </w:r>
      <w:r w:rsidR="00AC38EF" w:rsidRPr="00616CDC">
        <w:rPr>
          <w:rFonts w:ascii="Arial" w:hAnsi="Arial" w:cs="Arial"/>
          <w:color w:val="000000" w:themeColor="text1"/>
          <w:sz w:val="24"/>
          <w:szCs w:val="24"/>
        </w:rPr>
        <w:t>, leaving growers with no chemistry for the management of free-living parasitic nematodes</w:t>
      </w:r>
      <w:r w:rsidR="00D81940" w:rsidRPr="00616CDC">
        <w:rPr>
          <w:rFonts w:ascii="Arial" w:hAnsi="Arial" w:cs="Arial"/>
          <w:color w:val="000000" w:themeColor="text1"/>
          <w:sz w:val="24"/>
          <w:szCs w:val="24"/>
        </w:rPr>
        <w:t xml:space="preserve"> (FLN)</w:t>
      </w:r>
      <w:r w:rsidR="00AC38EF" w:rsidRPr="00616CDC">
        <w:rPr>
          <w:rFonts w:ascii="Arial" w:hAnsi="Arial" w:cs="Arial"/>
          <w:color w:val="000000" w:themeColor="text1"/>
          <w:sz w:val="24"/>
          <w:szCs w:val="24"/>
        </w:rPr>
        <w:t xml:space="preserve">. </w:t>
      </w:r>
      <w:r w:rsidR="00BC06E9" w:rsidRPr="00616CDC">
        <w:rPr>
          <w:rFonts w:ascii="Arial" w:hAnsi="Arial" w:cs="Arial"/>
          <w:color w:val="000000" w:themeColor="text1"/>
          <w:sz w:val="24"/>
          <w:szCs w:val="24"/>
        </w:rPr>
        <w:t xml:space="preserve">Discussions have been made on whether other nematicides used in other crops such as </w:t>
      </w:r>
      <w:proofErr w:type="spellStart"/>
      <w:r w:rsidRPr="00616CDC">
        <w:rPr>
          <w:rFonts w:ascii="Arial" w:hAnsi="Arial" w:cs="Arial"/>
          <w:color w:val="000000" w:themeColor="text1"/>
          <w:sz w:val="24"/>
          <w:szCs w:val="24"/>
        </w:rPr>
        <w:t>n</w:t>
      </w:r>
      <w:r w:rsidR="00BC06E9" w:rsidRPr="00616CDC">
        <w:rPr>
          <w:rFonts w:ascii="Arial" w:hAnsi="Arial" w:cs="Arial"/>
          <w:color w:val="000000" w:themeColor="text1"/>
          <w:sz w:val="24"/>
          <w:szCs w:val="24"/>
        </w:rPr>
        <w:t>emathorin</w:t>
      </w:r>
      <w:proofErr w:type="spellEnd"/>
      <w:r w:rsidRPr="00616CDC">
        <w:rPr>
          <w:rFonts w:ascii="Arial" w:hAnsi="Arial" w:cs="Arial"/>
          <w:color w:val="000000" w:themeColor="text1"/>
          <w:sz w:val="24"/>
          <w:szCs w:val="24"/>
        </w:rPr>
        <w:t xml:space="preserve"> (</w:t>
      </w:r>
      <w:proofErr w:type="spellStart"/>
      <w:r w:rsidRPr="00616CDC">
        <w:rPr>
          <w:rFonts w:ascii="Arial" w:hAnsi="Arial" w:cs="Arial"/>
          <w:color w:val="000000" w:themeColor="text1"/>
          <w:sz w:val="24"/>
          <w:szCs w:val="24"/>
        </w:rPr>
        <w:t>Fosthiazate</w:t>
      </w:r>
      <w:proofErr w:type="spellEnd"/>
      <w:r w:rsidRPr="00616CDC">
        <w:rPr>
          <w:rFonts w:ascii="Arial" w:hAnsi="Arial" w:cs="Arial"/>
          <w:color w:val="000000" w:themeColor="text1"/>
          <w:sz w:val="24"/>
          <w:szCs w:val="24"/>
        </w:rPr>
        <w:t>)</w:t>
      </w:r>
      <w:r w:rsidR="00BC06E9" w:rsidRPr="00616CDC">
        <w:rPr>
          <w:rFonts w:ascii="Arial" w:hAnsi="Arial" w:cs="Arial"/>
          <w:color w:val="000000" w:themeColor="text1"/>
          <w:sz w:val="24"/>
          <w:szCs w:val="24"/>
        </w:rPr>
        <w:t>,</w:t>
      </w:r>
      <w:r w:rsidRPr="00616CDC">
        <w:rPr>
          <w:rFonts w:ascii="Arial" w:hAnsi="Arial" w:cs="Arial"/>
          <w:color w:val="000000" w:themeColor="text1"/>
          <w:sz w:val="24"/>
          <w:szCs w:val="24"/>
        </w:rPr>
        <w:t xml:space="preserve"> </w:t>
      </w:r>
      <w:r w:rsidR="00BC06E9" w:rsidRPr="00616CDC">
        <w:rPr>
          <w:rFonts w:ascii="Arial" w:hAnsi="Arial" w:cs="Arial"/>
          <w:color w:val="000000" w:themeColor="text1"/>
          <w:sz w:val="24"/>
          <w:szCs w:val="24"/>
        </w:rPr>
        <w:t>Mocap</w:t>
      </w:r>
      <w:r w:rsidR="00ED025C" w:rsidRPr="00616CDC">
        <w:rPr>
          <w:rFonts w:ascii="Arial" w:hAnsi="Arial" w:cs="Arial"/>
          <w:color w:val="000000" w:themeColor="text1"/>
          <w:sz w:val="24"/>
          <w:szCs w:val="24"/>
        </w:rPr>
        <w:t xml:space="preserve"> (</w:t>
      </w:r>
      <w:proofErr w:type="spellStart"/>
      <w:r w:rsidR="00ED025C" w:rsidRPr="00616CDC">
        <w:rPr>
          <w:rFonts w:ascii="Arial" w:hAnsi="Arial" w:cs="Arial"/>
          <w:color w:val="000000" w:themeColor="text1"/>
          <w:sz w:val="24"/>
          <w:szCs w:val="24"/>
        </w:rPr>
        <w:t>ethoprophos</w:t>
      </w:r>
      <w:proofErr w:type="spellEnd"/>
      <w:r w:rsidR="00ED025C" w:rsidRPr="00616CDC">
        <w:rPr>
          <w:rFonts w:ascii="Arial" w:hAnsi="Arial" w:cs="Arial"/>
          <w:color w:val="000000" w:themeColor="text1"/>
          <w:sz w:val="24"/>
          <w:szCs w:val="24"/>
        </w:rPr>
        <w:t>)</w:t>
      </w:r>
      <w:r w:rsidR="00BC06E9" w:rsidRPr="00616CDC">
        <w:rPr>
          <w:rFonts w:ascii="Arial" w:hAnsi="Arial" w:cs="Arial"/>
          <w:color w:val="000000" w:themeColor="text1"/>
          <w:sz w:val="24"/>
          <w:szCs w:val="24"/>
        </w:rPr>
        <w:t xml:space="preserve"> or </w:t>
      </w:r>
      <w:proofErr w:type="spellStart"/>
      <w:r w:rsidR="00BC06E9" w:rsidRPr="00616CDC">
        <w:rPr>
          <w:rFonts w:ascii="Arial" w:hAnsi="Arial" w:cs="Arial"/>
          <w:color w:val="000000" w:themeColor="text1"/>
          <w:sz w:val="24"/>
          <w:szCs w:val="24"/>
        </w:rPr>
        <w:t>NEMGuard</w:t>
      </w:r>
      <w:proofErr w:type="spellEnd"/>
      <w:r w:rsidR="00BC06E9" w:rsidRPr="00616CDC">
        <w:rPr>
          <w:rFonts w:ascii="Arial" w:hAnsi="Arial" w:cs="Arial"/>
          <w:color w:val="000000" w:themeColor="text1"/>
          <w:sz w:val="24"/>
          <w:szCs w:val="24"/>
        </w:rPr>
        <w:t xml:space="preserve"> (garlic extract) can been used in sugar</w:t>
      </w:r>
      <w:r w:rsidRPr="00616CDC">
        <w:rPr>
          <w:rFonts w:ascii="Arial" w:hAnsi="Arial" w:cs="Arial"/>
          <w:color w:val="000000" w:themeColor="text1"/>
          <w:sz w:val="24"/>
          <w:szCs w:val="24"/>
        </w:rPr>
        <w:t xml:space="preserve"> </w:t>
      </w:r>
      <w:r w:rsidR="00BC06E9" w:rsidRPr="00616CDC">
        <w:rPr>
          <w:rFonts w:ascii="Arial" w:hAnsi="Arial" w:cs="Arial"/>
          <w:color w:val="000000" w:themeColor="text1"/>
          <w:sz w:val="24"/>
          <w:szCs w:val="24"/>
        </w:rPr>
        <w:t>beet</w:t>
      </w:r>
      <w:r w:rsidR="00D81940" w:rsidRPr="00616CDC">
        <w:rPr>
          <w:rFonts w:ascii="Arial" w:hAnsi="Arial" w:cs="Arial"/>
          <w:color w:val="000000" w:themeColor="text1"/>
          <w:sz w:val="24"/>
          <w:szCs w:val="24"/>
        </w:rPr>
        <w:t xml:space="preserve"> to manage FLN</w:t>
      </w:r>
      <w:r w:rsidR="00BC06E9" w:rsidRPr="00616CDC">
        <w:rPr>
          <w:rFonts w:ascii="Arial" w:hAnsi="Arial" w:cs="Arial"/>
          <w:color w:val="000000" w:themeColor="text1"/>
          <w:sz w:val="24"/>
          <w:szCs w:val="24"/>
        </w:rPr>
        <w:t xml:space="preserve">. </w:t>
      </w:r>
      <w:r w:rsidRPr="00616CDC">
        <w:rPr>
          <w:rFonts w:ascii="Arial" w:hAnsi="Arial" w:cs="Arial"/>
          <w:color w:val="000000" w:themeColor="text1"/>
          <w:sz w:val="24"/>
          <w:szCs w:val="24"/>
        </w:rPr>
        <w:t>However, none</w:t>
      </w:r>
      <w:r w:rsidR="00BC06E9" w:rsidRPr="00616CDC">
        <w:rPr>
          <w:rFonts w:ascii="Arial" w:hAnsi="Arial" w:cs="Arial"/>
          <w:color w:val="000000" w:themeColor="text1"/>
          <w:sz w:val="24"/>
          <w:szCs w:val="24"/>
        </w:rPr>
        <w:t xml:space="preserve"> of these products have been registered for sugar</w:t>
      </w:r>
      <w:r w:rsidRPr="00616CDC">
        <w:rPr>
          <w:rFonts w:ascii="Arial" w:hAnsi="Arial" w:cs="Arial"/>
          <w:color w:val="000000" w:themeColor="text1"/>
          <w:sz w:val="24"/>
          <w:szCs w:val="24"/>
        </w:rPr>
        <w:t xml:space="preserve"> </w:t>
      </w:r>
      <w:r w:rsidR="00BC06E9" w:rsidRPr="00616CDC">
        <w:rPr>
          <w:rFonts w:ascii="Arial" w:hAnsi="Arial" w:cs="Arial"/>
          <w:color w:val="000000" w:themeColor="text1"/>
          <w:sz w:val="24"/>
          <w:szCs w:val="24"/>
        </w:rPr>
        <w:t>bee</w:t>
      </w:r>
      <w:r w:rsidR="00D81940" w:rsidRPr="00616CDC">
        <w:rPr>
          <w:rFonts w:ascii="Arial" w:hAnsi="Arial" w:cs="Arial"/>
          <w:color w:val="000000" w:themeColor="text1"/>
          <w:sz w:val="24"/>
          <w:szCs w:val="24"/>
        </w:rPr>
        <w:t xml:space="preserve">t and </w:t>
      </w:r>
      <w:r w:rsidR="00BC06E9" w:rsidRPr="00616CDC">
        <w:rPr>
          <w:rFonts w:ascii="Arial" w:hAnsi="Arial" w:cs="Arial"/>
          <w:color w:val="000000" w:themeColor="text1"/>
          <w:sz w:val="24"/>
          <w:szCs w:val="24"/>
        </w:rPr>
        <w:t xml:space="preserve">BBRO also expresses doubts on whether these products will be registered soon as past tests with </w:t>
      </w:r>
      <w:r w:rsidR="00D81940" w:rsidRPr="00616CDC">
        <w:rPr>
          <w:rFonts w:ascii="Arial" w:hAnsi="Arial" w:cs="Arial"/>
          <w:color w:val="000000" w:themeColor="text1"/>
          <w:sz w:val="24"/>
          <w:szCs w:val="24"/>
        </w:rPr>
        <w:t>n</w:t>
      </w:r>
      <w:r w:rsidR="00BC06E9" w:rsidRPr="00616CDC">
        <w:rPr>
          <w:rFonts w:ascii="Arial" w:hAnsi="Arial" w:cs="Arial"/>
          <w:color w:val="000000" w:themeColor="text1"/>
          <w:sz w:val="24"/>
          <w:szCs w:val="24"/>
        </w:rPr>
        <w:t xml:space="preserve">emathorin on sugar beet indicated that crop safety was not sufficient to justify its development in the crop </w:t>
      </w:r>
      <w:r w:rsidR="00ED025C" w:rsidRPr="00616CDC">
        <w:rPr>
          <w:rFonts w:ascii="Arial" w:hAnsi="Arial" w:cs="Arial"/>
          <w:color w:val="000000" w:themeColor="text1"/>
          <w:sz w:val="24"/>
          <w:szCs w:val="24"/>
        </w:rPr>
        <w:fldChar w:fldCharType="begin" w:fldLock="1"/>
      </w:r>
      <w:r w:rsidR="00ED025C" w:rsidRPr="00616CDC">
        <w:rPr>
          <w:rFonts w:ascii="Arial" w:hAnsi="Arial" w:cs="Arial"/>
          <w:color w:val="000000" w:themeColor="text1"/>
          <w:sz w:val="24"/>
          <w:szCs w:val="24"/>
        </w:rPr>
        <w:instrText>ADDIN CSL_CITATION {"citationItems":[{"id":"ITEM-1","itemData":{"author":[{"dropping-particle":"","family":"Stevens","given":"Mark","non-dropping-particle":"","parse-names":false,"suffix":""}],"container-title":"British Sugar Beet Review","id":"ITEM-1","issue":"4","issued":{"date-parts":[["2015"]]},"number-of-pages":"4","title":"Vydate Update: latest consequences for FLN control in sugar beet","type":"report","volume":"83"},"uris":["http://www.mendeley.com/documents/?uuid=f70165e8-3398-4f3a-b87e-f2329a5b3ef3"]}],"mendeley":{"formattedCitation":"(Stevens, 2015)","plainTextFormattedCitation":"(Stevens, 2015)","previouslyFormattedCitation":"(Stevens, 2015)"},"properties":{"noteIndex":0},"schema":"https://github.com/citation-style-language/schema/raw/master/csl-citation.json"}</w:instrText>
      </w:r>
      <w:r w:rsidR="00ED025C" w:rsidRPr="00616CDC">
        <w:rPr>
          <w:rFonts w:ascii="Arial" w:hAnsi="Arial" w:cs="Arial"/>
          <w:color w:val="000000" w:themeColor="text1"/>
          <w:sz w:val="24"/>
          <w:szCs w:val="24"/>
        </w:rPr>
        <w:fldChar w:fldCharType="separate"/>
      </w:r>
      <w:r w:rsidR="00ED025C" w:rsidRPr="00616CDC">
        <w:rPr>
          <w:rFonts w:ascii="Arial" w:hAnsi="Arial" w:cs="Arial"/>
          <w:noProof/>
          <w:color w:val="000000" w:themeColor="text1"/>
          <w:sz w:val="24"/>
          <w:szCs w:val="24"/>
        </w:rPr>
        <w:t>(Stevens, 2015)</w:t>
      </w:r>
      <w:r w:rsidR="00ED025C" w:rsidRPr="00616CDC">
        <w:rPr>
          <w:rFonts w:ascii="Arial" w:hAnsi="Arial" w:cs="Arial"/>
          <w:color w:val="000000" w:themeColor="text1"/>
          <w:sz w:val="24"/>
          <w:szCs w:val="24"/>
        </w:rPr>
        <w:fldChar w:fldCharType="end"/>
      </w:r>
      <w:r w:rsidRPr="00616CDC">
        <w:rPr>
          <w:rFonts w:ascii="Arial" w:hAnsi="Arial" w:cs="Arial"/>
          <w:sz w:val="24"/>
          <w:szCs w:val="24"/>
        </w:rPr>
        <w:t xml:space="preserve"> As the pressure to develop other active ingredients se</w:t>
      </w:r>
      <w:r w:rsidR="008C392A" w:rsidRPr="00616CDC">
        <w:rPr>
          <w:rFonts w:ascii="Arial" w:hAnsi="Arial" w:cs="Arial"/>
          <w:sz w:val="24"/>
          <w:szCs w:val="24"/>
        </w:rPr>
        <w:t>e</w:t>
      </w:r>
      <w:r w:rsidRPr="00616CDC">
        <w:rPr>
          <w:rFonts w:ascii="Arial" w:hAnsi="Arial" w:cs="Arial"/>
          <w:sz w:val="24"/>
          <w:szCs w:val="24"/>
        </w:rPr>
        <w:t xml:space="preserve">ms hard to execute., other cultural and crop management strategies need to </w:t>
      </w:r>
      <w:r w:rsidR="00D81940" w:rsidRPr="00616CDC">
        <w:rPr>
          <w:rFonts w:ascii="Arial" w:hAnsi="Arial" w:cs="Arial"/>
          <w:sz w:val="24"/>
          <w:szCs w:val="24"/>
        </w:rPr>
        <w:t xml:space="preserve">be </w:t>
      </w:r>
      <w:r w:rsidRPr="00616CDC">
        <w:rPr>
          <w:rFonts w:ascii="Arial" w:hAnsi="Arial" w:cs="Arial"/>
          <w:sz w:val="24"/>
          <w:szCs w:val="24"/>
        </w:rPr>
        <w:t xml:space="preserve">evaluated for future recommendations to sugar beet growers </w:t>
      </w:r>
      <w:r w:rsidR="00ED025C" w:rsidRPr="00616CDC">
        <w:rPr>
          <w:rFonts w:ascii="Arial" w:hAnsi="Arial" w:cs="Arial"/>
          <w:sz w:val="24"/>
          <w:szCs w:val="24"/>
        </w:rPr>
        <w:fldChar w:fldCharType="begin" w:fldLock="1"/>
      </w:r>
      <w:r w:rsidR="00C7250E" w:rsidRPr="00616CDC">
        <w:rPr>
          <w:rFonts w:ascii="Arial" w:hAnsi="Arial" w:cs="Arial"/>
          <w:sz w:val="24"/>
          <w:szCs w:val="24"/>
        </w:rPr>
        <w:instrText>ADDIN CSL_CITATION {"citationItems":[{"id":"ITEM-1","itemData":{"author":[{"dropping-particle":"","family":"Stevens","given":"Mark","non-dropping-particle":"","parse-names":false,"suffix":""}],"container-title":"British Sugar Beet Review","id":"ITEM-1","issue":"4","issued":{"date-parts":[["2015"]]},"number-of-pages":"4","title":"Vydate Update: latest consequences for FLN control in sugar beet","type":"report","volume":"83"},"uris":["http://www.mendeley.com/documents/?uuid=f70165e8-3398-4f3a-b87e-f2329a5b3ef3"]}],"mendeley":{"formattedCitation":"(Stevens, 2015)","plainTextFormattedCitation":"(Stevens, 2015)","previouslyFormattedCitation":"(Stevens, 2015)"},"properties":{"noteIndex":0},"schema":"https://github.com/citation-style-language/schema/raw/master/csl-citation.json"}</w:instrText>
      </w:r>
      <w:r w:rsidR="00ED025C" w:rsidRPr="00616CDC">
        <w:rPr>
          <w:rFonts w:ascii="Arial" w:hAnsi="Arial" w:cs="Arial"/>
          <w:sz w:val="24"/>
          <w:szCs w:val="24"/>
        </w:rPr>
        <w:fldChar w:fldCharType="separate"/>
      </w:r>
      <w:r w:rsidR="00ED025C" w:rsidRPr="00616CDC">
        <w:rPr>
          <w:rFonts w:ascii="Arial" w:hAnsi="Arial" w:cs="Arial"/>
          <w:noProof/>
          <w:sz w:val="24"/>
          <w:szCs w:val="24"/>
        </w:rPr>
        <w:t>(Stevens, 2015)</w:t>
      </w:r>
      <w:r w:rsidR="00ED025C" w:rsidRPr="00616CDC">
        <w:rPr>
          <w:rFonts w:ascii="Arial" w:hAnsi="Arial" w:cs="Arial"/>
          <w:sz w:val="24"/>
          <w:szCs w:val="24"/>
        </w:rPr>
        <w:fldChar w:fldCharType="end"/>
      </w:r>
    </w:p>
    <w:p w14:paraId="3B502E29" w14:textId="69CD1603" w:rsidR="00B91BCF" w:rsidRDefault="6AC1B2C3">
      <w:pPr>
        <w:pStyle w:val="Heading3"/>
        <w:spacing w:line="360" w:lineRule="auto"/>
        <w:ind w:left="-284"/>
        <w:contextualSpacing/>
        <w:jc w:val="both"/>
        <w:rPr>
          <w:rFonts w:ascii="Arial" w:eastAsia="Times New Roman" w:hAnsi="Arial" w:cs="Arial"/>
          <w:b/>
          <w:bCs/>
          <w:color w:val="000000" w:themeColor="text1"/>
          <w:sz w:val="24"/>
          <w:szCs w:val="24"/>
          <w:lang w:val="en-US"/>
        </w:rPr>
      </w:pPr>
      <w:bookmarkStart w:id="29" w:name="_Toc110341283"/>
      <w:r w:rsidRPr="6AC1B2C3">
        <w:rPr>
          <w:rFonts w:ascii="Arial" w:eastAsia="Times New Roman" w:hAnsi="Arial" w:cs="Arial"/>
          <w:b/>
          <w:bCs/>
          <w:color w:val="000000" w:themeColor="text1"/>
          <w:sz w:val="24"/>
          <w:szCs w:val="24"/>
          <w:lang w:val="en-US"/>
        </w:rPr>
        <w:lastRenderedPageBreak/>
        <w:t xml:space="preserve">1.3.2 Use of </w:t>
      </w:r>
      <w:r w:rsidR="6373382E" w:rsidRPr="6373382E">
        <w:rPr>
          <w:rFonts w:ascii="Arial" w:eastAsia="Times New Roman" w:hAnsi="Arial" w:cs="Arial"/>
          <w:b/>
          <w:bCs/>
          <w:color w:val="000000" w:themeColor="text1"/>
          <w:sz w:val="24"/>
          <w:szCs w:val="24"/>
          <w:lang w:val="en-US"/>
        </w:rPr>
        <w:t>cover</w:t>
      </w:r>
      <w:r w:rsidRPr="6AC1B2C3">
        <w:rPr>
          <w:rFonts w:ascii="Arial" w:eastAsia="Times New Roman" w:hAnsi="Arial" w:cs="Arial"/>
          <w:b/>
          <w:bCs/>
          <w:color w:val="000000" w:themeColor="text1"/>
          <w:sz w:val="24"/>
          <w:szCs w:val="24"/>
          <w:lang w:val="en-US"/>
        </w:rPr>
        <w:t xml:space="preserve"> crops </w:t>
      </w:r>
      <w:r w:rsidR="6373382E" w:rsidRPr="6373382E">
        <w:rPr>
          <w:rFonts w:ascii="Arial" w:eastAsia="Times New Roman" w:hAnsi="Arial" w:cs="Arial"/>
          <w:b/>
          <w:bCs/>
          <w:color w:val="000000" w:themeColor="text1"/>
          <w:sz w:val="24"/>
          <w:szCs w:val="24"/>
          <w:lang w:val="en-US"/>
        </w:rPr>
        <w:t>for</w:t>
      </w:r>
      <w:r w:rsidRPr="6AC1B2C3">
        <w:rPr>
          <w:rFonts w:ascii="Arial" w:eastAsia="Times New Roman" w:hAnsi="Arial" w:cs="Arial"/>
          <w:b/>
          <w:bCs/>
          <w:color w:val="000000" w:themeColor="text1"/>
          <w:sz w:val="24"/>
          <w:szCs w:val="24"/>
          <w:lang w:val="en-US"/>
        </w:rPr>
        <w:t xml:space="preserve"> the suppression of </w:t>
      </w:r>
      <w:r w:rsidR="6373382E" w:rsidRPr="6373382E">
        <w:rPr>
          <w:rFonts w:ascii="Arial" w:eastAsia="Times New Roman" w:hAnsi="Arial" w:cs="Arial"/>
          <w:b/>
          <w:bCs/>
          <w:color w:val="000000" w:themeColor="text1"/>
          <w:sz w:val="24"/>
          <w:szCs w:val="24"/>
          <w:lang w:val="en-US"/>
        </w:rPr>
        <w:t>plant</w:t>
      </w:r>
      <w:r w:rsidRPr="6AC1B2C3">
        <w:rPr>
          <w:rFonts w:ascii="Arial" w:eastAsia="Times New Roman" w:hAnsi="Arial" w:cs="Arial"/>
          <w:b/>
          <w:bCs/>
          <w:color w:val="000000" w:themeColor="text1"/>
          <w:sz w:val="24"/>
          <w:szCs w:val="24"/>
          <w:lang w:val="en-US"/>
        </w:rPr>
        <w:t xml:space="preserve"> parasitic nematodes (PPN)</w:t>
      </w:r>
      <w:bookmarkEnd w:id="29"/>
      <w:r w:rsidRPr="6AC1B2C3">
        <w:rPr>
          <w:rFonts w:ascii="Arial" w:eastAsia="Times New Roman" w:hAnsi="Arial" w:cs="Arial"/>
          <w:b/>
          <w:bCs/>
          <w:color w:val="000000" w:themeColor="text1"/>
          <w:sz w:val="24"/>
          <w:szCs w:val="24"/>
          <w:lang w:val="en-US"/>
        </w:rPr>
        <w:t xml:space="preserve"> </w:t>
      </w:r>
    </w:p>
    <w:p w14:paraId="0CF72CEE" w14:textId="14EBF62F" w:rsidR="001F384A" w:rsidRPr="00B91BCF" w:rsidRDefault="00D4255D" w:rsidP="00616CDC">
      <w:pPr>
        <w:spacing w:line="360" w:lineRule="auto"/>
        <w:ind w:left="-709"/>
        <w:jc w:val="both"/>
        <w:rPr>
          <w:rFonts w:ascii="Arial" w:eastAsia="Times New Roman" w:hAnsi="Arial" w:cs="Arial"/>
          <w:b/>
          <w:sz w:val="24"/>
          <w:szCs w:val="24"/>
          <w:lang w:val="en-US"/>
        </w:rPr>
      </w:pPr>
      <w:r w:rsidRPr="00B91BCF">
        <w:rPr>
          <w:rFonts w:ascii="Arial" w:eastAsia="Times New Roman" w:hAnsi="Arial" w:cs="Arial"/>
          <w:sz w:val="24"/>
          <w:szCs w:val="24"/>
          <w:lang w:val="en-US"/>
        </w:rPr>
        <w:t>Cover crops are</w:t>
      </w:r>
      <w:r w:rsidR="00575A35" w:rsidRPr="00B91BCF">
        <w:rPr>
          <w:rFonts w:ascii="Arial" w:eastAsia="Times New Roman" w:hAnsi="Arial" w:cs="Arial"/>
          <w:sz w:val="24"/>
          <w:szCs w:val="24"/>
          <w:lang w:val="en-US"/>
        </w:rPr>
        <w:t xml:space="preserve"> plants</w:t>
      </w:r>
      <w:r w:rsidRPr="00B91BCF">
        <w:rPr>
          <w:rFonts w:ascii="Arial" w:eastAsia="Times New Roman" w:hAnsi="Arial" w:cs="Arial"/>
          <w:sz w:val="24"/>
          <w:szCs w:val="24"/>
          <w:lang w:val="en-US"/>
        </w:rPr>
        <w:t xml:space="preserve"> planted at intervals within a normal cropping rotation with the main crop to improve soil structure, soil fertility and water infiltration </w:t>
      </w:r>
      <w:sdt>
        <w:sdtPr>
          <w:rPr>
            <w:rFonts w:ascii="Arial" w:eastAsia="Arial" w:hAnsi="Arial" w:cs="Arial"/>
            <w:sz w:val="24"/>
            <w:szCs w:val="24"/>
            <w:lang w:val="en-US"/>
          </w:rPr>
          <w:tag w:val="MENDELEY_CITATION_7790d189-d05b-4752-b7b2-83b5b5eed64c"/>
          <w:id w:val="948540351"/>
          <w:placeholder>
            <w:docPart w:val="ABC60BA7B4754984A4A104790FD59488"/>
          </w:placeholder>
        </w:sdtPr>
        <w:sdtEndPr/>
        <w:sdtContent>
          <w:r w:rsidRPr="00B91BCF">
            <w:rPr>
              <w:rFonts w:ascii="Arial" w:eastAsia="Times New Roman" w:hAnsi="Arial" w:cs="Arial"/>
              <w:sz w:val="24"/>
              <w:szCs w:val="24"/>
              <w:lang w:val="en-US"/>
            </w:rPr>
            <w:t>(Fourie et al., 2016)</w:t>
          </w:r>
        </w:sdtContent>
      </w:sdt>
      <w:r w:rsidRPr="00B91BCF">
        <w:rPr>
          <w:rFonts w:ascii="Arial" w:eastAsia="Arial" w:hAnsi="Arial" w:cs="Arial"/>
          <w:sz w:val="24"/>
          <w:szCs w:val="24"/>
          <w:lang w:val="en-US"/>
        </w:rPr>
        <w:t xml:space="preserve">. </w:t>
      </w:r>
      <w:r w:rsidRPr="00B91BCF">
        <w:rPr>
          <w:rFonts w:ascii="Arial" w:eastAsia="Times New Roman" w:hAnsi="Arial" w:cs="Arial"/>
          <w:sz w:val="24"/>
          <w:szCs w:val="24"/>
          <w:lang w:val="en-US"/>
        </w:rPr>
        <w:t xml:space="preserve">The continuous improvement of soil organic matter promotes populations of free-living nematodes which play a key role in nutrient cycling </w:t>
      </w:r>
      <w:r w:rsidRPr="00B91BCF">
        <w:rPr>
          <w:rFonts w:ascii="Arial" w:eastAsia="Times New Roman" w:hAnsi="Arial" w:cs="Arial"/>
          <w:sz w:val="24"/>
          <w:szCs w:val="24"/>
          <w:lang w:val="en-US"/>
        </w:rPr>
        <w:fldChar w:fldCharType="begin" w:fldLock="1"/>
      </w:r>
      <w:r w:rsidR="00200FF9" w:rsidRPr="00B91BCF">
        <w:rPr>
          <w:rFonts w:ascii="Arial" w:eastAsia="Times New Roman" w:hAnsi="Arial" w:cs="Arial"/>
          <w:sz w:val="24"/>
          <w:szCs w:val="24"/>
          <w:lang w:val="en-US"/>
        </w:rPr>
        <w:instrText>ADDIN CSL_CITATION {"citationItems":[{"id":"ITEM-1","itemData":{"DOI":"10.1163/156854108783476412","ISSN":"13885545","abstract":"Traditional cover cropping systems for nematode management seldom consider weed and soil nutrient management concurrently. Integrating cover crops suppressive to plant-parasitic nematodes with a cover crop mulching system could improve traditional approaches. Two field experiments were conducted in 2003 and 2004 to evaluate 'Tropic Sun' sunn hemp (Crotalaria juncea) and 'Iron Clay' cowpea (Vigna unguiculata) as summer cover crops and as organic mulches. Both experiments were in a 3 × 3 split-plot design in which the main plots were summer planting of sunn hemp, cowpea or fallow, and the subplots were organic mulch of sunn hemp, cowpea or no mulch. The summer cover crop was followed by turnip (Brassica rapa) and lima bean (Phaseolus lunatus) in the autumn. Using sunn hemp as organic mulch suppressed root-knot nematodes more effectively than using it as a cover crop, but only on a less susceptible host such as turnip, and not on a very susceptible host such as lima bean. While sunn hemp as a cover crop failed to enhance beneficial free-living nematodes, sunn hemp as an organic mulch enhanced bacterial-feeding nematode population densities. Sunn hemp mulch also suppressed broadleaf weeds but not grasses or nutsedges. Although sunn hemp and cowpea cover crops did not increase lima bean N and K content, their mulches increased N and K content. Similar results were observed for turnip and lima bean yields. Population density of root-knot nematodes was positively related to abundance of omnivorous nematode in 2003. The abundance of plant-parasitic nematodes was negatively related to the infestation levels of Pasteuria penetrans, and the abundance of predatory nematodes in 2004. Factors that might have affected the performance of sunn hemp on nematode communities are discussed. © 2008 Brill Academic Publishers.","author":[{"dropping-particle":"","family":"Wang","given":"Koon Hui","non-dropping-particle":"","parse-names":false,"suffix":""},{"dropping-particle":"","family":"McSorley","given":"Robert","non-dropping-particle":"","parse-names":false,"suffix":""},{"dropping-particle":"","family":"Gallaher","given":"Raymond N.","non-dropping-particle":"","parse-names":false,"suffix":""},{"dropping-particle":"","family":"Kokalis-Burelle","given":"Nancy","non-dropping-particle":"","parse-names":false,"suffix":""}],"container-title":"Nematology","id":"ITEM-1","issue":"2","issued":{"date-parts":[["2008","1","3"]]},"page":"231-242","title":"Cover crops and organic mulches for nematode, weed and plant health management","type":"article-journal","volume":"10"},"uris":["http://www.mendeley.com/documents/?uuid=58066b1d-6fa8-3326-8827-01a5417e5c4b"]}],"mendeley":{"formattedCitation":"(Wang &lt;i&gt;et al.&lt;/i&gt;, 2008)","manualFormatting":"( Wang et al., 2008)","plainTextFormattedCitation":"(Wang et al., 2008)","previouslyFormattedCitation":"(Wang &lt;i&gt;et al.&lt;/i&gt;, 2008)"},"properties":{"noteIndex":0},"schema":"https://github.com/citation-style-language/schema/raw/master/csl-citation.json"}</w:instrText>
      </w:r>
      <w:r w:rsidRPr="00B91BCF">
        <w:rPr>
          <w:rFonts w:ascii="Arial" w:eastAsia="Times New Roman" w:hAnsi="Arial" w:cs="Arial"/>
          <w:sz w:val="24"/>
          <w:szCs w:val="24"/>
          <w:lang w:val="en-US"/>
        </w:rPr>
        <w:fldChar w:fldCharType="separate"/>
      </w:r>
      <w:r w:rsidRPr="00B91BCF">
        <w:rPr>
          <w:rFonts w:ascii="Arial" w:eastAsia="Times New Roman" w:hAnsi="Arial" w:cs="Arial"/>
          <w:noProof/>
          <w:sz w:val="24"/>
          <w:szCs w:val="24"/>
          <w:lang w:val="en-US"/>
        </w:rPr>
        <w:t>( Wang et al., 2008)</w:t>
      </w:r>
      <w:r w:rsidRPr="00B91BCF">
        <w:rPr>
          <w:rFonts w:ascii="Arial" w:eastAsia="Times New Roman" w:hAnsi="Arial" w:cs="Arial"/>
          <w:sz w:val="24"/>
          <w:szCs w:val="24"/>
          <w:lang w:val="en-US"/>
        </w:rPr>
        <w:fldChar w:fldCharType="end"/>
      </w:r>
      <w:r w:rsidRPr="00B91BCF">
        <w:rPr>
          <w:rFonts w:ascii="Arial" w:eastAsia="Times New Roman" w:hAnsi="Arial" w:cs="Arial"/>
          <w:sz w:val="24"/>
          <w:szCs w:val="24"/>
          <w:lang w:val="en-US"/>
        </w:rPr>
        <w:t xml:space="preserve">. Cover crops left on the soil surface are also utilized as mulch and provide additional benefits such as slow release of nutrients from the residues, and nematicidal compounds associated with them are also released slowly over long periods of time. Use of cover crops may provide a potential nematode management option as certain cover crops can reduce nematode populations by either 1) acting as resistant hosts, poor hosts or non-hosts, 2) producing allelochemicals that are toxic or inhibitory, 3) providing an ecological niche for antagonistic flora and fauna and 4) trapping the nematode </w:t>
      </w:r>
      <w:sdt>
        <w:sdtPr>
          <w:rPr>
            <w:rFonts w:ascii="Arial" w:eastAsia="Arial" w:hAnsi="Arial" w:cs="Arial"/>
            <w:sz w:val="24"/>
            <w:szCs w:val="24"/>
            <w:lang w:val="en-US"/>
          </w:rPr>
          <w:tag w:val="MENDELEY_CITATION_32465a56-e676-4d17-9424-d21febd5194e"/>
          <w:id w:val="1516383331"/>
          <w:placeholder>
            <w:docPart w:val="ABC60BA7B4754984A4A104790FD59488"/>
          </w:placeholder>
        </w:sdtPr>
        <w:sdtEndPr/>
        <w:sdtContent>
          <w:r w:rsidRPr="00B91BCF">
            <w:rPr>
              <w:rFonts w:ascii="Arial" w:eastAsia="Times New Roman" w:hAnsi="Arial" w:cs="Arial"/>
              <w:sz w:val="24"/>
              <w:szCs w:val="24"/>
              <w:lang w:val="en-US"/>
            </w:rPr>
            <w:t>(Wang et al., 2002)</w:t>
          </w:r>
        </w:sdtContent>
      </w:sdt>
      <w:r w:rsidRPr="00B91BCF">
        <w:rPr>
          <w:rFonts w:ascii="Arial" w:eastAsia="Times New Roman" w:hAnsi="Arial" w:cs="Arial"/>
          <w:sz w:val="24"/>
          <w:szCs w:val="24"/>
          <w:lang w:val="en-US"/>
        </w:rPr>
        <w:t xml:space="preserve">. Some cover crops produce secondary metabolites, which are products released during plant growth and development. The secondary metabolites play a key role in defense against pathogens and pests. The main secondary metabolites produced are alkaloids, flavonoids, monoterpenoids, diterpenoids, and polyphenols and some have nematicidal properties Alkaloids, monoterpenoids, saponins, pentacyclic, triglycerides, sesquiterpenes, steroids, diterpenes, flavonoids and glucosinolates have been shown to exhibit nematicidal activity </w:t>
      </w:r>
      <w:r w:rsidRPr="00B91BCF">
        <w:rPr>
          <w:rFonts w:ascii="Arial" w:eastAsia="Times New Roman" w:hAnsi="Arial" w:cs="Arial"/>
          <w:sz w:val="24"/>
          <w:szCs w:val="24"/>
          <w:lang w:val="en-US"/>
        </w:rPr>
        <w:fldChar w:fldCharType="begin" w:fldLock="1"/>
      </w:r>
      <w:r w:rsidRPr="00B91BCF">
        <w:rPr>
          <w:rFonts w:ascii="Arial" w:eastAsia="Times New Roman" w:hAnsi="Arial" w:cs="Arial"/>
          <w:sz w:val="24"/>
          <w:szCs w:val="24"/>
          <w:lang w:val="en-US"/>
        </w:rPr>
        <w:instrText>ADDIN CSL_CITATION {"citationItems":[{"id":"ITEM-1","itemData":{"DOI":"10.1146/annurev.phyto.40.032602.130045","ISSN":"00664286","PMID":"12147760","abstract":"This review examines the discovery of naturally occurring phytochemicals antagonistic toward plant-parasitic and other nematodes. Higher plants have yielded a broad spectrum of active compounds, including polythienyls, isothiocyanates, glucosinolates, cyanogenic glycosides, polyacetylenes, alkaloids, lipids, terpenoids, sesquiterpenoids, diterpenoids, quassinoids, steroids, triterpenoids, simple and complex phenolics, and several other classes. Many other antinematodal compounds have been isolated from biocontrol and other fungi. Natural products active against mammalian parasites can serve as useful sources of compounds for examination of activity against plant parasites. The agricultural utilization of phytochemicals, although currently uneconomic in many situations, offers tremendous potential.","author":[{"dropping-particle":"","family":"Chitwood","given":"David J.","non-dropping-particle":"","parse-names":false,"suffix":""}],"container-title":"Annual Review of Phytopathology","id":"ITEM-1","issued":{"date-parts":[["2002"]]},"page":"221-249","title":"Phytochemical based strategies for nematode control","type":"article-journal","volume":"40"},"uris":["http://www.mendeley.com/documents/?uuid=8262802b-d2ce-3729-acea-3cd1e728637c"]}],"mendeley":{"formattedCitation":"(Chitwood, 2002)","plainTextFormattedCitation":"(Chitwood, 2002)","previouslyFormattedCitation":"(Chitwood, 2002)"},"properties":{"noteIndex":0},"schema":"https://github.com/citation-style-language/schema/raw/master/csl-citation.json"}</w:instrText>
      </w:r>
      <w:r w:rsidRPr="00B91BCF">
        <w:rPr>
          <w:rFonts w:ascii="Arial" w:eastAsia="Times New Roman" w:hAnsi="Arial" w:cs="Arial"/>
          <w:sz w:val="24"/>
          <w:szCs w:val="24"/>
          <w:lang w:val="en-US"/>
        </w:rPr>
        <w:fldChar w:fldCharType="separate"/>
      </w:r>
      <w:r w:rsidRPr="00B91BCF">
        <w:rPr>
          <w:rFonts w:ascii="Arial" w:eastAsia="Times New Roman" w:hAnsi="Arial" w:cs="Arial"/>
          <w:noProof/>
          <w:sz w:val="24"/>
          <w:szCs w:val="24"/>
          <w:lang w:val="en-US"/>
        </w:rPr>
        <w:t>(Chitwood, 2002)</w:t>
      </w:r>
      <w:r w:rsidRPr="00B91BCF">
        <w:rPr>
          <w:rFonts w:ascii="Arial" w:eastAsia="Times New Roman" w:hAnsi="Arial" w:cs="Arial"/>
          <w:sz w:val="24"/>
          <w:szCs w:val="24"/>
          <w:lang w:val="en-US"/>
        </w:rPr>
        <w:fldChar w:fldCharType="end"/>
      </w:r>
      <w:r w:rsidRPr="00B91BCF">
        <w:rPr>
          <w:rFonts w:ascii="Arial" w:eastAsia="Times New Roman" w:hAnsi="Arial" w:cs="Arial"/>
          <w:sz w:val="24"/>
          <w:szCs w:val="24"/>
          <w:lang w:val="en-US"/>
        </w:rPr>
        <w:t xml:space="preserve">. These secondary metabolites have been further exploited for development of biopesticides for nematode management </w:t>
      </w:r>
      <w:r w:rsidRPr="00B91BCF">
        <w:rPr>
          <w:rFonts w:ascii="Arial" w:eastAsia="Times New Roman" w:hAnsi="Arial" w:cs="Arial"/>
          <w:sz w:val="24"/>
          <w:szCs w:val="24"/>
          <w:lang w:val="en-US"/>
        </w:rPr>
        <w:fldChar w:fldCharType="begin" w:fldLock="1"/>
      </w:r>
      <w:r w:rsidR="00200FF9" w:rsidRPr="00B91BCF">
        <w:rPr>
          <w:rFonts w:ascii="Arial" w:eastAsia="Times New Roman" w:hAnsi="Arial" w:cs="Arial"/>
          <w:sz w:val="24"/>
          <w:szCs w:val="24"/>
          <w:lang w:val="en-US"/>
        </w:rPr>
        <w:instrText>ADDIN CSL_CITATION {"citationItems":[{"id":"ITEM-1","itemData":{"ISBN":"9781629487656","abstract":"Plant parasitic nematodes can cause serious damages to numerouseconomically important agricultural crops worldwide. Control of thesepests is based on pesticides and on the use of resistant cultivars. Althoughchemicals are effective in the plant parasitic nematode control, the recentEuropean legislation has deeply revised and restricted their use oagricultural crops focusing the attention on environmental safety andhuman and animal health. Moreover, resistant cultivars are available onlyfor a limited number of crops and plant parasitic nematode species.During the last decade research on low environmental impact alternativesto nematicides has received a strong impulse and a wide range of optionsincluding agronomic strategies, physical methods, bio-pesticides, andbiocidal plants haveas been considered. Focusing on plants derived natural plant products known as botanic pesticides can represent useful tools to minimize soil nematode population density under the tolerance limits of the different crops to specific phytoparasitic nematodes. These botanic pesticides are generally non-persistent in field conditions as they are readily transformed by light, oxygen and microorganisms into non- toxic products without residues in the environment. Many botanic pesticides derived from wild and cultivated plants have been shown to possess nematicidal properties against several plant-parasitic nematodes. The aim of this review is to report the effects of botanic pesticides derived from various wild, cultivated and medicinal plants, including essential oils, root and tissues extracts, on plant parasitic nematodes in the view of sustainable agriculture.","author":[{"dropping-particle":"","family":"Renco","given":"Marek","non-dropping-particle":"","parse-names":false,"suffix":""},{"dropping-particle":"","family":"Sasanelli","given":"Nicola","non-dropping-particle":"","parse-names":false,"suffix":""},{"dropping-particle":"","family":"Maistrello","given":"Lara","non-dropping-particle":"","parse-names":false,"suffix":""}],"chapter-number":"5","container-title":"Nematodes: Comparative Genomics, Disease Management and Ecological Importance","edition":"ISBN: 978-","editor":[{"dropping-particle":"","family":"Lee M. Davis","given":"","non-dropping-particle":"","parse-names":false,"suffix":""}],"id":"ITEM-1","issue":"June","issued":{"date-parts":[["2014"]]},"page":"115-142","publisher":"Nova Science Publishers, Inc.","title":"Plants as natural sources of nematicides","type":"chapter"},"uris":["http://www.mendeley.com/documents/?uuid=6cd2284c-e6e4-4758-b56b-5cf157a8aa1f"]}],"mendeley":{"formattedCitation":"(Renco, Sasanelli and Maistrello, 2014)","plainTextFormattedCitation":"(Renco, Sasanelli and Maistrello, 2014)","previouslyFormattedCitation":"(Renco, Sasanelli and Maistrello, 2014)"},"properties":{"noteIndex":0},"schema":"https://github.com/citation-style-language/schema/raw/master/csl-citation.json"}</w:instrText>
      </w:r>
      <w:r w:rsidRPr="00B91BCF">
        <w:rPr>
          <w:rFonts w:ascii="Arial" w:eastAsia="Times New Roman" w:hAnsi="Arial" w:cs="Arial"/>
          <w:sz w:val="24"/>
          <w:szCs w:val="24"/>
          <w:lang w:val="en-US"/>
        </w:rPr>
        <w:fldChar w:fldCharType="separate"/>
      </w:r>
      <w:r w:rsidR="00A07F2C" w:rsidRPr="00B91BCF">
        <w:rPr>
          <w:rFonts w:ascii="Arial" w:eastAsia="Times New Roman" w:hAnsi="Arial" w:cs="Arial"/>
          <w:noProof/>
          <w:sz w:val="24"/>
          <w:szCs w:val="24"/>
          <w:lang w:val="en-US"/>
        </w:rPr>
        <w:t>(Renco, Sasanelli and Maistrello, 2014)</w:t>
      </w:r>
      <w:r w:rsidRPr="00B91BCF">
        <w:rPr>
          <w:rFonts w:ascii="Arial" w:eastAsia="Times New Roman" w:hAnsi="Arial" w:cs="Arial"/>
          <w:sz w:val="24"/>
          <w:szCs w:val="24"/>
          <w:lang w:val="en-US"/>
        </w:rPr>
        <w:fldChar w:fldCharType="end"/>
      </w:r>
      <w:r w:rsidRPr="00B91BCF">
        <w:rPr>
          <w:rFonts w:ascii="Arial" w:eastAsia="Times New Roman" w:hAnsi="Arial" w:cs="Arial"/>
          <w:sz w:val="24"/>
          <w:szCs w:val="24"/>
          <w:lang w:val="en-US"/>
        </w:rPr>
        <w:t xml:space="preserve">. Compounds from widely used cover crops such as polythienyls and polyacetylenes from family </w:t>
      </w:r>
      <w:r w:rsidR="00FA31C3" w:rsidRPr="00B91BCF">
        <w:rPr>
          <w:rFonts w:ascii="Arial" w:eastAsia="Times New Roman" w:hAnsi="Arial" w:cs="Arial"/>
          <w:sz w:val="24"/>
          <w:szCs w:val="24"/>
          <w:lang w:val="en-US"/>
        </w:rPr>
        <w:t>Asteraceae</w:t>
      </w:r>
      <w:r w:rsidRPr="00B91BCF">
        <w:rPr>
          <w:rFonts w:ascii="Arial" w:eastAsia="Times New Roman" w:hAnsi="Arial" w:cs="Arial"/>
          <w:sz w:val="24"/>
          <w:szCs w:val="24"/>
          <w:lang w:val="en-US"/>
        </w:rPr>
        <w:t xml:space="preserve">, isothiocyanates from </w:t>
      </w:r>
      <w:r w:rsidR="00FA31C3" w:rsidRPr="00B91BCF">
        <w:rPr>
          <w:rFonts w:ascii="Arial" w:eastAsia="Times New Roman" w:hAnsi="Arial" w:cs="Arial"/>
          <w:sz w:val="24"/>
          <w:szCs w:val="24"/>
          <w:lang w:val="en-US"/>
        </w:rPr>
        <w:t>Brassicaceae</w:t>
      </w:r>
      <w:r w:rsidRPr="00B91BCF">
        <w:rPr>
          <w:rFonts w:ascii="Arial" w:eastAsia="Times New Roman" w:hAnsi="Arial" w:cs="Arial"/>
          <w:sz w:val="24"/>
          <w:szCs w:val="24"/>
          <w:lang w:val="en-US"/>
        </w:rPr>
        <w:t xml:space="preserve">, alkaloids from </w:t>
      </w:r>
      <w:r w:rsidR="00FA31C3" w:rsidRPr="00B91BCF">
        <w:rPr>
          <w:rFonts w:ascii="Arial" w:eastAsia="Times New Roman" w:hAnsi="Arial" w:cs="Arial"/>
          <w:sz w:val="24"/>
          <w:szCs w:val="24"/>
          <w:lang w:val="en-US"/>
        </w:rPr>
        <w:t>Leguminosae</w:t>
      </w:r>
      <w:r w:rsidRPr="00B91BCF">
        <w:rPr>
          <w:rFonts w:ascii="Arial" w:eastAsia="Times New Roman" w:hAnsi="Arial" w:cs="Arial"/>
          <w:sz w:val="24"/>
          <w:szCs w:val="24"/>
          <w:lang w:val="en-US"/>
        </w:rPr>
        <w:t xml:space="preserve"> and glucosides from </w:t>
      </w:r>
      <w:r w:rsidR="00FA31C3" w:rsidRPr="00B91BCF">
        <w:rPr>
          <w:rFonts w:ascii="Arial" w:eastAsia="Times New Roman" w:hAnsi="Arial" w:cs="Arial"/>
          <w:sz w:val="24"/>
          <w:szCs w:val="24"/>
          <w:lang w:val="en-US"/>
        </w:rPr>
        <w:t>Poaceae</w:t>
      </w:r>
      <w:r w:rsidR="00287364" w:rsidRPr="00B91BCF">
        <w:rPr>
          <w:rFonts w:ascii="Arial" w:eastAsia="Times New Roman" w:hAnsi="Arial" w:cs="Arial"/>
          <w:sz w:val="24"/>
          <w:szCs w:val="24"/>
          <w:lang w:val="en-US"/>
        </w:rPr>
        <w:t>.</w:t>
      </w:r>
      <w:r w:rsidRPr="00B91BCF">
        <w:rPr>
          <w:rFonts w:ascii="Arial" w:eastAsia="Times New Roman" w:hAnsi="Arial" w:cs="Arial"/>
          <w:sz w:val="24"/>
          <w:szCs w:val="24"/>
          <w:lang w:val="en-US"/>
        </w:rPr>
        <w:t>2-dehydropyrrolizidine alkaloids (PAs)</w:t>
      </w:r>
      <w:r w:rsidR="00287364" w:rsidRPr="00B91BCF">
        <w:rPr>
          <w:rFonts w:ascii="Arial" w:eastAsia="Times New Roman" w:hAnsi="Arial" w:cs="Arial"/>
          <w:sz w:val="24"/>
          <w:szCs w:val="24"/>
          <w:lang w:val="en-US"/>
        </w:rPr>
        <w:t>,</w:t>
      </w:r>
      <w:r w:rsidRPr="00B91BCF">
        <w:rPr>
          <w:rFonts w:ascii="Arial" w:eastAsia="Times New Roman" w:hAnsi="Arial" w:cs="Arial"/>
          <w:sz w:val="24"/>
          <w:szCs w:val="24"/>
          <w:lang w:val="en-US"/>
        </w:rPr>
        <w:t xml:space="preserve"> particularly</w:t>
      </w:r>
      <w:r w:rsidR="00287364" w:rsidRPr="00B91BCF">
        <w:rPr>
          <w:rFonts w:ascii="Arial" w:eastAsia="Times New Roman" w:hAnsi="Arial" w:cs="Arial"/>
          <w:sz w:val="24"/>
          <w:szCs w:val="24"/>
          <w:lang w:val="en-US"/>
        </w:rPr>
        <w:t xml:space="preserve"> associated</w:t>
      </w:r>
      <w:r w:rsidRPr="00B91BCF">
        <w:rPr>
          <w:rFonts w:ascii="Arial" w:eastAsia="Times New Roman" w:hAnsi="Arial" w:cs="Arial"/>
          <w:sz w:val="24"/>
          <w:szCs w:val="24"/>
          <w:lang w:val="en-US"/>
        </w:rPr>
        <w:t xml:space="preserve"> with</w:t>
      </w:r>
      <w:r w:rsidR="00287364" w:rsidRPr="00B91BCF">
        <w:rPr>
          <w:rFonts w:ascii="Arial" w:eastAsia="Times New Roman" w:hAnsi="Arial" w:cs="Arial"/>
          <w:sz w:val="24"/>
          <w:szCs w:val="24"/>
          <w:lang w:val="en-US"/>
        </w:rPr>
        <w:t xml:space="preserve"> plants belonging to</w:t>
      </w:r>
      <w:r w:rsidRPr="00B91BCF">
        <w:rPr>
          <w:rFonts w:ascii="Arial" w:eastAsia="Times New Roman" w:hAnsi="Arial" w:cs="Arial"/>
          <w:sz w:val="24"/>
          <w:szCs w:val="24"/>
          <w:lang w:val="en-US"/>
        </w:rPr>
        <w:t xml:space="preserve"> the families </w:t>
      </w:r>
      <w:r w:rsidR="00FA31C3" w:rsidRPr="00B91BCF">
        <w:rPr>
          <w:rFonts w:ascii="Arial" w:eastAsia="Times New Roman" w:hAnsi="Arial" w:cs="Arial"/>
          <w:sz w:val="24"/>
          <w:szCs w:val="24"/>
          <w:lang w:val="en-US"/>
        </w:rPr>
        <w:t>Asteraceae</w:t>
      </w:r>
      <w:r w:rsidRPr="00B91BCF">
        <w:rPr>
          <w:rFonts w:ascii="Arial" w:eastAsia="Times New Roman" w:hAnsi="Arial" w:cs="Arial"/>
          <w:sz w:val="24"/>
          <w:szCs w:val="24"/>
          <w:lang w:val="en-US"/>
        </w:rPr>
        <w:t xml:space="preserve">, </w:t>
      </w:r>
      <w:r w:rsidR="00FA31C3" w:rsidRPr="00B91BCF">
        <w:rPr>
          <w:rFonts w:ascii="Arial" w:eastAsia="Times New Roman" w:hAnsi="Arial" w:cs="Arial"/>
          <w:sz w:val="24"/>
          <w:szCs w:val="24"/>
          <w:lang w:val="en-US"/>
        </w:rPr>
        <w:t>Boraginaceae</w:t>
      </w:r>
      <w:r w:rsidRPr="00B91BCF">
        <w:rPr>
          <w:rFonts w:ascii="Arial" w:eastAsia="Times New Roman" w:hAnsi="Arial" w:cs="Arial"/>
          <w:sz w:val="24"/>
          <w:szCs w:val="24"/>
          <w:lang w:val="en-US"/>
        </w:rPr>
        <w:t xml:space="preserve"> and Fabaceae have also been shown to suppress nematodes </w:t>
      </w:r>
      <w:r w:rsidRPr="00B91BCF">
        <w:rPr>
          <w:rFonts w:ascii="Arial" w:eastAsia="Times New Roman" w:hAnsi="Arial" w:cs="Arial"/>
          <w:sz w:val="24"/>
          <w:szCs w:val="24"/>
          <w:lang w:val="en-US"/>
        </w:rPr>
        <w:fldChar w:fldCharType="begin" w:fldLock="1"/>
      </w:r>
      <w:r w:rsidR="00200FF9" w:rsidRPr="00B91BCF">
        <w:rPr>
          <w:rFonts w:ascii="Arial" w:eastAsia="Times New Roman" w:hAnsi="Arial" w:cs="Arial"/>
          <w:sz w:val="24"/>
          <w:szCs w:val="24"/>
          <w:lang w:val="en-US"/>
        </w:rPr>
        <w:instrText>ADDIN CSL_CITATION {"citationItems":[{"id":"ITEM-1","itemData":{"DOI":"10.1002/ps.1764","ISSN":"1526498X","PMID":"19378265","abstract":"BACKGROUND: Chemical nematicides such as methyl bromide have for decades played a significant role in the management of plant-parasitic nematodes. Their application is problematic because of negative environmental impacts, and therefore methyl bromide was phased out in Europe in 2005. A possible alternative to synthetically derived nematicides is seen in the use of plants and/or their secondary metabolites. These plants could either be used as nematicidal green manure or as a source for nematicidal extracts. This study aimed to evaluate the effects of 1,2-dehydropyrrolizidine alkaloids (PAs), a group of secondary plant metabolites found in hundreds of plant species throughout the world, on the performance of plant-parasitic and free-living nematodes. RESULTS: PAs induced nematicidal, ovicidal and repellent effects on different plant-parasitic and free-living nematodes. There was no conclusive ranking in toxicity for the different structural types of PAs tested. However, the effects were often more pronounced for the tertiary than for the oxidised form of PAs. Further, large differences were observed in the susceptibility of different nematode species to PAs. CONCLUSIONS: PAs do affect several performance parameters and developmental stages of nematodes. Therefore, PA producing plants such as species of Crotalaria, Ageratum or Senecio might be promising candidates for nematode management strategies. [Correction made here after initial online publication] © 2009 Society of Chemical Industry.","author":[{"dropping-particle":"","family":"Thoden","given":"Tim C.","non-dropping-particle":"","parse-names":false,"suffix":""},{"dropping-particle":"","family":"Boppré","given":"Michael","non-dropping-particle":"","parse-names":false,"suffix":""},{"dropping-particle":"","family":"Hallmann","given":"Johannes","non-dropping-particle":"","parse-names":false,"suffix":""}],"container-title":"Pest Management Science","id":"ITEM-1","issue":"7","issued":{"date-parts":[["2009","7"]]},"page":"823-830","title":"Effects of pyrrolizidine alkaloids on the performance of plant-parasitic and free-living nematodes","type":"article-journal","volume":"65"},"uris":["http://www.mendeley.com/documents/?uuid=83ab371a-a79e-32e3-b72a-bed04f754251"]}],"mendeley":{"formattedCitation":"(Thoden, Boppré and Hallmann, 2009)","plainTextFormattedCitation":"(Thoden, Boppré and Hallmann, 2009)","previouslyFormattedCitation":"(Thoden, Boppré and Hallmann, 2009)"},"properties":{"noteIndex":0},"schema":"https://github.com/citation-style-language/schema/raw/master/csl-citation.json"}</w:instrText>
      </w:r>
      <w:r w:rsidRPr="00B91BCF">
        <w:rPr>
          <w:rFonts w:ascii="Arial" w:eastAsia="Times New Roman" w:hAnsi="Arial" w:cs="Arial"/>
          <w:sz w:val="24"/>
          <w:szCs w:val="24"/>
          <w:lang w:val="en-US"/>
        </w:rPr>
        <w:fldChar w:fldCharType="separate"/>
      </w:r>
      <w:r w:rsidR="00A07F2C" w:rsidRPr="00B91BCF">
        <w:rPr>
          <w:rFonts w:ascii="Arial" w:eastAsia="Times New Roman" w:hAnsi="Arial" w:cs="Arial"/>
          <w:noProof/>
          <w:sz w:val="24"/>
          <w:szCs w:val="24"/>
          <w:lang w:val="en-US"/>
        </w:rPr>
        <w:t>(Thoden, Boppré and Hallmann, 2009)</w:t>
      </w:r>
      <w:r w:rsidRPr="00B91BCF">
        <w:rPr>
          <w:rFonts w:ascii="Arial" w:eastAsia="Times New Roman" w:hAnsi="Arial" w:cs="Arial"/>
          <w:sz w:val="24"/>
          <w:szCs w:val="24"/>
          <w:lang w:val="en-US"/>
        </w:rPr>
        <w:fldChar w:fldCharType="end"/>
      </w:r>
      <w:r w:rsidR="00287364" w:rsidRPr="00B91BCF">
        <w:rPr>
          <w:rFonts w:ascii="Arial" w:eastAsia="Times New Roman" w:hAnsi="Arial" w:cs="Arial"/>
          <w:sz w:val="24"/>
          <w:szCs w:val="24"/>
          <w:lang w:val="en-US"/>
        </w:rPr>
        <w:t>.</w:t>
      </w:r>
      <w:r w:rsidRPr="00B91BCF">
        <w:rPr>
          <w:rFonts w:ascii="Arial" w:eastAsia="Times New Roman" w:hAnsi="Arial" w:cs="Arial"/>
          <w:sz w:val="24"/>
          <w:szCs w:val="24"/>
          <w:lang w:val="en-US"/>
        </w:rPr>
        <w:t xml:space="preserve"> </w:t>
      </w:r>
    </w:p>
    <w:p w14:paraId="4E7DDFCE" w14:textId="11BAB66E" w:rsidR="008C392A" w:rsidRPr="00B91BCF" w:rsidRDefault="001F384A" w:rsidP="00616CDC">
      <w:pPr>
        <w:spacing w:line="360" w:lineRule="auto"/>
        <w:ind w:left="-709"/>
        <w:jc w:val="both"/>
        <w:rPr>
          <w:rFonts w:ascii="Arial" w:eastAsia="Times New Roman" w:hAnsi="Arial" w:cs="Arial"/>
          <w:i/>
          <w:sz w:val="24"/>
          <w:szCs w:val="24"/>
          <w:lang w:val="en-US"/>
        </w:rPr>
      </w:pPr>
      <w:r w:rsidRPr="00B91BCF">
        <w:rPr>
          <w:rFonts w:ascii="Arial" w:eastAsia="Times New Roman" w:hAnsi="Arial" w:cs="Arial"/>
          <w:sz w:val="24"/>
          <w:szCs w:val="24"/>
          <w:lang w:val="en-US"/>
        </w:rPr>
        <w:t>Cover crops</w:t>
      </w:r>
      <w:r w:rsidR="00287364" w:rsidRPr="00B91BCF">
        <w:rPr>
          <w:rFonts w:ascii="Arial" w:eastAsia="Times New Roman" w:hAnsi="Arial" w:cs="Arial"/>
          <w:sz w:val="24"/>
          <w:szCs w:val="24"/>
          <w:lang w:val="en-US"/>
        </w:rPr>
        <w:t xml:space="preserve"> can</w:t>
      </w:r>
      <w:r w:rsidRPr="00B91BCF">
        <w:rPr>
          <w:rFonts w:ascii="Arial" w:eastAsia="Times New Roman" w:hAnsi="Arial" w:cs="Arial"/>
          <w:sz w:val="24"/>
          <w:szCs w:val="24"/>
          <w:lang w:val="en-US"/>
        </w:rPr>
        <w:t xml:space="preserve"> promote antagonistic flora and fauna and these includes some nematode antagonists. </w:t>
      </w:r>
      <w:r w:rsidR="0079771E" w:rsidRPr="00B91BCF">
        <w:rPr>
          <w:rFonts w:ascii="Arial" w:eastAsia="Times New Roman" w:hAnsi="Arial" w:cs="Arial"/>
          <w:sz w:val="24"/>
          <w:szCs w:val="24"/>
          <w:lang w:val="en-US"/>
        </w:rPr>
        <w:t>Nematode antagonists refer to parasites, predators or microorganisms that either repel, inhibit, compete or kill plant parasitic nematodes. Some cover crops enhance antagonists such as fungal egg parasites, nematophagous fungi, nematode trapping fung</w:t>
      </w:r>
      <w:r w:rsidR="00287364" w:rsidRPr="00B91BCF">
        <w:rPr>
          <w:rFonts w:ascii="Arial" w:eastAsia="Times New Roman" w:hAnsi="Arial" w:cs="Arial"/>
          <w:sz w:val="24"/>
          <w:szCs w:val="24"/>
          <w:lang w:val="en-US"/>
        </w:rPr>
        <w:t>i</w:t>
      </w:r>
      <w:r w:rsidR="0079771E" w:rsidRPr="00B91BCF">
        <w:rPr>
          <w:rFonts w:ascii="Arial" w:eastAsia="Times New Roman" w:hAnsi="Arial" w:cs="Arial"/>
          <w:sz w:val="24"/>
          <w:szCs w:val="24"/>
          <w:lang w:val="en-US"/>
        </w:rPr>
        <w:t>, endoparasitic fung</w:t>
      </w:r>
      <w:r w:rsidR="00287364" w:rsidRPr="00B91BCF">
        <w:rPr>
          <w:rFonts w:ascii="Arial" w:eastAsia="Times New Roman" w:hAnsi="Arial" w:cs="Arial"/>
          <w:sz w:val="24"/>
          <w:szCs w:val="24"/>
          <w:lang w:val="en-US"/>
        </w:rPr>
        <w:t>i</w:t>
      </w:r>
      <w:r w:rsidR="0079771E" w:rsidRPr="00B91BCF">
        <w:rPr>
          <w:rFonts w:ascii="Arial" w:eastAsia="Times New Roman" w:hAnsi="Arial" w:cs="Arial"/>
          <w:sz w:val="24"/>
          <w:szCs w:val="24"/>
          <w:lang w:val="en-US"/>
        </w:rPr>
        <w:t xml:space="preserve">, plant health promoting rhizobacteria and obligate bacterial parasites. Several </w:t>
      </w:r>
      <w:r w:rsidR="001E6F49" w:rsidRPr="00B91BCF">
        <w:rPr>
          <w:rFonts w:ascii="Arial" w:eastAsia="Times New Roman" w:hAnsi="Arial" w:cs="Arial"/>
          <w:sz w:val="24"/>
          <w:szCs w:val="24"/>
          <w:lang w:val="en-US"/>
        </w:rPr>
        <w:t>hypotheses</w:t>
      </w:r>
      <w:r w:rsidR="0079771E" w:rsidRPr="00B91BCF">
        <w:rPr>
          <w:rFonts w:ascii="Arial" w:eastAsia="Times New Roman" w:hAnsi="Arial" w:cs="Arial"/>
          <w:sz w:val="24"/>
          <w:szCs w:val="24"/>
          <w:lang w:val="en-US"/>
        </w:rPr>
        <w:t xml:space="preserve"> on how cover crops enhance antagonistic microrganisms have been described</w:t>
      </w:r>
      <w:r w:rsidRPr="00B91BCF">
        <w:rPr>
          <w:rFonts w:ascii="Arial" w:eastAsia="Times New Roman" w:hAnsi="Arial" w:cs="Arial"/>
          <w:sz w:val="24"/>
          <w:szCs w:val="24"/>
          <w:lang w:val="en-US"/>
        </w:rPr>
        <w:t>.</w:t>
      </w:r>
      <w:r w:rsidR="00287364" w:rsidRPr="00B91BCF">
        <w:rPr>
          <w:rFonts w:ascii="Arial" w:eastAsia="Times New Roman" w:hAnsi="Arial" w:cs="Arial"/>
          <w:sz w:val="24"/>
          <w:szCs w:val="24"/>
          <w:lang w:val="en-US"/>
        </w:rPr>
        <w:t xml:space="preserve"> For example,</w:t>
      </w:r>
      <w:r w:rsidRPr="00B91BCF">
        <w:rPr>
          <w:rFonts w:ascii="Arial" w:eastAsia="Times New Roman" w:hAnsi="Arial" w:cs="Arial"/>
          <w:sz w:val="24"/>
          <w:szCs w:val="24"/>
          <w:lang w:val="en-US"/>
        </w:rPr>
        <w:t xml:space="preserve"> </w:t>
      </w:r>
      <w:r w:rsidR="007E38DC" w:rsidRPr="00B91BCF">
        <w:rPr>
          <w:rFonts w:ascii="Arial" w:eastAsia="Times New Roman" w:hAnsi="Arial" w:cs="Arial"/>
          <w:sz w:val="24"/>
          <w:szCs w:val="24"/>
          <w:lang w:val="en-US"/>
        </w:rPr>
        <w:fldChar w:fldCharType="begin" w:fldLock="1"/>
      </w:r>
      <w:r w:rsidR="00D1539D" w:rsidRPr="00B91BCF">
        <w:rPr>
          <w:rFonts w:ascii="Arial" w:eastAsia="Times New Roman" w:hAnsi="Arial" w:cs="Arial"/>
          <w:sz w:val="24"/>
          <w:szCs w:val="24"/>
          <w:lang w:val="en-US"/>
        </w:rPr>
        <w:instrText>ADDIN CSL_CITATION {"citationItems":[{"id":"ITEM-1","itemData":{"DOI":"10.1126/science.85.2196.123","author":[{"dropping-particle":"","family":"Linford","given":"MB","non-dropping-particle":"","parse-names":false,"suffix":""}],"container-title":"science.org","id":"ITEM-1","issue":"2196","issued":{"date-parts":[["1937"]]},"page":"123-124","title":"Stimulated activity of natural enemies of nematodes","type":"article-journal","volume":"85"},"uris":["http://www.mendeley.com/documents/?uuid=4c2a881d-931f-30e0-8c17-abb25f2efc34"]}],"mendeley":{"formattedCitation":"(Linford, 1937)","manualFormatting":"Linford (1937)","plainTextFormattedCitation":"(Linford, 1937)","previouslyFormattedCitation":"(Linford, 1937)"},"properties":{"noteIndex":0},"schema":"https://github.com/citation-style-language/schema/raw/master/csl-citation.json"}</w:instrText>
      </w:r>
      <w:r w:rsidR="007E38DC" w:rsidRPr="00B91BCF">
        <w:rPr>
          <w:rFonts w:ascii="Arial" w:eastAsia="Times New Roman" w:hAnsi="Arial" w:cs="Arial"/>
          <w:sz w:val="24"/>
          <w:szCs w:val="24"/>
          <w:lang w:val="en-US"/>
        </w:rPr>
        <w:fldChar w:fldCharType="separate"/>
      </w:r>
      <w:r w:rsidR="007E38DC" w:rsidRPr="00B91BCF">
        <w:rPr>
          <w:rFonts w:ascii="Arial" w:eastAsia="Times New Roman" w:hAnsi="Arial" w:cs="Arial"/>
          <w:noProof/>
          <w:sz w:val="24"/>
          <w:szCs w:val="24"/>
          <w:lang w:val="en-US"/>
        </w:rPr>
        <w:t>Linford (1937)</w:t>
      </w:r>
      <w:r w:rsidR="007E38DC" w:rsidRPr="00B91BCF">
        <w:rPr>
          <w:rFonts w:ascii="Arial" w:eastAsia="Times New Roman" w:hAnsi="Arial" w:cs="Arial"/>
          <w:sz w:val="24"/>
          <w:szCs w:val="24"/>
          <w:lang w:val="en-US"/>
        </w:rPr>
        <w:fldChar w:fldCharType="end"/>
      </w:r>
      <w:r w:rsidR="0079771E" w:rsidRPr="00B91BCF">
        <w:rPr>
          <w:rFonts w:ascii="Arial" w:eastAsia="Times New Roman" w:hAnsi="Arial" w:cs="Arial"/>
          <w:sz w:val="24"/>
          <w:szCs w:val="24"/>
          <w:lang w:val="en-US"/>
        </w:rPr>
        <w:t xml:space="preserve"> speculated that incorporation of biomass from cover crops promotes proliferation of bacteria during decomposition of the organic material, which </w:t>
      </w:r>
      <w:r w:rsidR="0079771E" w:rsidRPr="00B91BCF">
        <w:rPr>
          <w:rFonts w:ascii="Arial" w:eastAsia="Times New Roman" w:hAnsi="Arial" w:cs="Arial"/>
          <w:sz w:val="24"/>
          <w:szCs w:val="24"/>
          <w:lang w:val="en-US"/>
        </w:rPr>
        <w:lastRenderedPageBreak/>
        <w:t xml:space="preserve">become a source of food for microbiovorous nematodes </w:t>
      </w:r>
      <w:r w:rsidR="00EA7907" w:rsidRPr="00B91BCF">
        <w:rPr>
          <w:rFonts w:ascii="Arial" w:eastAsia="Times New Roman" w:hAnsi="Arial" w:cs="Arial"/>
          <w:sz w:val="24"/>
          <w:szCs w:val="24"/>
          <w:lang w:val="en-US"/>
        </w:rPr>
        <w:t xml:space="preserve">and </w:t>
      </w:r>
      <w:r w:rsidR="0079771E" w:rsidRPr="00B91BCF">
        <w:rPr>
          <w:rFonts w:ascii="Arial" w:eastAsia="Times New Roman" w:hAnsi="Arial" w:cs="Arial"/>
          <w:sz w:val="24"/>
          <w:szCs w:val="24"/>
          <w:lang w:val="en-US"/>
        </w:rPr>
        <w:t>in turn become a food base for nematophagous fungi (Van den Boogert et al, 1994b)</w:t>
      </w:r>
      <w:r w:rsidR="00EA7907" w:rsidRPr="00B91BCF">
        <w:rPr>
          <w:rFonts w:ascii="Arial" w:eastAsia="Times New Roman" w:hAnsi="Arial" w:cs="Arial"/>
          <w:sz w:val="24"/>
          <w:szCs w:val="24"/>
          <w:lang w:val="en-US"/>
        </w:rPr>
        <w:t>.</w:t>
      </w:r>
      <w:r w:rsidR="001E6F49" w:rsidRPr="00B91BCF">
        <w:rPr>
          <w:rFonts w:ascii="Arial" w:eastAsia="Times New Roman" w:hAnsi="Arial" w:cs="Arial"/>
          <w:sz w:val="24"/>
          <w:szCs w:val="24"/>
          <w:lang w:val="en-US"/>
        </w:rPr>
        <w:t xml:space="preserve"> </w:t>
      </w:r>
      <w:r w:rsidR="00EA7907" w:rsidRPr="00B91BCF">
        <w:rPr>
          <w:rFonts w:ascii="Arial" w:eastAsia="Times New Roman" w:hAnsi="Arial" w:cs="Arial"/>
          <w:sz w:val="24"/>
          <w:szCs w:val="24"/>
          <w:lang w:val="en-US"/>
        </w:rPr>
        <w:t>A</w:t>
      </w:r>
      <w:r w:rsidR="001E6F49" w:rsidRPr="00B91BCF">
        <w:rPr>
          <w:rFonts w:ascii="Arial" w:eastAsia="Times New Roman" w:hAnsi="Arial" w:cs="Arial"/>
          <w:sz w:val="24"/>
          <w:szCs w:val="24"/>
          <w:lang w:val="en-US"/>
        </w:rPr>
        <w:t xml:space="preserve"> study </w:t>
      </w:r>
      <w:r w:rsidR="00D81940" w:rsidRPr="00B91BCF">
        <w:rPr>
          <w:rFonts w:ascii="Arial" w:eastAsia="Times New Roman" w:hAnsi="Arial" w:cs="Arial"/>
          <w:sz w:val="24"/>
          <w:szCs w:val="24"/>
          <w:lang w:val="en-US"/>
        </w:rPr>
        <w:t xml:space="preserve">evaluating </w:t>
      </w:r>
      <w:r w:rsidR="001E6F49" w:rsidRPr="00B91BCF">
        <w:rPr>
          <w:rFonts w:ascii="Arial" w:eastAsia="Times New Roman" w:hAnsi="Arial" w:cs="Arial"/>
          <w:sz w:val="24"/>
          <w:szCs w:val="24"/>
          <w:lang w:val="en-US"/>
        </w:rPr>
        <w:t>i</w:t>
      </w:r>
      <w:r w:rsidR="0079771E" w:rsidRPr="00B91BCF">
        <w:rPr>
          <w:rFonts w:ascii="Arial" w:eastAsia="Times New Roman" w:hAnsi="Arial" w:cs="Arial"/>
          <w:sz w:val="24"/>
          <w:szCs w:val="24"/>
          <w:lang w:val="en-US"/>
        </w:rPr>
        <w:t xml:space="preserve">ncorporation of </w:t>
      </w:r>
      <w:proofErr w:type="spellStart"/>
      <w:r w:rsidR="001E6F49" w:rsidRPr="00B91BCF">
        <w:rPr>
          <w:rFonts w:ascii="Arial" w:eastAsia="Times New Roman" w:hAnsi="Arial" w:cs="Arial"/>
          <w:i/>
          <w:sz w:val="24"/>
          <w:szCs w:val="24"/>
          <w:lang w:val="en-US"/>
        </w:rPr>
        <w:t>C</w:t>
      </w:r>
      <w:r w:rsidR="0079771E" w:rsidRPr="00B91BCF">
        <w:rPr>
          <w:rFonts w:ascii="Arial" w:eastAsia="Times New Roman" w:hAnsi="Arial" w:cs="Arial"/>
          <w:i/>
          <w:sz w:val="24"/>
          <w:szCs w:val="24"/>
          <w:lang w:val="en-US"/>
        </w:rPr>
        <w:t>rotolaria</w:t>
      </w:r>
      <w:proofErr w:type="spellEnd"/>
      <w:r w:rsidR="0079771E" w:rsidRPr="00B91BCF">
        <w:rPr>
          <w:rFonts w:ascii="Arial" w:eastAsia="Times New Roman" w:hAnsi="Arial" w:cs="Arial"/>
          <w:i/>
          <w:sz w:val="24"/>
          <w:szCs w:val="24"/>
          <w:lang w:val="en-US"/>
        </w:rPr>
        <w:t xml:space="preserve"> </w:t>
      </w:r>
      <w:proofErr w:type="spellStart"/>
      <w:r w:rsidR="0079771E" w:rsidRPr="00B91BCF">
        <w:rPr>
          <w:rFonts w:ascii="Arial" w:eastAsia="Times New Roman" w:hAnsi="Arial" w:cs="Arial"/>
          <w:i/>
          <w:sz w:val="24"/>
          <w:szCs w:val="24"/>
          <w:lang w:val="en-US"/>
        </w:rPr>
        <w:t>juncea</w:t>
      </w:r>
      <w:proofErr w:type="spellEnd"/>
      <w:r w:rsidR="00EA7907" w:rsidRPr="00B91BCF">
        <w:rPr>
          <w:rFonts w:ascii="Arial" w:eastAsia="Times New Roman" w:hAnsi="Arial" w:cs="Arial"/>
          <w:i/>
          <w:sz w:val="24"/>
          <w:szCs w:val="24"/>
          <w:lang w:val="en-US"/>
        </w:rPr>
        <w:t xml:space="preserve"> </w:t>
      </w:r>
      <w:r w:rsidR="00EA7907" w:rsidRPr="00B91BCF">
        <w:rPr>
          <w:rFonts w:ascii="Arial" w:eastAsia="Times New Roman" w:hAnsi="Arial" w:cs="Arial"/>
          <w:sz w:val="24"/>
          <w:szCs w:val="24"/>
          <w:lang w:val="en-US"/>
        </w:rPr>
        <w:t>(</w:t>
      </w:r>
      <w:proofErr w:type="spellStart"/>
      <w:r w:rsidR="00EA7907" w:rsidRPr="00B91BCF">
        <w:rPr>
          <w:rFonts w:ascii="Arial" w:eastAsia="Times New Roman" w:hAnsi="Arial" w:cs="Arial"/>
          <w:sz w:val="24"/>
          <w:szCs w:val="24"/>
          <w:lang w:val="en-US"/>
        </w:rPr>
        <w:t>Sunn</w:t>
      </w:r>
      <w:proofErr w:type="spellEnd"/>
      <w:r w:rsidR="00EA7907" w:rsidRPr="00B91BCF">
        <w:rPr>
          <w:rFonts w:ascii="Arial" w:eastAsia="Times New Roman" w:hAnsi="Arial" w:cs="Arial"/>
          <w:sz w:val="24"/>
          <w:szCs w:val="24"/>
          <w:lang w:val="en-US"/>
        </w:rPr>
        <w:t xml:space="preserve"> Hemp)</w:t>
      </w:r>
      <w:r w:rsidR="0079771E" w:rsidRPr="00B91BCF">
        <w:rPr>
          <w:rFonts w:ascii="Arial" w:eastAsia="Times New Roman" w:hAnsi="Arial" w:cs="Arial"/>
          <w:sz w:val="24"/>
          <w:szCs w:val="24"/>
          <w:lang w:val="en-US"/>
        </w:rPr>
        <w:t xml:space="preserve"> </w:t>
      </w:r>
      <w:r w:rsidR="00D81940" w:rsidRPr="00B91BCF">
        <w:rPr>
          <w:rFonts w:ascii="Arial" w:eastAsia="Times New Roman" w:hAnsi="Arial" w:cs="Arial"/>
          <w:sz w:val="24"/>
          <w:szCs w:val="24"/>
          <w:lang w:val="en-US"/>
        </w:rPr>
        <w:t xml:space="preserve">demonstrated that </w:t>
      </w:r>
      <w:r w:rsidR="0079771E" w:rsidRPr="00B91BCF">
        <w:rPr>
          <w:rFonts w:ascii="Arial" w:eastAsia="Times New Roman" w:hAnsi="Arial" w:cs="Arial"/>
          <w:sz w:val="24"/>
          <w:szCs w:val="24"/>
          <w:lang w:val="en-US"/>
        </w:rPr>
        <w:t>the reproduction of</w:t>
      </w:r>
      <w:r w:rsidR="00EA7907" w:rsidRPr="00B91BCF">
        <w:rPr>
          <w:rFonts w:ascii="Arial" w:eastAsia="Times New Roman" w:hAnsi="Arial" w:cs="Arial"/>
          <w:sz w:val="24"/>
          <w:szCs w:val="24"/>
          <w:lang w:val="en-US"/>
        </w:rPr>
        <w:t xml:space="preserve"> the</w:t>
      </w:r>
      <w:r w:rsidR="0079771E" w:rsidRPr="00B91BCF">
        <w:rPr>
          <w:rFonts w:ascii="Arial" w:eastAsia="Times New Roman" w:hAnsi="Arial" w:cs="Arial"/>
          <w:sz w:val="24"/>
          <w:szCs w:val="24"/>
          <w:lang w:val="en-US"/>
        </w:rPr>
        <w:t xml:space="preserve"> </w:t>
      </w:r>
      <w:r w:rsidR="00FA31C3" w:rsidRPr="00B91BCF">
        <w:rPr>
          <w:rFonts w:ascii="Arial" w:eastAsia="Times New Roman" w:hAnsi="Arial" w:cs="Arial"/>
          <w:sz w:val="24"/>
          <w:szCs w:val="24"/>
          <w:lang w:val="en-US"/>
        </w:rPr>
        <w:t>bacterivorous</w:t>
      </w:r>
      <w:r w:rsidR="0079771E" w:rsidRPr="00B91BCF">
        <w:rPr>
          <w:rFonts w:ascii="Arial" w:eastAsia="Times New Roman" w:hAnsi="Arial" w:cs="Arial"/>
          <w:sz w:val="24"/>
          <w:szCs w:val="24"/>
          <w:lang w:val="en-US"/>
        </w:rPr>
        <w:t xml:space="preserve"> nematode </w:t>
      </w:r>
      <w:r w:rsidR="0079771E" w:rsidRPr="00B91BCF">
        <w:rPr>
          <w:rFonts w:ascii="Arial" w:eastAsia="Times New Roman" w:hAnsi="Arial" w:cs="Arial"/>
          <w:i/>
          <w:sz w:val="24"/>
          <w:szCs w:val="24"/>
          <w:lang w:val="en-US"/>
        </w:rPr>
        <w:t xml:space="preserve">Acrobeloides bodenheimeri </w:t>
      </w:r>
      <w:r w:rsidR="0079771E" w:rsidRPr="00B91BCF">
        <w:rPr>
          <w:rFonts w:ascii="Arial" w:eastAsia="Times New Roman" w:hAnsi="Arial" w:cs="Arial"/>
          <w:sz w:val="24"/>
          <w:szCs w:val="24"/>
          <w:lang w:val="en-US"/>
        </w:rPr>
        <w:t>which is a prey to nematophagous fungi</w:t>
      </w:r>
      <w:r w:rsidR="0079771E" w:rsidRPr="00B91BCF">
        <w:rPr>
          <w:rFonts w:ascii="Arial" w:eastAsia="Times New Roman" w:hAnsi="Arial" w:cs="Arial"/>
          <w:i/>
          <w:sz w:val="24"/>
          <w:szCs w:val="24"/>
          <w:lang w:val="en-US"/>
        </w:rPr>
        <w:t xml:space="preserve"> Hirsutella rhossilensis</w:t>
      </w:r>
      <w:r w:rsidR="00D81940" w:rsidRPr="00B91BCF">
        <w:rPr>
          <w:rFonts w:ascii="Arial" w:eastAsia="Times New Roman" w:hAnsi="Arial" w:cs="Arial"/>
          <w:sz w:val="24"/>
          <w:szCs w:val="24"/>
          <w:lang w:val="en-US"/>
        </w:rPr>
        <w:t xml:space="preserve"> was</w:t>
      </w:r>
      <w:r w:rsidR="00EF7B30" w:rsidRPr="00B91BCF">
        <w:rPr>
          <w:rFonts w:ascii="Arial" w:eastAsia="Times New Roman" w:hAnsi="Arial" w:cs="Arial"/>
          <w:sz w:val="24"/>
          <w:szCs w:val="24"/>
          <w:lang w:val="en-US"/>
        </w:rPr>
        <w:t xml:space="preserve"> </w:t>
      </w:r>
      <w:r w:rsidR="00C7250E" w:rsidRPr="00B91BCF">
        <w:rPr>
          <w:rFonts w:ascii="Arial" w:eastAsia="Times New Roman" w:hAnsi="Arial" w:cs="Arial"/>
          <w:sz w:val="24"/>
          <w:szCs w:val="24"/>
          <w:lang w:val="en-US"/>
        </w:rPr>
        <w:t xml:space="preserve">increased </w:t>
      </w:r>
      <w:r w:rsidR="00C7250E" w:rsidRPr="00B91BCF">
        <w:rPr>
          <w:rFonts w:ascii="Arial" w:eastAsia="Times New Roman" w:hAnsi="Arial" w:cs="Arial"/>
          <w:i/>
          <w:sz w:val="24"/>
          <w:szCs w:val="24"/>
          <w:lang w:val="en-US"/>
        </w:rPr>
        <w:fldChar w:fldCharType="begin" w:fldLock="1"/>
      </w:r>
      <w:r w:rsidR="00200FF9" w:rsidRPr="00B91BCF">
        <w:rPr>
          <w:rFonts w:ascii="Arial" w:eastAsia="Times New Roman" w:hAnsi="Arial" w:cs="Arial"/>
          <w:i/>
          <w:sz w:val="24"/>
          <w:szCs w:val="24"/>
          <w:lang w:val="en-US"/>
        </w:rPr>
        <w:instrText>ADDIN CSL_CITATION {"citationItems":[{"id":"ITEM-1","itemData":{"ISSN":"1573-5036","author":[{"dropping-particle":"","family":"Venette","given":"R C","non-dropping-particle":"","parse-names":false,"suffix":""},{"dropping-particle":"","family":"Mostafa","given":"F A M","non-dropping-particle":"","parse-names":false,"suffix":""},{"dropping-particle":"","family":"Ferris","given":"H","non-dropping-particle":"","parse-names":false,"suffix":""}],"container-title":"Plant and Soil","id":"ITEM-1","issue":"2","issued":{"date-parts":[["1997"]]},"page":"213-223","publisher":"Springer","title":"Trophic interactions between bacterial-feeding nematodes in plant rhizospheres and the nematophagous fungus Hirsutella rhossiliensis to suppress Heterodera schachtii","type":"article-journal","volume":"191"},"uris":["http://www.mendeley.com/documents/?uuid=c7c288f3-9c71-430f-9611-ac5ce289c063"]}],"mendeley":{"formattedCitation":"(Venette, Mostafa and Ferris, 1997)","plainTextFormattedCitation":"(Venette, Mostafa and Ferris, 1997)","previouslyFormattedCitation":"(Venette, Mostafa and Ferris, 1997)"},"properties":{"noteIndex":0},"schema":"https://github.com/citation-style-language/schema/raw/master/csl-citation.json"}</w:instrText>
      </w:r>
      <w:r w:rsidR="00C7250E" w:rsidRPr="00B91BCF">
        <w:rPr>
          <w:rFonts w:ascii="Arial" w:eastAsia="Times New Roman" w:hAnsi="Arial" w:cs="Arial"/>
          <w:i/>
          <w:sz w:val="24"/>
          <w:szCs w:val="24"/>
          <w:lang w:val="en-US"/>
        </w:rPr>
        <w:fldChar w:fldCharType="separate"/>
      </w:r>
      <w:r w:rsidR="00A07F2C" w:rsidRPr="00B91BCF">
        <w:rPr>
          <w:rFonts w:ascii="Arial" w:eastAsia="Times New Roman" w:hAnsi="Arial" w:cs="Arial"/>
          <w:noProof/>
          <w:sz w:val="24"/>
          <w:szCs w:val="24"/>
          <w:lang w:val="en-US"/>
        </w:rPr>
        <w:t>(Venette, Mostafa and Ferris, 1997)</w:t>
      </w:r>
      <w:r w:rsidR="00C7250E" w:rsidRPr="00B91BCF">
        <w:rPr>
          <w:rFonts w:ascii="Arial" w:eastAsia="Times New Roman" w:hAnsi="Arial" w:cs="Arial"/>
          <w:i/>
          <w:sz w:val="24"/>
          <w:szCs w:val="24"/>
          <w:lang w:val="en-US"/>
        </w:rPr>
        <w:fldChar w:fldCharType="end"/>
      </w:r>
      <w:r w:rsidR="00C7250E" w:rsidRPr="00B91BCF">
        <w:rPr>
          <w:rFonts w:ascii="Arial" w:eastAsia="Times New Roman" w:hAnsi="Arial" w:cs="Arial"/>
          <w:i/>
          <w:sz w:val="24"/>
          <w:szCs w:val="24"/>
          <w:lang w:val="en-US"/>
        </w:rPr>
        <w:t xml:space="preserve"> </w:t>
      </w:r>
      <w:r w:rsidRPr="00B91BCF">
        <w:rPr>
          <w:rFonts w:ascii="Arial" w:eastAsia="Times New Roman" w:hAnsi="Arial" w:cs="Arial"/>
          <w:i/>
          <w:sz w:val="24"/>
          <w:szCs w:val="24"/>
          <w:lang w:val="en-US"/>
        </w:rPr>
        <w:t>.</w:t>
      </w:r>
    </w:p>
    <w:p w14:paraId="19CEBCE3" w14:textId="58384CE4" w:rsidR="00753BB8" w:rsidRDefault="6AC1B2C3" w:rsidP="00616CDC">
      <w:pPr>
        <w:spacing w:line="360" w:lineRule="auto"/>
        <w:ind w:left="-709"/>
        <w:jc w:val="both"/>
        <w:sectPr w:rsidR="00753BB8" w:rsidSect="00B27D90">
          <w:pgSz w:w="11906" w:h="16838"/>
          <w:pgMar w:top="1440" w:right="1440" w:bottom="1440" w:left="1440" w:header="708" w:footer="708" w:gutter="0"/>
          <w:cols w:space="708"/>
          <w:docGrid w:linePitch="360"/>
        </w:sectPr>
      </w:pPr>
      <w:r w:rsidRPr="00616CDC">
        <w:rPr>
          <w:rFonts w:ascii="Arial" w:hAnsi="Arial" w:cs="Arial"/>
          <w:sz w:val="24"/>
          <w:szCs w:val="24"/>
          <w:lang w:val="en-US"/>
        </w:rPr>
        <w:t xml:space="preserve">Incorporation of organic material has also been shown to promote mycostatis which is a scenario where the inability of parasitic fungus to germinate facilitates proliferation of antagonistic fungus which in turn suppresses  parasitic nematodes </w:t>
      </w:r>
      <w:r w:rsidR="00EF7B30" w:rsidRPr="00B91BCF">
        <w:rPr>
          <w:rFonts w:ascii="Arial" w:hAnsi="Arial" w:cs="Arial"/>
          <w:sz w:val="24"/>
          <w:szCs w:val="24"/>
          <w:lang w:val="en-US"/>
        </w:rPr>
        <w:fldChar w:fldCharType="begin" w:fldLock="1"/>
      </w:r>
      <w:r w:rsidR="00EF7B30" w:rsidRPr="00B91BCF">
        <w:rPr>
          <w:rFonts w:ascii="Arial" w:hAnsi="Arial" w:cs="Arial"/>
          <w:sz w:val="24"/>
          <w:szCs w:val="24"/>
          <w:lang w:val="en-US"/>
        </w:rPr>
        <w:instrText>ADDIN CSL_CITATION {"citationItems":[{"id":"ITEM-1","itemData":{"DOI":"https://doi.org/10.1201/9781351071468","ISBN":"1351071467","author":[{"dropping-particle":"","family":"Stirling","given":"Graham R","non-dropping-particle":"","parse-names":false,"suffix":""}],"chapter-number":"5","container-title":"Diseases Of Nematodes","edition":"1st Editio","id":"ITEM-1","issued":{"date-parts":[["1988"]]},"page":"48","publisher":"CRC Press","publisher-place":"Boca Raton","title":"Biological control of plant-parasitic nematodes","type":"chapter"},"uris":["http://www.mendeley.com/documents/?uuid=c5fb6478-3418-4216-948b-33db3bea7e2e"]}],"mendeley":{"formattedCitation":"(Stirling, 1988)","plainTextFormattedCitation":"(Stirling, 1988)","previouslyFormattedCitation":"(Stirling, 1988)"},"properties":{"noteIndex":0},"schema":"https://github.com/citation-style-language/schema/raw/master/csl-citation.json"}</w:instrText>
      </w:r>
      <w:r w:rsidR="00EF7B30" w:rsidRPr="00B91BCF">
        <w:rPr>
          <w:rFonts w:ascii="Arial" w:hAnsi="Arial" w:cs="Arial"/>
          <w:sz w:val="24"/>
          <w:szCs w:val="24"/>
          <w:lang w:val="en-US"/>
        </w:rPr>
        <w:fldChar w:fldCharType="separate"/>
      </w:r>
      <w:r w:rsidRPr="00616CDC">
        <w:rPr>
          <w:rFonts w:ascii="Arial" w:hAnsi="Arial" w:cs="Arial"/>
          <w:noProof/>
          <w:sz w:val="24"/>
          <w:szCs w:val="24"/>
          <w:lang w:val="en-US"/>
        </w:rPr>
        <w:t>(Stirling, 1988)</w:t>
      </w:r>
      <w:r w:rsidR="00EF7B30" w:rsidRPr="00B91BCF">
        <w:rPr>
          <w:rFonts w:ascii="Arial" w:hAnsi="Arial" w:cs="Arial"/>
          <w:sz w:val="24"/>
          <w:szCs w:val="24"/>
          <w:lang w:val="en-US"/>
        </w:rPr>
        <w:fldChar w:fldCharType="end"/>
      </w:r>
      <w:r w:rsidRPr="00616CDC">
        <w:rPr>
          <w:rFonts w:ascii="Arial" w:hAnsi="Arial" w:cs="Arial"/>
          <w:sz w:val="24"/>
          <w:szCs w:val="24"/>
          <w:lang w:val="en-US"/>
        </w:rPr>
        <w:t xml:space="preserve">. Leguminous crops have been shown to promote proliferation of nematophagous fungi compared to other crops. Microplots amended with Alfalfa stimulated two key nematode trapping fungi </w:t>
      </w:r>
      <w:r w:rsidRPr="00616CDC">
        <w:rPr>
          <w:rFonts w:ascii="Arial" w:hAnsi="Arial" w:cs="Arial"/>
          <w:i/>
          <w:iCs/>
          <w:sz w:val="24"/>
          <w:szCs w:val="24"/>
          <w:lang w:val="en-US"/>
        </w:rPr>
        <w:t xml:space="preserve">Arthrobotrys dactiloydes </w:t>
      </w:r>
      <w:r w:rsidRPr="00616CDC">
        <w:rPr>
          <w:rFonts w:ascii="Arial" w:hAnsi="Arial" w:cs="Arial"/>
          <w:sz w:val="24"/>
          <w:szCs w:val="24"/>
          <w:lang w:val="en-US"/>
        </w:rPr>
        <w:t xml:space="preserve">and </w:t>
      </w:r>
      <w:r w:rsidRPr="00616CDC">
        <w:rPr>
          <w:rFonts w:ascii="Arial" w:hAnsi="Arial" w:cs="Arial"/>
          <w:i/>
          <w:iCs/>
          <w:sz w:val="24"/>
          <w:szCs w:val="24"/>
          <w:lang w:val="en-US"/>
        </w:rPr>
        <w:t xml:space="preserve">Dactylellina elipsospora </w:t>
      </w:r>
      <w:r w:rsidRPr="00616CDC">
        <w:rPr>
          <w:rFonts w:ascii="Arial" w:hAnsi="Arial" w:cs="Arial"/>
          <w:sz w:val="24"/>
          <w:szCs w:val="24"/>
          <w:lang w:val="en-US"/>
        </w:rPr>
        <w:t>(Van den Boogert et al.,1994a)</w:t>
      </w:r>
      <w:r w:rsidRPr="00616CDC">
        <w:rPr>
          <w:rFonts w:ascii="Arial" w:hAnsi="Arial" w:cs="Arial"/>
          <w:i/>
          <w:iCs/>
          <w:sz w:val="24"/>
          <w:szCs w:val="24"/>
          <w:lang w:val="en-US"/>
        </w:rPr>
        <w:t xml:space="preserve">. </w:t>
      </w:r>
      <w:r w:rsidRPr="00616CDC">
        <w:rPr>
          <w:rFonts w:ascii="Arial" w:hAnsi="Arial" w:cs="Arial"/>
          <w:sz w:val="24"/>
          <w:szCs w:val="24"/>
          <w:lang w:val="en-US"/>
        </w:rPr>
        <w:t>In the presence of nematodes or homogenates of nematodes, traps i.e. either constricting rings, adhesive knobs or adhesive branches of the fungus are induced (Nordbring-Hertz, 1997). Pea crops have also been shown to stimulate nematode trapping fungi to a greater degree than mustard or barley; where the conidial traps of the nematode trapping fungus (</w:t>
      </w:r>
      <w:proofErr w:type="spellStart"/>
      <w:r w:rsidRPr="00616CDC">
        <w:rPr>
          <w:rFonts w:ascii="Arial" w:hAnsi="Arial" w:cs="Arial"/>
          <w:i/>
          <w:iCs/>
          <w:sz w:val="24"/>
          <w:szCs w:val="24"/>
          <w:lang w:val="en-US"/>
        </w:rPr>
        <w:t>Athrobotrys</w:t>
      </w:r>
      <w:proofErr w:type="spellEnd"/>
      <w:r w:rsidRPr="00616CDC">
        <w:rPr>
          <w:rFonts w:ascii="Arial" w:hAnsi="Arial" w:cs="Arial"/>
          <w:i/>
          <w:iCs/>
          <w:sz w:val="24"/>
          <w:szCs w:val="24"/>
          <w:lang w:val="en-US"/>
        </w:rPr>
        <w:t xml:space="preserve"> </w:t>
      </w:r>
      <w:proofErr w:type="spellStart"/>
      <w:r w:rsidRPr="00616CDC">
        <w:rPr>
          <w:rFonts w:ascii="Arial" w:hAnsi="Arial" w:cs="Arial"/>
          <w:i/>
          <w:iCs/>
          <w:sz w:val="24"/>
          <w:szCs w:val="24"/>
          <w:lang w:val="en-US"/>
        </w:rPr>
        <w:t>oligospora</w:t>
      </w:r>
      <w:proofErr w:type="spellEnd"/>
      <w:r w:rsidRPr="00616CDC">
        <w:rPr>
          <w:rFonts w:ascii="Arial" w:hAnsi="Arial" w:cs="Arial"/>
          <w:sz w:val="24"/>
          <w:szCs w:val="24"/>
          <w:lang w:val="en-US"/>
        </w:rPr>
        <w:t xml:space="preserve">)  were more abundant in the pea rhizosphere than in fallow/root free soil </w:t>
      </w:r>
      <w:r w:rsidR="00EF7B30" w:rsidRPr="00B91BCF">
        <w:rPr>
          <w:rFonts w:ascii="Arial" w:hAnsi="Arial" w:cs="Arial"/>
          <w:sz w:val="24"/>
          <w:szCs w:val="24"/>
          <w:lang w:val="en-US"/>
        </w:rPr>
        <w:fldChar w:fldCharType="begin" w:fldLock="1"/>
      </w:r>
      <w:r w:rsidR="00EF7B30" w:rsidRPr="00B91BCF">
        <w:rPr>
          <w:rFonts w:ascii="Arial" w:hAnsi="Arial" w:cs="Arial"/>
          <w:sz w:val="24"/>
          <w:szCs w:val="24"/>
          <w:lang w:val="en-US"/>
        </w:rPr>
        <w:instrText>ADDIN CSL_CITATION {"citationItems":[{"id":"ITEM-1","itemData":{"DOI":"10.1111/j.1574-6941.1997.tb00382.x","author":[{"dropping-particle":"","family":"Persmark","given":"Lotta","non-dropping-particle":"","parse-names":false,"suffix":""},{"dropping-particle":"","family":"Janson","given":"Hans-Borje","non-dropping-particle":"","parse-names":false,"suffix":""}],"container-title":"FEMS Microbiology Ecology","id":"ITEM-1","issued":{"date-parts":[["1997"]]},"page":"303-312","title":"Nematophagous fungi in the rhizosphere of agricultural crops","type":"article-journal","volume":"22"},"uris":["http://www.mendeley.com/documents/?uuid=a2f384bf-c91c-3516-96ec-1c236bae933c"]}],"mendeley":{"formattedCitation":"(Persmark and Janson, 1997)","plainTextFormattedCitation":"(Persmark and Janson, 1997)","previouslyFormattedCitation":"(Persmark and Janson, 1997)"},"properties":{"noteIndex":0},"schema":"https://github.com/citation-style-language/schema/raw/master/csl-citation.json"}</w:instrText>
      </w:r>
      <w:r w:rsidR="00EF7B30" w:rsidRPr="00B91BCF">
        <w:rPr>
          <w:rFonts w:ascii="Arial" w:hAnsi="Arial" w:cs="Arial"/>
          <w:sz w:val="24"/>
          <w:szCs w:val="24"/>
          <w:lang w:val="en-US"/>
        </w:rPr>
        <w:fldChar w:fldCharType="separate"/>
      </w:r>
      <w:r w:rsidRPr="00616CDC">
        <w:rPr>
          <w:rFonts w:ascii="Arial" w:hAnsi="Arial" w:cs="Arial"/>
          <w:noProof/>
          <w:sz w:val="24"/>
          <w:szCs w:val="24"/>
          <w:lang w:val="en-US"/>
        </w:rPr>
        <w:t>(Persmark and Janson, 1997)</w:t>
      </w:r>
      <w:r w:rsidR="00EF7B30" w:rsidRPr="00B91BCF">
        <w:rPr>
          <w:rFonts w:ascii="Arial" w:hAnsi="Arial" w:cs="Arial"/>
          <w:sz w:val="24"/>
          <w:szCs w:val="24"/>
          <w:lang w:val="en-US"/>
        </w:rPr>
        <w:fldChar w:fldCharType="end"/>
      </w:r>
      <w:r w:rsidRPr="00616CDC">
        <w:rPr>
          <w:rFonts w:ascii="Arial" w:hAnsi="Arial" w:cs="Arial"/>
          <w:sz w:val="24"/>
          <w:szCs w:val="24"/>
          <w:lang w:val="en-US"/>
        </w:rPr>
        <w:t xml:space="preserve">. Similarly, the suppression of </w:t>
      </w:r>
      <w:r w:rsidRPr="00616CDC">
        <w:rPr>
          <w:rFonts w:ascii="Arial" w:hAnsi="Arial" w:cs="Arial"/>
          <w:i/>
          <w:iCs/>
          <w:sz w:val="24"/>
          <w:szCs w:val="24"/>
          <w:lang w:val="en-US"/>
        </w:rPr>
        <w:t>Rotylenchus reniformis</w:t>
      </w:r>
      <w:r w:rsidRPr="00616CDC">
        <w:rPr>
          <w:rFonts w:ascii="Arial" w:hAnsi="Arial" w:cs="Arial"/>
          <w:sz w:val="24"/>
          <w:szCs w:val="24"/>
          <w:lang w:val="en-US"/>
        </w:rPr>
        <w:t xml:space="preserve"> following soil amendment</w:t>
      </w:r>
      <w:r w:rsidRPr="00B91BCF">
        <w:rPr>
          <w:rFonts w:ascii="Arial" w:hAnsi="Arial" w:cs="Arial"/>
          <w:sz w:val="24"/>
          <w:szCs w:val="24"/>
          <w:lang w:val="en-US"/>
        </w:rPr>
        <w:t xml:space="preserve"> with</w:t>
      </w:r>
      <w:r w:rsidRPr="00616CDC">
        <w:rPr>
          <w:rFonts w:ascii="Arial" w:hAnsi="Arial" w:cs="Arial"/>
          <w:sz w:val="24"/>
          <w:szCs w:val="24"/>
          <w:lang w:val="en-US"/>
        </w:rPr>
        <w:t xml:space="preserve"> </w:t>
      </w:r>
      <w:r w:rsidRPr="00616CDC">
        <w:rPr>
          <w:rFonts w:ascii="Arial" w:hAnsi="Arial" w:cs="Arial"/>
          <w:i/>
          <w:iCs/>
          <w:sz w:val="24"/>
          <w:szCs w:val="24"/>
          <w:lang w:val="en-US"/>
        </w:rPr>
        <w:t xml:space="preserve">C. juncea </w:t>
      </w:r>
      <w:r w:rsidRPr="00616CDC">
        <w:rPr>
          <w:rFonts w:ascii="Arial" w:hAnsi="Arial" w:cs="Arial"/>
          <w:sz w:val="24"/>
          <w:szCs w:val="24"/>
          <w:lang w:val="en-US"/>
        </w:rPr>
        <w:t xml:space="preserve">leaves was correlated with increases in nematode trapping fungi, fungal egg parasites and bacterivorous </w:t>
      </w:r>
      <w:proofErr w:type="spellStart"/>
      <w:proofErr w:type="gramStart"/>
      <w:r w:rsidRPr="00616CDC">
        <w:rPr>
          <w:rFonts w:ascii="Arial" w:hAnsi="Arial" w:cs="Arial"/>
          <w:sz w:val="24"/>
          <w:szCs w:val="24"/>
          <w:lang w:val="en-US"/>
        </w:rPr>
        <w:t>nematodes</w:t>
      </w:r>
      <w:r w:rsidRPr="00B91BCF">
        <w:rPr>
          <w:rFonts w:ascii="Arial" w:hAnsi="Arial" w:cs="Arial"/>
          <w:sz w:val="24"/>
          <w:szCs w:val="24"/>
          <w:lang w:val="en-US"/>
        </w:rPr>
        <w:t>.</w:t>
      </w:r>
      <w:r w:rsidRPr="00616CDC">
        <w:rPr>
          <w:rFonts w:ascii="Arial" w:hAnsi="Arial" w:cs="Arial"/>
          <w:sz w:val="24"/>
          <w:szCs w:val="24"/>
          <w:lang w:val="en-US"/>
        </w:rPr>
        <w:t>The</w:t>
      </w:r>
      <w:proofErr w:type="spellEnd"/>
      <w:proofErr w:type="gramEnd"/>
      <w:r w:rsidRPr="00616CDC">
        <w:rPr>
          <w:rFonts w:ascii="Arial" w:hAnsi="Arial" w:cs="Arial"/>
          <w:sz w:val="24"/>
          <w:szCs w:val="24"/>
          <w:lang w:val="en-US"/>
        </w:rPr>
        <w:t xml:space="preserve"> nematode trapping fungus isolated upon soil amendment with </w:t>
      </w:r>
      <w:proofErr w:type="spellStart"/>
      <w:r w:rsidRPr="00616CDC">
        <w:rPr>
          <w:rFonts w:ascii="Arial" w:hAnsi="Arial" w:cs="Arial"/>
          <w:sz w:val="24"/>
          <w:szCs w:val="24"/>
          <w:lang w:val="en-US"/>
        </w:rPr>
        <w:t>C.juncea</w:t>
      </w:r>
      <w:proofErr w:type="spellEnd"/>
      <w:r w:rsidRPr="00616CDC">
        <w:rPr>
          <w:rFonts w:ascii="Arial" w:hAnsi="Arial" w:cs="Arial"/>
          <w:sz w:val="24"/>
          <w:szCs w:val="24"/>
          <w:lang w:val="en-US"/>
        </w:rPr>
        <w:t xml:space="preserve"> leaves were </w:t>
      </w:r>
      <w:proofErr w:type="spellStart"/>
      <w:r w:rsidRPr="00616CDC">
        <w:rPr>
          <w:rFonts w:ascii="Arial" w:hAnsi="Arial" w:cs="Arial"/>
          <w:i/>
          <w:iCs/>
          <w:sz w:val="24"/>
          <w:szCs w:val="24"/>
          <w:lang w:val="en-US"/>
        </w:rPr>
        <w:t>Monocosporium</w:t>
      </w:r>
      <w:proofErr w:type="spellEnd"/>
      <w:r w:rsidRPr="00616CDC">
        <w:rPr>
          <w:rFonts w:ascii="Arial" w:hAnsi="Arial" w:cs="Arial"/>
          <w:i/>
          <w:iCs/>
          <w:sz w:val="24"/>
          <w:szCs w:val="24"/>
          <w:lang w:val="en-US"/>
        </w:rPr>
        <w:t xml:space="preserve"> </w:t>
      </w:r>
      <w:proofErr w:type="spellStart"/>
      <w:r w:rsidRPr="00616CDC">
        <w:rPr>
          <w:rFonts w:ascii="Arial" w:hAnsi="Arial" w:cs="Arial"/>
          <w:i/>
          <w:iCs/>
          <w:sz w:val="24"/>
          <w:szCs w:val="24"/>
          <w:lang w:val="en-US"/>
        </w:rPr>
        <w:t>ellipso</w:t>
      </w:r>
      <w:proofErr w:type="spellEnd"/>
      <w:r w:rsidRPr="00616CDC">
        <w:rPr>
          <w:rFonts w:ascii="Arial" w:hAnsi="Arial" w:cs="Arial"/>
          <w:i/>
          <w:iCs/>
          <w:sz w:val="24"/>
          <w:szCs w:val="24"/>
          <w:lang w:val="en-US"/>
        </w:rPr>
        <w:t xml:space="preserve">- </w:t>
      </w:r>
      <w:proofErr w:type="spellStart"/>
      <w:r w:rsidRPr="00616CDC">
        <w:rPr>
          <w:rFonts w:ascii="Arial" w:hAnsi="Arial" w:cs="Arial"/>
          <w:i/>
          <w:iCs/>
          <w:sz w:val="24"/>
          <w:szCs w:val="24"/>
          <w:lang w:val="en-US"/>
        </w:rPr>
        <w:t>spora</w:t>
      </w:r>
      <w:proofErr w:type="spellEnd"/>
      <w:r w:rsidRPr="00616CDC">
        <w:rPr>
          <w:rFonts w:ascii="Arial" w:hAnsi="Arial" w:cs="Arial"/>
          <w:sz w:val="24"/>
          <w:szCs w:val="24"/>
          <w:lang w:val="en-US"/>
        </w:rPr>
        <w:t xml:space="preserve"> and </w:t>
      </w:r>
      <w:proofErr w:type="spellStart"/>
      <w:r w:rsidRPr="00616CDC">
        <w:rPr>
          <w:rFonts w:ascii="Arial" w:hAnsi="Arial" w:cs="Arial"/>
          <w:i/>
          <w:iCs/>
          <w:sz w:val="24"/>
          <w:szCs w:val="24"/>
          <w:lang w:val="en-US"/>
        </w:rPr>
        <w:t>Arthrobotrys</w:t>
      </w:r>
      <w:proofErr w:type="spellEnd"/>
      <w:r w:rsidRPr="00616CDC">
        <w:rPr>
          <w:rFonts w:ascii="Arial" w:hAnsi="Arial" w:cs="Arial"/>
          <w:i/>
          <w:iCs/>
          <w:sz w:val="24"/>
          <w:szCs w:val="24"/>
          <w:lang w:val="en-US"/>
        </w:rPr>
        <w:t xml:space="preserve"> </w:t>
      </w:r>
      <w:proofErr w:type="spellStart"/>
      <w:r w:rsidRPr="00616CDC">
        <w:rPr>
          <w:rFonts w:ascii="Arial" w:hAnsi="Arial" w:cs="Arial"/>
          <w:i/>
          <w:iCs/>
          <w:sz w:val="24"/>
          <w:szCs w:val="24"/>
          <w:lang w:val="en-US"/>
        </w:rPr>
        <w:t>dactyloides</w:t>
      </w:r>
      <w:proofErr w:type="spellEnd"/>
      <w:r w:rsidRPr="00616CDC">
        <w:rPr>
          <w:rFonts w:ascii="Arial" w:hAnsi="Arial" w:cs="Arial"/>
          <w:sz w:val="24"/>
          <w:szCs w:val="24"/>
          <w:lang w:val="en-US"/>
        </w:rPr>
        <w:t xml:space="preserve">, which in other studies have been shown to suppress </w:t>
      </w:r>
      <w:r w:rsidRPr="00616CDC">
        <w:rPr>
          <w:rFonts w:ascii="Arial" w:hAnsi="Arial" w:cs="Arial"/>
          <w:i/>
          <w:iCs/>
          <w:sz w:val="24"/>
          <w:szCs w:val="24"/>
          <w:lang w:val="en-US"/>
        </w:rPr>
        <w:t xml:space="preserve">Meloidogyne javanica </w:t>
      </w:r>
      <w:r w:rsidRPr="00616CDC">
        <w:rPr>
          <w:rFonts w:ascii="Arial" w:hAnsi="Arial" w:cs="Arial"/>
          <w:sz w:val="24"/>
          <w:szCs w:val="24"/>
          <w:lang w:val="en-US"/>
        </w:rPr>
        <w:t>and have been formulated for use as biocontrol agents</w:t>
      </w:r>
      <w:r w:rsidRPr="00616CDC">
        <w:rPr>
          <w:rFonts w:ascii="Arial" w:hAnsi="Arial" w:cs="Arial"/>
          <w:i/>
          <w:iCs/>
          <w:sz w:val="24"/>
          <w:szCs w:val="24"/>
          <w:lang w:val="en-US"/>
        </w:rPr>
        <w:t xml:space="preserve"> (Wang et.al.,2001). </w:t>
      </w:r>
      <w:proofErr w:type="spellStart"/>
      <w:r w:rsidRPr="00616CDC">
        <w:rPr>
          <w:rFonts w:ascii="Arial" w:hAnsi="Arial" w:cs="Arial"/>
          <w:i/>
          <w:iCs/>
          <w:sz w:val="24"/>
          <w:szCs w:val="24"/>
          <w:lang w:val="en-US"/>
        </w:rPr>
        <w:t>C.juncea</w:t>
      </w:r>
      <w:proofErr w:type="spellEnd"/>
      <w:r w:rsidRPr="00616CDC">
        <w:rPr>
          <w:rFonts w:ascii="Arial" w:hAnsi="Arial" w:cs="Arial"/>
          <w:i/>
          <w:iCs/>
          <w:sz w:val="24"/>
          <w:szCs w:val="24"/>
          <w:lang w:val="en-US"/>
        </w:rPr>
        <w:t xml:space="preserve"> </w:t>
      </w:r>
      <w:r w:rsidRPr="00616CDC">
        <w:rPr>
          <w:rFonts w:ascii="Arial" w:hAnsi="Arial" w:cs="Arial"/>
          <w:sz w:val="24"/>
          <w:szCs w:val="24"/>
          <w:lang w:val="en-US"/>
        </w:rPr>
        <w:t xml:space="preserve">in these studies was shown to be a poor host to </w:t>
      </w:r>
      <w:r w:rsidRPr="00616CDC">
        <w:rPr>
          <w:rFonts w:ascii="Arial" w:hAnsi="Arial" w:cs="Arial"/>
          <w:i/>
          <w:iCs/>
          <w:sz w:val="24"/>
          <w:szCs w:val="24"/>
          <w:lang w:val="en-US"/>
        </w:rPr>
        <w:t>R.</w:t>
      </w:r>
      <w:r w:rsidRPr="00B91BCF">
        <w:rPr>
          <w:rFonts w:ascii="Arial" w:hAnsi="Arial" w:cs="Arial"/>
          <w:i/>
          <w:iCs/>
          <w:sz w:val="24"/>
          <w:szCs w:val="24"/>
          <w:lang w:val="en-US"/>
        </w:rPr>
        <w:t xml:space="preserve"> </w:t>
      </w:r>
      <w:r w:rsidRPr="00616CDC">
        <w:rPr>
          <w:rFonts w:ascii="Arial" w:hAnsi="Arial" w:cs="Arial"/>
          <w:i/>
          <w:iCs/>
          <w:sz w:val="24"/>
          <w:szCs w:val="24"/>
          <w:lang w:val="en-US"/>
        </w:rPr>
        <w:t>reniformis,</w:t>
      </w:r>
      <w:r w:rsidRPr="00616CDC">
        <w:rPr>
          <w:rFonts w:ascii="Arial" w:hAnsi="Arial" w:cs="Arial"/>
          <w:sz w:val="24"/>
          <w:szCs w:val="24"/>
          <w:lang w:val="en-US"/>
        </w:rPr>
        <w:t xml:space="preserve"> have allelopathic effects when leaves were incorporated in the soil and promote antagonistic nematode trapping fungus. </w:t>
      </w:r>
      <w:r w:rsidRPr="00616CDC">
        <w:rPr>
          <w:rFonts w:ascii="Arial" w:hAnsi="Arial" w:cs="Arial"/>
          <w:i/>
          <w:iCs/>
          <w:sz w:val="24"/>
          <w:szCs w:val="24"/>
        </w:rPr>
        <w:t>Raphanus sativus</w:t>
      </w:r>
      <w:r w:rsidRPr="00616CDC">
        <w:rPr>
          <w:rFonts w:ascii="Arial" w:hAnsi="Arial" w:cs="Arial"/>
          <w:sz w:val="24"/>
          <w:szCs w:val="24"/>
        </w:rPr>
        <w:t xml:space="preserve"> is a cover crop that has been shown to have multiple attributes where it can serve as a cover crop, trap crop, cash crop or a biofumigant crop. As a trap crop to </w:t>
      </w:r>
      <w:r w:rsidRPr="00616CDC">
        <w:rPr>
          <w:rFonts w:ascii="Arial" w:hAnsi="Arial" w:cs="Arial"/>
          <w:i/>
          <w:iCs/>
          <w:sz w:val="24"/>
          <w:szCs w:val="24"/>
        </w:rPr>
        <w:t>Heterodera schachtii</w:t>
      </w:r>
      <w:r w:rsidRPr="00616CDC">
        <w:rPr>
          <w:rFonts w:ascii="Arial" w:hAnsi="Arial" w:cs="Arial"/>
          <w:sz w:val="24"/>
          <w:szCs w:val="24"/>
        </w:rPr>
        <w:t xml:space="preserve">, it allows infection by the nematode but inhibits completion of the life cycle while as a biofumigant crop, it produces isothiocyanates from hydrolysis of glucosinolates, that suppresses soil borne pests (Aydınlı &amp; Mennan, 2018). </w:t>
      </w:r>
      <w:r w:rsidRPr="00616CDC">
        <w:rPr>
          <w:rFonts w:ascii="Arial" w:hAnsi="Arial" w:cs="Arial"/>
          <w:i/>
          <w:iCs/>
          <w:sz w:val="24"/>
          <w:szCs w:val="24"/>
        </w:rPr>
        <w:t xml:space="preserve">Eruca sativa </w:t>
      </w:r>
      <w:r w:rsidRPr="00616CDC">
        <w:rPr>
          <w:rFonts w:ascii="Arial" w:hAnsi="Arial" w:cs="Arial"/>
          <w:sz w:val="24"/>
          <w:szCs w:val="24"/>
        </w:rPr>
        <w:t>(Rocket or Arugula) has also been used as a trap crop in the management of the Northern Root Knot Nematode (</w:t>
      </w:r>
      <w:r w:rsidRPr="00616CDC">
        <w:rPr>
          <w:rFonts w:ascii="Arial" w:hAnsi="Arial" w:cs="Arial"/>
          <w:i/>
          <w:iCs/>
          <w:sz w:val="24"/>
          <w:szCs w:val="24"/>
        </w:rPr>
        <w:t>Meloidogyne hapla</w:t>
      </w:r>
      <w:r w:rsidRPr="00616CDC">
        <w:rPr>
          <w:rFonts w:ascii="Arial" w:hAnsi="Arial" w:cs="Arial"/>
          <w:sz w:val="24"/>
          <w:szCs w:val="24"/>
        </w:rPr>
        <w:t xml:space="preserve">); the nematodes are attracted to the roots but are unable to reproduce , which lowers the population densities </w:t>
      </w:r>
      <w:r w:rsidR="00EF7B30" w:rsidRPr="00B91BCF">
        <w:rPr>
          <w:rFonts w:ascii="Arial" w:hAnsi="Arial" w:cs="Arial"/>
          <w:sz w:val="24"/>
          <w:szCs w:val="24"/>
        </w:rPr>
        <w:fldChar w:fldCharType="begin" w:fldLock="1"/>
      </w:r>
      <w:r w:rsidR="00EF7B30" w:rsidRPr="00B91BCF">
        <w:rPr>
          <w:rFonts w:ascii="Arial" w:hAnsi="Arial" w:cs="Arial"/>
          <w:sz w:val="24"/>
          <w:szCs w:val="24"/>
        </w:rPr>
        <w:instrText>ADDIN CSL_CITATION {"citationItems":[{"id":"ITEM-1","itemData":{"DOI":"10.1590/1678-4324-2018180249","ISSN":"1516-8913","abstract":"An experiment was conducted to search the efficacy of radish (Raphanus sativus) and arugula (Eruca sativa) for the control of Meloidogyne arenaria in the commercial tomato growing greenhouse. R. sativus and E. sativa were used as winter cycle crops and lettuce as a susceptible crop and 4 months after sowing, host level of the treatment plants was evaluated. All parts of R. sativus and E. sativa were incorporated except lettuce was covered with transparent polyethylene film for 4 weeks. R. sativus and E. sativa had not any root galls, and these plants caused reducing number of juveniles in the soil, in contrast to control and lettuce plots before growing tomato. Gall index and egg masses were significantly decreased on tomatoes in plots of applied biofumigation with E. sativa and R. sativus. It was concluded that growing R. sativus and E. sativa as a winter cycle plants before susceptible plants would be helpful to reduce the damage of root-knot nematode M. arenaria and increased crop yields.","author":[{"dropping-particle":"","family":"Aydınlı","given":"Gökhan","non-dropping-particle":"","parse-names":false,"suffix":""},{"dropping-particle":"","family":"Mennan","given":"Sevilhan","non-dropping-particle":"","parse-names":false,"suffix":""}],"container-title":"Brazilian Archives of Biology and Technology","id":"ITEM-1","issue":"0","issued":{"date-parts":[["2018"]]},"title":"Biofumigation Studies by Using Raphanus sativus and Eruca sativa as a Winter Cycle Crops to Control Root-knot Nematodes","type":"article-journal","volume":"61"},"uris":["http://www.mendeley.com/documents/?uuid=ad2a0a14-12f3-4787-bd0d-1718a348f531"]}],"mendeley":{"formattedCitation":"(Aydınlı and Mennan, 2018)","plainTextFormattedCitation":"(Aydınlı and Mennan, 2018)","previouslyFormattedCitation":"(Aydınlı and Mennan, 2018)"},"properties":{"noteIndex":0},"schema":"https://github.com/citation-style-language/schema/raw/master/csl-citation.json"}</w:instrText>
      </w:r>
      <w:r w:rsidR="00EF7B30" w:rsidRPr="00B91BCF">
        <w:rPr>
          <w:rFonts w:ascii="Arial" w:hAnsi="Arial" w:cs="Arial"/>
          <w:sz w:val="24"/>
          <w:szCs w:val="24"/>
        </w:rPr>
        <w:fldChar w:fldCharType="separate"/>
      </w:r>
      <w:r w:rsidRPr="00616CDC">
        <w:rPr>
          <w:rFonts w:ascii="Arial" w:hAnsi="Arial" w:cs="Arial"/>
          <w:noProof/>
          <w:sz w:val="24"/>
          <w:szCs w:val="24"/>
        </w:rPr>
        <w:t>(Aydınlı and Mennan, 2018)</w:t>
      </w:r>
      <w:r w:rsidR="00EF7B30" w:rsidRPr="00B91BCF">
        <w:rPr>
          <w:rFonts w:ascii="Arial" w:hAnsi="Arial" w:cs="Arial"/>
          <w:sz w:val="24"/>
          <w:szCs w:val="24"/>
        </w:rPr>
        <w:fldChar w:fldCharType="end"/>
      </w:r>
    </w:p>
    <w:p w14:paraId="415900AA" w14:textId="639A154E" w:rsidR="00D4255D" w:rsidRPr="00A22C78" w:rsidRDefault="001A0616" w:rsidP="004A7DDE">
      <w:pPr>
        <w:pStyle w:val="Heading3"/>
        <w:spacing w:line="360" w:lineRule="auto"/>
        <w:rPr>
          <w:rFonts w:ascii="Arial" w:hAnsi="Arial" w:cs="Arial"/>
          <w:b/>
          <w:color w:val="000000" w:themeColor="text1"/>
          <w:sz w:val="24"/>
          <w:szCs w:val="24"/>
        </w:rPr>
      </w:pPr>
      <w:bookmarkStart w:id="30" w:name="_Toc110341284"/>
      <w:r w:rsidRPr="00A22C78">
        <w:rPr>
          <w:rFonts w:ascii="Arial" w:eastAsia="Times New Roman" w:hAnsi="Arial" w:cs="Arial"/>
          <w:b/>
          <w:color w:val="000000" w:themeColor="text1"/>
          <w:sz w:val="24"/>
          <w:szCs w:val="24"/>
        </w:rPr>
        <w:lastRenderedPageBreak/>
        <w:t>1.3.</w:t>
      </w:r>
      <w:r w:rsidR="00F52458">
        <w:rPr>
          <w:rFonts w:ascii="Arial" w:eastAsia="Times New Roman" w:hAnsi="Arial" w:cs="Arial"/>
          <w:b/>
          <w:color w:val="000000" w:themeColor="text1"/>
          <w:sz w:val="24"/>
          <w:szCs w:val="24"/>
        </w:rPr>
        <w:t>3</w:t>
      </w:r>
      <w:r w:rsidR="0029302A" w:rsidRPr="00A22C78">
        <w:rPr>
          <w:rFonts w:ascii="Arial" w:eastAsia="Times New Roman" w:hAnsi="Arial" w:cs="Arial"/>
          <w:b/>
          <w:color w:val="000000" w:themeColor="text1"/>
          <w:sz w:val="24"/>
          <w:szCs w:val="24"/>
        </w:rPr>
        <w:t xml:space="preserve"> </w:t>
      </w:r>
      <w:r w:rsidR="00A22C78" w:rsidRPr="009C62F4">
        <w:rPr>
          <w:rFonts w:ascii="Arial" w:hAnsi="Arial" w:cs="Arial"/>
          <w:b/>
          <w:bCs/>
          <w:iCs/>
          <w:color w:val="000000" w:themeColor="text1"/>
          <w:sz w:val="24"/>
          <w:szCs w:val="24"/>
        </w:rPr>
        <w:t>The use of brassicaceous crops for the PPN management</w:t>
      </w:r>
      <w:bookmarkEnd w:id="30"/>
    </w:p>
    <w:p w14:paraId="68C585C7" w14:textId="6CD9F183" w:rsidR="00D11516" w:rsidRDefault="00A22C78" w:rsidP="00616CDC">
      <w:pPr>
        <w:spacing w:line="360" w:lineRule="auto"/>
        <w:ind w:left="-426"/>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Members of the brassica family are used for management of plant parasitic nematodes</w:t>
      </w:r>
      <w:r>
        <w:rPr>
          <w:rFonts w:ascii="Arial" w:eastAsia="Times New Roman" w:hAnsi="Arial" w:cs="Arial"/>
          <w:color w:val="000000" w:themeColor="text1"/>
          <w:sz w:val="24"/>
          <w:szCs w:val="24"/>
        </w:rPr>
        <w:t xml:space="preserve"> (PPNs)</w:t>
      </w:r>
      <w:r w:rsidRPr="002B3D8A">
        <w:rPr>
          <w:rFonts w:ascii="Arial" w:eastAsia="Times New Roman" w:hAnsi="Arial" w:cs="Arial"/>
          <w:color w:val="000000" w:themeColor="text1"/>
          <w:sz w:val="24"/>
          <w:szCs w:val="24"/>
        </w:rPr>
        <w:t xml:space="preserve"> either as green manures or as seed meals. Seed meals consist of the residual products of brassica seeds after oil extraction and are spread and incorporated in the soil as pellets. Green manuring involves planting of the brassicas and incorporating them at the flowering stage (</w:t>
      </w:r>
      <w:r w:rsidRPr="002B3D8A">
        <w:rPr>
          <w:rFonts w:ascii="Arial" w:eastAsia="Times New Roman" w:hAnsi="Arial" w:cs="Arial"/>
          <w:color w:val="000000" w:themeColor="text1"/>
          <w:sz w:val="24"/>
          <w:szCs w:val="24"/>
        </w:rPr>
        <w:fldChar w:fldCharType="begin" w:fldLock="1"/>
      </w:r>
      <w:r>
        <w:rPr>
          <w:rFonts w:ascii="Arial" w:eastAsia="Times New Roman" w:hAnsi="Arial" w:cs="Arial"/>
          <w:color w:val="000000" w:themeColor="text1"/>
          <w:sz w:val="24"/>
          <w:szCs w:val="24"/>
        </w:rPr>
        <w:instrText>ADDIN CSL_CITATION {"citationItems":[{"id":"ITEM-1","itemData":{"DOI":"10.1021/jf200925k","ISSN":"00218561","PMID":"21718044","abstract":"The effects of brassica green manures on Globodera pallida were assessed in vitro and in soil microcosms. Twelve of 22 brassica accessions significantly inhibited the motility of G. pallida infective juveniles in vitro. Green manures of selected brassicas were then incorporated into soil containing encysted eggs of G. pallida. Their effect on egg viability was estimated by quantifying nematode actin 1 mRNA by RT-qPCR. The leaf glucosinolate profiles of the plants were determined by high-performance liquid chromatography. Three Brassica juncea lines (Nemfix, Fumus, and ISCI99) containing high concentrations of 2-propenyl glucosinolate were the most effective, causing over 95% mortality of encysted eggs of G. pallida in polyethylene-covered soil. The toxic effects of green manures were greater in polyethylene-covered than in open soil. Toxicity in soil correlated with the concentration of isothiocyanate-producing glucosinolate but not total glucosinolate in green manures. © 2011 American Chemical Society.","author":[{"dropping-particle":"","family":"Lord","given":"James S.","non-dropping-particle":"","parse-names":false,"suffix":""},{"dropping-particle":"","family":"Lazzeri","given":"Luca","non-dropping-particle":"","parse-names":false,"suffix":""},{"dropping-particle":"","family":"Atkinson","given":"Howard J.","non-dropping-particle":"","parse-names":false,"suffix":""},{"dropping-particle":"","family":"Urwin","given":"Peter E.","non-dropping-particle":"","parse-names":false,"suffix":""}],"container-title":"Journal of Agricultural and Food Chemistry","id":"ITEM-1","issue":"14","issued":{"date-parts":[["2011","7","27"]]},"page":"7882-7890","publisher":"American Chemical Society","title":"Biofumigation for control of pale potato cyst nematodes: Activity of brassica leaf extracts and green manures on globodera pallida in vitro and in soil","type":"article-journal","volume":"59"},"uris":["http://www.mendeley.com/documents/?uuid=a5326bb0-b17b-3b67-afe8-b361e42f4d63"]},{"id":"ITEM-2","itemData":{"DOI":"10.1002/ps.3849","ISSN":"15264998","PMID":"24965697","abstract":"The viability of potato cyst nematode (PCN) populations (Globodera pallida) was evaluated in three field experiments using Brassica juncea, Raphanus sativus and Eruca sativa amendments. These species were summer cultivated and autumn incorporated in experiment 1; in experiment 2, overwintered brassicaceous cover crops were spring incorporated. Experiment 3 involved determination of effects of metconazole application on biomass/glucosinolate production by B. juncea and R. sativus and on PCN pre- and post-incorporation. Glucosinolate contents were determined before incorporation. Following cover crop incorporation, field plots were planted with susceptible potatoes to evaluate the biofumigation effects on PCN reproduction. RESULTS: In experiment 1, PCN population post-potato harvest was reduced (P = 0.03) in B. juncea-treated plots, while R. sativus prevented further multiplication, but in experiment 2 there were no significant effects on PCN reproduction. In experiment 3, B. juncea or R. sativus either untreated or treated with metconazole reduced PCN populations. Glucosinolate concentrations varied significantly between different plant regions and cultivation seasons. Metconazole application increased the sinigrin concentration in B. juncea tissues. Glucosinolate concentrations correlated positively with PCN mortality for summer-cultivated brassicaceous plants. CONCLUSION: The results demonstrated that B. juncea and R. sativus green manures can play an important role in PCN management, particularly if included in an integrated pest management scheme.","author":[{"dropping-particle":"","family":"Ngala","given":"Bruno M.","non-dropping-particle":"","parse-names":false,"suffix":""},{"dropping-particle":"","family":"Haydock","given":"Patrick Pj J","non-dropping-particle":"","parse-names":false,"suffix":""},{"dropping-particle":"","family":"Woods","given":"Simon","non-dropping-particle":"","parse-names":false,"suffix":""},{"dropping-particle":"","family":"Back","given":"Matthew A.","non-dropping-particle":"","parse-names":false,"suffix":""}],"container-title":"Pest Management Science","id":"ITEM-2","issue":"February","issued":{"date-parts":[["2014","5","1"]]},"page":"759-769","publisher":"John Wiley and Sons Ltd","title":"Biofumigation with Brassica juncea , Raphanus sativus and Eruca sativa for the management of field populations of the potato cyst nematode Globodera pallida","type":"article-journal","volume":"71"},"uris":["http://www.mendeley.com/documents/?uuid=e4ec2c3f-f48e-4d54-be48-2a5c0e5b4b6a"]}],"mendeley":{"formattedCitation":"(Lord &lt;i&gt;et al.&lt;/i&gt;, 2011; Ngala &lt;i&gt;et al.&lt;/i&gt;, 2014)","manualFormatting":"Lord et al., 2011; Ngala et al., 2014b; Zasada et al., 2009)","plainTextFormattedCitation":"(Lord et al., 2011; Ngala et al., 2014)","previouslyFormattedCitation":"(Lord &lt;i&gt;et al.&lt;/i&gt;, 2011; Ngala &lt;i&gt;et al.&lt;/i&gt;, 2014)"},"properties":{"noteIndex":0},"schema":"https://github.com/citation-style-language/schema/raw/master/csl-citation.json"}</w:instrText>
      </w:r>
      <w:r w:rsidRPr="002B3D8A">
        <w:rPr>
          <w:rFonts w:ascii="Arial" w:eastAsia="Times New Roman" w:hAnsi="Arial" w:cs="Arial"/>
          <w:color w:val="000000" w:themeColor="text1"/>
          <w:sz w:val="24"/>
          <w:szCs w:val="24"/>
        </w:rPr>
        <w:fldChar w:fldCharType="separate"/>
      </w:r>
      <w:r w:rsidRPr="002B3D8A">
        <w:rPr>
          <w:rFonts w:ascii="Arial" w:eastAsia="Times New Roman" w:hAnsi="Arial" w:cs="Arial"/>
          <w:noProof/>
          <w:color w:val="000000" w:themeColor="text1"/>
          <w:sz w:val="24"/>
          <w:szCs w:val="24"/>
          <w:lang w:val="de-DE"/>
        </w:rPr>
        <w:t>Lord et al., 2011; Ngala et al., 2014b; Zasada et al., 2009)</w:t>
      </w:r>
      <w:r w:rsidRPr="002B3D8A">
        <w:rPr>
          <w:rFonts w:ascii="Arial" w:eastAsia="Times New Roman" w:hAnsi="Arial" w:cs="Arial"/>
          <w:color w:val="000000" w:themeColor="text1"/>
          <w:sz w:val="24"/>
          <w:szCs w:val="24"/>
        </w:rPr>
        <w:fldChar w:fldCharType="end"/>
      </w:r>
      <w:r w:rsidRPr="002B3D8A">
        <w:rPr>
          <w:rFonts w:ascii="Arial" w:eastAsia="Times New Roman" w:hAnsi="Arial" w:cs="Arial"/>
          <w:color w:val="000000" w:themeColor="text1"/>
          <w:sz w:val="24"/>
          <w:szCs w:val="24"/>
          <w:lang w:val="de-DE"/>
        </w:rPr>
        <w:t xml:space="preserve">. </w:t>
      </w:r>
      <w:r>
        <w:rPr>
          <w:rFonts w:ascii="Arial" w:eastAsia="Times New Roman" w:hAnsi="Arial" w:cs="Arial"/>
          <w:color w:val="000000" w:themeColor="text1"/>
          <w:sz w:val="24"/>
          <w:szCs w:val="24"/>
          <w:lang w:val="de-DE"/>
        </w:rPr>
        <w:t xml:space="preserve">Maceration and incorporation of brassica residues into the soil is known as biofumigation. This chemical process involves breaking down of the tissues to </w:t>
      </w:r>
      <w:r w:rsidR="00D4255D" w:rsidRPr="002B3D8A">
        <w:rPr>
          <w:rFonts w:ascii="Arial" w:eastAsia="Times New Roman" w:hAnsi="Arial" w:cs="Arial"/>
          <w:color w:val="000000" w:themeColor="text1"/>
          <w:sz w:val="24"/>
          <w:szCs w:val="24"/>
        </w:rPr>
        <w:t>produce a range of bioactive compounds including isothiocyanates (ITCs) within the soil</w:t>
      </w:r>
      <w:r w:rsidR="00FA31C3">
        <w:rPr>
          <w:rFonts w:ascii="Arial" w:eastAsia="Times New Roman" w:hAnsi="Arial" w:cs="Arial"/>
          <w:color w:val="000000" w:themeColor="text1"/>
          <w:sz w:val="24"/>
          <w:szCs w:val="24"/>
        </w:rPr>
        <w:t xml:space="preserve"> </w:t>
      </w:r>
      <w:r w:rsidR="00FA31C3">
        <w:rPr>
          <w:rFonts w:ascii="Arial" w:eastAsia="Times New Roman" w:hAnsi="Arial" w:cs="Arial"/>
          <w:color w:val="000000" w:themeColor="text1"/>
          <w:sz w:val="24"/>
          <w:szCs w:val="24"/>
        </w:rPr>
        <w:fldChar w:fldCharType="begin" w:fldLock="1"/>
      </w:r>
      <w:r w:rsidR="00200FF9">
        <w:rPr>
          <w:rFonts w:ascii="Arial" w:eastAsia="Times New Roman" w:hAnsi="Arial" w:cs="Arial"/>
          <w:color w:val="000000" w:themeColor="text1"/>
          <w:sz w:val="24"/>
          <w:szCs w:val="24"/>
        </w:rPr>
        <w:instrText>ADDIN CSL_CITATION {"citationItems":[{"id":"ITEM-1","itemData":{"DOI":"10.1007/s11101-017-9491-7","ISSN":"1572980X","abstract":"Natural isothiocyanates (ITCs) are toxic to a range of soil-borne pest and pathogens, including nematodes and fungi, and can thus be used as natural fumigants called biofumigants. Glucosinolates, β-thioglucoside N-hydroxysulfates, are secondary metabolites of Brassicales plants, stored in the S-cells vacuoles. Upon plant tissue damage myrosinase (thioglucoside glycohydrolase, EC 3.2.3.1), stored in contiguous cells, hydrolyses glucosinalates to an unstable aglycone that eventually eliminates sulfate group producing a wide range of different volatile isothiocyanates that are extremely toxic to root-knot nematodes. In fact, among synthetic commercial nematicidal formulates we can find isothiocyanates as active ingredients. Conventional nematode control practices have included soil sterilants of great environmental impact, most of which are now banned making mandatory the development of eco-sustainable alternative tools. We reviewed the nematicidal activity of isothiocyanates as components of botanical matrixes in the frame of a holistic nematode control approach encompassing secondary beneficial effects on soil structure and microbiology, beneficial preservation, enhanced residual life of biological activity and plant growth.","author":[{"dropping-particle":"","family":"Ntalli","given":"Nikoletta","non-dropping-particle":"","parse-names":false,"suffix":""},{"dropping-particle":"","family":"Caboni","given":"Pierluigi","non-dropping-particle":"","parse-names":false,"suffix":""}],"container-title":"Phytochemistry Reviews","id":"ITEM-1","issue":"5","issued":{"date-parts":[["2017"]]},"page":"827-834","publisher":"Springer Netherlands","title":"A review of isothiocyanates biofumigation activity on plant parasitic nematodes","type":"article-journal","volume":"16"},"uris":["http://www.mendeley.com/documents/?uuid=6f315f46-a0ff-4ec7-9f6f-39bec8eb0cbb"]},{"id":"ITEM-2","itemData":{"DOI":"10.1021/jf200925k","ISSN":"00218561","PMID":"21718044","abstract":"The effects of brassica green manures on Globodera pallida were assessed in vitro and in soil microcosms. Twelve of 22 brassica accessions significantly inhibited the motility of G. pallida infective juveniles in vitro. Green manures of selected brassicas were then incorporated into soil containing encysted eggs of G. pallida. Their effect on egg viability was estimated by quantifying nematode actin 1 mRNA by RT-qPCR. The leaf glucosinolate profiles of the plants were determined by high-performance liquid chromatography. Three Brassica juncea lines (Nemfix, Fumus, and ISCI99) containing high concentrations of 2-propenyl glucosinolate were the most effective, causing over 95% mortality of encysted eggs of G. pallida in polyethylene-covered soil. The toxic effects of green manures were greater in polyethylene-covered than in open soil. Toxicity in soil correlated with the concentration of isothiocyanate-producing glucosinolate but not total glucosinolate in green manures. © 2011 American Chemical Society.","author":[{"dropping-particle":"","family":"Lord","given":"James S.","non-dropping-particle":"","parse-names":false,"suffix":""},{"dropping-particle":"","family":"Lazzeri","given":"Luca","non-dropping-particle":"","parse-names":false,"suffix":""},{"dropping-particle":"","family":"Atkinson","given":"Howard J.","non-dropping-particle":"","parse-names":false,"suffix":""},{"dropping-particle":"","family":"Urwin","given":"Peter E.","non-dropping-particle":"","parse-names":false,"suffix":""}],"container-title":"Journal of Agricultural and Food Chemistry","id":"ITEM-2","issue":"14","issued":{"date-parts":[["2011","7","27"]]},"page":"7882-7890","publisher":"American Chemical Society","title":"Biofumigation for control of pale potato cyst nematodes: Activity of brassica leaf extracts and green manures on globodera pallida in vitro and in soil","type":"article-journal","volume":"59"},"uris":["http://www.mendeley.com/documents/?uuid=a5326bb0-b17b-3b67-afe8-b361e42f4d63"]}],"mendeley":{"formattedCitation":"(Lord &lt;i&gt;et al.&lt;/i&gt;, 2011; Ntalli and Caboni, 2017)","plainTextFormattedCitation":"(Lord et al., 2011; Ntalli and Caboni, 2017)","previouslyFormattedCitation":"(Lord &lt;i&gt;et al.&lt;/i&gt;, 2011; Ntalli and Caboni, 2017)"},"properties":{"noteIndex":0},"schema":"https://github.com/citation-style-language/schema/raw/master/csl-citation.json"}</w:instrText>
      </w:r>
      <w:r w:rsidR="00FA31C3">
        <w:rPr>
          <w:rFonts w:ascii="Arial" w:eastAsia="Times New Roman" w:hAnsi="Arial" w:cs="Arial"/>
          <w:color w:val="000000" w:themeColor="text1"/>
          <w:sz w:val="24"/>
          <w:szCs w:val="24"/>
        </w:rPr>
        <w:fldChar w:fldCharType="separate"/>
      </w:r>
      <w:r w:rsidR="00A07F2C" w:rsidRPr="00A07F2C">
        <w:rPr>
          <w:rFonts w:ascii="Arial" w:eastAsia="Times New Roman" w:hAnsi="Arial" w:cs="Arial"/>
          <w:noProof/>
          <w:color w:val="000000" w:themeColor="text1"/>
          <w:sz w:val="24"/>
          <w:szCs w:val="24"/>
        </w:rPr>
        <w:t xml:space="preserve">(Lord </w:t>
      </w:r>
      <w:r w:rsidR="00A07F2C" w:rsidRPr="00A07F2C">
        <w:rPr>
          <w:rFonts w:ascii="Arial" w:eastAsia="Times New Roman" w:hAnsi="Arial" w:cs="Arial"/>
          <w:i/>
          <w:noProof/>
          <w:color w:val="000000" w:themeColor="text1"/>
          <w:sz w:val="24"/>
          <w:szCs w:val="24"/>
        </w:rPr>
        <w:t>et al.</w:t>
      </w:r>
      <w:r w:rsidR="00A07F2C" w:rsidRPr="00A07F2C">
        <w:rPr>
          <w:rFonts w:ascii="Arial" w:eastAsia="Times New Roman" w:hAnsi="Arial" w:cs="Arial"/>
          <w:noProof/>
          <w:color w:val="000000" w:themeColor="text1"/>
          <w:sz w:val="24"/>
          <w:szCs w:val="24"/>
        </w:rPr>
        <w:t>, 2011; Ntalli and Caboni, 2017)</w:t>
      </w:r>
      <w:r w:rsidR="00FA31C3">
        <w:rPr>
          <w:rFonts w:ascii="Arial" w:eastAsia="Times New Roman" w:hAnsi="Arial" w:cs="Arial"/>
          <w:color w:val="000000" w:themeColor="text1"/>
          <w:sz w:val="24"/>
          <w:szCs w:val="24"/>
        </w:rPr>
        <w:fldChar w:fldCharType="end"/>
      </w:r>
      <w:r w:rsidR="00D4255D" w:rsidRPr="002B3D8A">
        <w:rPr>
          <w:rFonts w:ascii="Arial" w:hAnsi="Arial" w:cs="Arial"/>
          <w:color w:val="000000" w:themeColor="text1"/>
          <w:sz w:val="24"/>
          <w:szCs w:val="24"/>
        </w:rPr>
        <w:t>.</w:t>
      </w:r>
      <w:r w:rsidR="00D4255D" w:rsidRPr="002B3D8A">
        <w:rPr>
          <w:rFonts w:ascii="Arial" w:eastAsia="Times New Roman" w:hAnsi="Arial" w:cs="Arial"/>
          <w:color w:val="000000" w:themeColor="text1"/>
          <w:sz w:val="24"/>
          <w:szCs w:val="24"/>
        </w:rPr>
        <w:t xml:space="preserve"> The term biofumigation was first used to refer to the suppression of soil borne pathogens, weeds, and pests via hydrolysis of incorporated</w:t>
      </w:r>
      <w:r w:rsidR="00DC6632">
        <w:rPr>
          <w:rFonts w:ascii="Arial" w:eastAsia="Times New Roman" w:hAnsi="Arial" w:cs="Arial"/>
          <w:color w:val="000000" w:themeColor="text1"/>
          <w:sz w:val="24"/>
          <w:szCs w:val="24"/>
        </w:rPr>
        <w:t xml:space="preserve"> brassica</w:t>
      </w:r>
      <w:r w:rsidR="00D4255D" w:rsidRPr="002B3D8A">
        <w:rPr>
          <w:rFonts w:ascii="Arial" w:eastAsia="Times New Roman" w:hAnsi="Arial" w:cs="Arial"/>
          <w:color w:val="000000" w:themeColor="text1"/>
          <w:sz w:val="24"/>
          <w:szCs w:val="24"/>
        </w:rPr>
        <w:t xml:space="preserve"> residues </w:t>
      </w:r>
      <w:r w:rsidR="00CB311A">
        <w:rPr>
          <w:rFonts w:ascii="Arial" w:eastAsia="Times New Roman" w:hAnsi="Arial" w:cs="Arial"/>
          <w:color w:val="000000" w:themeColor="text1"/>
          <w:sz w:val="24"/>
          <w:szCs w:val="24"/>
        </w:rPr>
        <w:fldChar w:fldCharType="begin" w:fldLock="1"/>
      </w:r>
      <w:r w:rsidR="00200FF9">
        <w:rPr>
          <w:rFonts w:ascii="Arial" w:eastAsia="Times New Roman" w:hAnsi="Arial" w:cs="Arial"/>
          <w:color w:val="000000" w:themeColor="text1"/>
          <w:sz w:val="24"/>
          <w:szCs w:val="24"/>
        </w:rPr>
        <w:instrText>ADDIN CSL_CITATION {"citationItems":[{"id":"ITEM-1","itemData":{"author":[{"dropping-particle":"","family":"Kirkegaard","given":"J A","non-dropping-particle":"","parse-names":false,"suffix":""},{"dropping-particle":"","family":"Gardner","given":"P A","non-dropping-particle":"","parse-names":false,"suffix":""},{"dropping-particle":"","family":"Desmarchelier","given":"J M","non-dropping-particle":"","parse-names":false,"suffix":""},{"dropping-particle":"","family":"Angus","given":"J F","non-dropping-particle":"","parse-names":false,"suffix":""}],"container-title":"Proceedings of the 9th Australian Research Assembly on Brassicas","id":"ITEM-1","issued":{"date-parts":[["1993"]]},"title":"Biofumigation: using Brassica species to control pests and diseases in horticulture and agriculture","type":"paper-conference"},"uris":["http://www.mendeley.com/documents/?uuid=f6c27114-dc1a-421d-beea-8e92ccc7bdbd"]}],"mendeley":{"formattedCitation":"(Kirkegaard &lt;i&gt;et al.&lt;/i&gt;, 1993)","plainTextFormattedCitation":"(Kirkegaard et al., 1993)","previouslyFormattedCitation":"(Kirkegaard &lt;i&gt;et al.&lt;/i&gt;, 1993)"},"properties":{"noteIndex":0},"schema":"https://github.com/citation-style-language/schema/raw/master/csl-citation.json"}</w:instrText>
      </w:r>
      <w:r w:rsidR="00CB311A">
        <w:rPr>
          <w:rFonts w:ascii="Arial" w:eastAsia="Times New Roman" w:hAnsi="Arial" w:cs="Arial"/>
          <w:color w:val="000000" w:themeColor="text1"/>
          <w:sz w:val="24"/>
          <w:szCs w:val="24"/>
        </w:rPr>
        <w:fldChar w:fldCharType="separate"/>
      </w:r>
      <w:r w:rsidR="00A07F2C" w:rsidRPr="00A07F2C">
        <w:rPr>
          <w:rFonts w:ascii="Arial" w:eastAsia="Times New Roman" w:hAnsi="Arial" w:cs="Arial"/>
          <w:noProof/>
          <w:color w:val="000000" w:themeColor="text1"/>
          <w:sz w:val="24"/>
          <w:szCs w:val="24"/>
        </w:rPr>
        <w:t xml:space="preserve">(Kirkegaard </w:t>
      </w:r>
      <w:r w:rsidR="00A07F2C" w:rsidRPr="00A07F2C">
        <w:rPr>
          <w:rFonts w:ascii="Arial" w:eastAsia="Times New Roman" w:hAnsi="Arial" w:cs="Arial"/>
          <w:i/>
          <w:noProof/>
          <w:color w:val="000000" w:themeColor="text1"/>
          <w:sz w:val="24"/>
          <w:szCs w:val="24"/>
        </w:rPr>
        <w:t>et al.</w:t>
      </w:r>
      <w:r w:rsidR="00A07F2C" w:rsidRPr="00A07F2C">
        <w:rPr>
          <w:rFonts w:ascii="Arial" w:eastAsia="Times New Roman" w:hAnsi="Arial" w:cs="Arial"/>
          <w:noProof/>
          <w:color w:val="000000" w:themeColor="text1"/>
          <w:sz w:val="24"/>
          <w:szCs w:val="24"/>
        </w:rPr>
        <w:t>, 1993)</w:t>
      </w:r>
      <w:r w:rsidR="00CB311A">
        <w:rPr>
          <w:rFonts w:ascii="Arial" w:eastAsia="Times New Roman" w:hAnsi="Arial" w:cs="Arial"/>
          <w:color w:val="000000" w:themeColor="text1"/>
          <w:sz w:val="24"/>
          <w:szCs w:val="24"/>
        </w:rPr>
        <w:fldChar w:fldCharType="end"/>
      </w:r>
      <w:r w:rsidR="00D4255D" w:rsidRPr="002B3D8A">
        <w:rPr>
          <w:rFonts w:ascii="Arial" w:eastAsia="Times New Roman" w:hAnsi="Arial" w:cs="Arial"/>
          <w:color w:val="000000" w:themeColor="text1"/>
          <w:sz w:val="24"/>
          <w:szCs w:val="24"/>
        </w:rPr>
        <w:t xml:space="preserve"> Major brassicas with biofumigant properties include</w:t>
      </w:r>
      <w:r w:rsidR="00D4255D" w:rsidRPr="002B3D8A">
        <w:rPr>
          <w:rFonts w:ascii="Arial" w:eastAsia="Times New Roman" w:hAnsi="Arial" w:cs="Arial"/>
          <w:i/>
          <w:color w:val="000000" w:themeColor="text1"/>
          <w:sz w:val="24"/>
          <w:szCs w:val="24"/>
        </w:rPr>
        <w:t xml:space="preserve"> B. oleracea </w:t>
      </w:r>
      <w:r w:rsidR="00D4255D" w:rsidRPr="002B3D8A">
        <w:rPr>
          <w:rFonts w:ascii="Arial" w:eastAsia="Times New Roman" w:hAnsi="Arial" w:cs="Arial"/>
          <w:color w:val="000000" w:themeColor="text1"/>
          <w:sz w:val="24"/>
          <w:szCs w:val="24"/>
        </w:rPr>
        <w:t xml:space="preserve">(broccoli, cabbage, cauliflower, Brussels sprouts, kale), </w:t>
      </w:r>
      <w:r w:rsidR="00D4255D" w:rsidRPr="002B3D8A">
        <w:rPr>
          <w:rFonts w:ascii="Arial" w:eastAsia="Times New Roman" w:hAnsi="Arial" w:cs="Arial"/>
          <w:i/>
          <w:color w:val="000000" w:themeColor="text1"/>
          <w:sz w:val="24"/>
          <w:szCs w:val="24"/>
        </w:rPr>
        <w:t xml:space="preserve">B. napus </w:t>
      </w:r>
      <w:r w:rsidR="00D4255D" w:rsidRPr="002B3D8A">
        <w:rPr>
          <w:rFonts w:ascii="Arial" w:eastAsia="Times New Roman" w:hAnsi="Arial" w:cs="Arial"/>
          <w:color w:val="000000" w:themeColor="text1"/>
          <w:sz w:val="24"/>
          <w:szCs w:val="24"/>
        </w:rPr>
        <w:t xml:space="preserve">(rapeseed and canola), </w:t>
      </w:r>
      <w:r w:rsidR="00D4255D" w:rsidRPr="002B3D8A">
        <w:rPr>
          <w:rFonts w:ascii="Arial" w:eastAsia="Times New Roman" w:hAnsi="Arial" w:cs="Arial"/>
          <w:i/>
          <w:color w:val="000000" w:themeColor="text1"/>
          <w:sz w:val="24"/>
          <w:szCs w:val="24"/>
        </w:rPr>
        <w:t>B. rapa</w:t>
      </w:r>
      <w:r w:rsidR="00D4255D" w:rsidRPr="002B3D8A">
        <w:rPr>
          <w:rFonts w:ascii="Arial" w:eastAsia="Times New Roman" w:hAnsi="Arial" w:cs="Arial"/>
          <w:color w:val="000000" w:themeColor="text1"/>
          <w:sz w:val="24"/>
          <w:szCs w:val="24"/>
        </w:rPr>
        <w:t xml:space="preserve"> (turnip), </w:t>
      </w:r>
      <w:r w:rsidR="00D4255D" w:rsidRPr="002B3D8A">
        <w:rPr>
          <w:rFonts w:ascii="Arial" w:eastAsia="Times New Roman" w:hAnsi="Arial" w:cs="Arial"/>
          <w:i/>
          <w:color w:val="000000" w:themeColor="text1"/>
          <w:sz w:val="24"/>
          <w:szCs w:val="24"/>
        </w:rPr>
        <w:t>Raphanus sativus</w:t>
      </w:r>
      <w:r w:rsidR="00D4255D" w:rsidRPr="002B3D8A">
        <w:rPr>
          <w:rFonts w:ascii="Arial" w:eastAsia="Times New Roman" w:hAnsi="Arial" w:cs="Arial"/>
          <w:color w:val="000000" w:themeColor="text1"/>
          <w:sz w:val="24"/>
          <w:szCs w:val="24"/>
        </w:rPr>
        <w:t xml:space="preserve"> (radish), </w:t>
      </w:r>
      <w:r w:rsidR="00D4255D" w:rsidRPr="002B3D8A">
        <w:rPr>
          <w:rFonts w:ascii="Arial" w:eastAsia="Times New Roman" w:hAnsi="Arial" w:cs="Arial"/>
          <w:i/>
          <w:color w:val="000000" w:themeColor="text1"/>
          <w:sz w:val="24"/>
          <w:szCs w:val="24"/>
        </w:rPr>
        <w:t>B. campestris</w:t>
      </w:r>
      <w:r w:rsidR="00D4255D" w:rsidRPr="002B3D8A">
        <w:rPr>
          <w:rFonts w:ascii="Arial" w:eastAsia="Times New Roman" w:hAnsi="Arial" w:cs="Arial"/>
          <w:color w:val="000000" w:themeColor="text1"/>
          <w:sz w:val="24"/>
          <w:szCs w:val="24"/>
        </w:rPr>
        <w:t xml:space="preserve"> (field mustard), </w:t>
      </w:r>
      <w:r w:rsidR="00D4255D" w:rsidRPr="002B3D8A">
        <w:rPr>
          <w:rFonts w:ascii="Arial" w:eastAsia="Times New Roman" w:hAnsi="Arial" w:cs="Arial"/>
          <w:i/>
          <w:color w:val="000000" w:themeColor="text1"/>
          <w:sz w:val="24"/>
          <w:szCs w:val="24"/>
        </w:rPr>
        <w:t>B. juncea</w:t>
      </w:r>
      <w:r w:rsidR="00D4255D" w:rsidRPr="002B3D8A">
        <w:rPr>
          <w:rFonts w:ascii="Arial" w:eastAsia="Times New Roman" w:hAnsi="Arial" w:cs="Arial"/>
          <w:color w:val="000000" w:themeColor="text1"/>
          <w:sz w:val="24"/>
          <w:szCs w:val="24"/>
        </w:rPr>
        <w:t xml:space="preserve"> (Indian mustard), </w:t>
      </w:r>
      <w:r w:rsidR="00D4255D" w:rsidRPr="002B3D8A">
        <w:rPr>
          <w:rFonts w:ascii="Arial" w:eastAsia="Times New Roman" w:hAnsi="Arial" w:cs="Arial"/>
          <w:i/>
          <w:color w:val="000000" w:themeColor="text1"/>
          <w:sz w:val="24"/>
          <w:szCs w:val="24"/>
        </w:rPr>
        <w:t>Sinapis alba</w:t>
      </w:r>
      <w:r w:rsidR="00D4255D" w:rsidRPr="002B3D8A">
        <w:rPr>
          <w:rFonts w:ascii="Arial" w:eastAsia="Times New Roman" w:hAnsi="Arial" w:cs="Arial"/>
          <w:color w:val="000000" w:themeColor="text1"/>
          <w:sz w:val="24"/>
          <w:szCs w:val="24"/>
        </w:rPr>
        <w:t xml:space="preserve"> (white/yellow mustard), </w:t>
      </w:r>
      <w:r w:rsidR="00D4255D" w:rsidRPr="002B3D8A">
        <w:rPr>
          <w:rFonts w:ascii="Arial" w:eastAsia="Times New Roman" w:hAnsi="Arial" w:cs="Arial"/>
          <w:i/>
          <w:color w:val="000000" w:themeColor="text1"/>
          <w:sz w:val="24"/>
          <w:szCs w:val="24"/>
        </w:rPr>
        <w:t>B. nigra</w:t>
      </w:r>
      <w:r w:rsidR="00D4255D" w:rsidRPr="002B3D8A">
        <w:rPr>
          <w:rFonts w:ascii="Arial" w:eastAsia="Times New Roman" w:hAnsi="Arial" w:cs="Arial"/>
          <w:color w:val="000000" w:themeColor="text1"/>
          <w:sz w:val="24"/>
          <w:szCs w:val="24"/>
        </w:rPr>
        <w:t xml:space="preserve"> (black mustard), </w:t>
      </w:r>
      <w:r w:rsidR="00D4255D" w:rsidRPr="002B3D8A">
        <w:rPr>
          <w:rFonts w:ascii="Arial" w:eastAsia="Times New Roman" w:hAnsi="Arial" w:cs="Arial"/>
          <w:i/>
          <w:color w:val="000000" w:themeColor="text1"/>
          <w:sz w:val="24"/>
          <w:szCs w:val="24"/>
        </w:rPr>
        <w:t xml:space="preserve">B. carinata </w:t>
      </w:r>
      <w:r w:rsidR="00D4255D" w:rsidRPr="002B3D8A">
        <w:rPr>
          <w:rFonts w:ascii="Arial" w:eastAsia="Times New Roman" w:hAnsi="Arial" w:cs="Arial"/>
          <w:color w:val="000000" w:themeColor="text1"/>
          <w:sz w:val="24"/>
          <w:szCs w:val="24"/>
        </w:rPr>
        <w:t xml:space="preserve">(Ethiopian mustard), </w:t>
      </w:r>
      <w:r w:rsidR="00D4255D" w:rsidRPr="002B3D8A">
        <w:rPr>
          <w:rFonts w:ascii="Arial" w:eastAsia="Times New Roman" w:hAnsi="Arial" w:cs="Arial"/>
          <w:i/>
          <w:color w:val="000000" w:themeColor="text1"/>
          <w:sz w:val="24"/>
          <w:szCs w:val="24"/>
        </w:rPr>
        <w:t xml:space="preserve">Eruca sativa </w:t>
      </w:r>
      <w:r w:rsidR="00D4255D" w:rsidRPr="002B3D8A">
        <w:rPr>
          <w:rFonts w:ascii="Arial" w:eastAsia="Times New Roman" w:hAnsi="Arial" w:cs="Arial"/>
          <w:color w:val="000000" w:themeColor="text1"/>
          <w:sz w:val="24"/>
          <w:szCs w:val="24"/>
        </w:rPr>
        <w:t xml:space="preserve">(salad rocket) </w:t>
      </w:r>
      <w:r w:rsidR="00D4255D" w:rsidRPr="002B3D8A">
        <w:rPr>
          <w:rFonts w:ascii="Arial" w:eastAsia="Times New Roman" w:hAnsi="Arial" w:cs="Arial"/>
          <w:color w:val="000000" w:themeColor="text1"/>
          <w:sz w:val="24"/>
          <w:szCs w:val="24"/>
        </w:rPr>
        <w:fldChar w:fldCharType="begin" w:fldLock="1"/>
      </w:r>
      <w:r w:rsidR="00D36042">
        <w:rPr>
          <w:rFonts w:ascii="Arial" w:eastAsia="Times New Roman" w:hAnsi="Arial" w:cs="Arial"/>
          <w:color w:val="000000" w:themeColor="text1"/>
          <w:sz w:val="24"/>
          <w:szCs w:val="24"/>
        </w:rPr>
        <w:instrText>ADDIN CSL_CITATION {"citationItems":[{"id":"ITEM-1","itemData":{"DOI":"10.1016/j.cpb.2019.02.001","ISSN":"22146628","abstract":"Plant-parasitic nematodes (PPNs)are considered as one of the major limiting factors in global crop production system. Due to the introduction of tighter limits in registering new biocidal molecules and a gradual phase-out of nematicides for high environmental impact, considerations for non-chemical alternatives have been realised. The biofumigation technique which involves the incorporation of mechanically chopped brassicaceous plant material into the soil to control soilborne nematodes offers an attractive alternative for PPN management. Biofumigant effect is mainly caused by the volatile and toxic isothiocynates originated from the hydrolysis of secondary metabolite glucosinolate present in the Brassica tissues. The scope of biofumigation has been expanded to other non-brassica plants which produce volatile pathogen-suppressing molecules. The graminaceous plants such as sorghum and sudangrass are known to produce nematicidal cyanides via enzymatic hydrolysis of precursor cyanogenic glycoside/dhurrin. The allelopathic plant marigold is known to produce α-terthienyl, which has shown potential biofumigation effect against PPNs. The objective of this review is to detail the tactics used to manipulate various brassica and non-brassica biofumigant crops and to present the mechanisms responsible for PPN suppression by these crops. The ecological aspects underpinning the responses of PPNs to these crops were not austerely discussed in earlier literature. Herein, we present a holistic assessment of the impact of biofumigation technique in managing PPNs in various crops and explore the employability of this technique in integrated nematode management (INM)practices.","author":[{"dropping-particle":"","family":"Dutta","given":"Tushar K.","non-dropping-particle":"","parse-names":false,"suffix":""},{"dropping-particle":"","family":"Khan","given":"Matiyar R.","non-dropping-particle":"","parse-names":false,"suffix":""},{"dropping-particle":"","family":"Phani","given":"Victor","non-dropping-particle":"","parse-names":false,"suffix":""}],"container-title":"Current Plant Biology","id":"ITEM-1","issue":"February","issued":{"date-parts":[["2019"]]},"page":"17-32","publisher":"Elsevier","title":"Plant-parasitic nematode management via biofumigation using brassica and non-brassica plants: Current status and future prospects","type":"article-journal","volume":"17"},"uris":["http://www.mendeley.com/documents/?uuid=da3fa037-8177-4777-80c8-9f65769c50a4"]}],"mendeley":{"formattedCitation":"(Dutta, Khan and Phani, 2019)","plainTextFormattedCitation":"(Dutta, Khan and Phani, 2019)","previouslyFormattedCitation":"(Dutta, Khan and Phani, 2019)"},"properties":{"noteIndex":0},"schema":"https://github.com/citation-style-language/schema/raw/master/csl-citation.json"}</w:instrText>
      </w:r>
      <w:r w:rsidR="00D4255D" w:rsidRPr="002B3D8A">
        <w:rPr>
          <w:rFonts w:ascii="Arial" w:eastAsia="Times New Roman" w:hAnsi="Arial" w:cs="Arial"/>
          <w:color w:val="000000" w:themeColor="text1"/>
          <w:sz w:val="24"/>
          <w:szCs w:val="24"/>
        </w:rPr>
        <w:fldChar w:fldCharType="separate"/>
      </w:r>
      <w:r w:rsidR="00AC07D4" w:rsidRPr="00AC07D4">
        <w:rPr>
          <w:rFonts w:ascii="Arial" w:eastAsia="Times New Roman" w:hAnsi="Arial" w:cs="Arial"/>
          <w:noProof/>
          <w:color w:val="000000" w:themeColor="text1"/>
          <w:sz w:val="24"/>
          <w:szCs w:val="24"/>
        </w:rPr>
        <w:t>(Dutta, Khan and Phani, 2019)</w:t>
      </w:r>
      <w:r w:rsidR="00D4255D" w:rsidRPr="002B3D8A">
        <w:rPr>
          <w:rFonts w:ascii="Arial" w:eastAsia="Times New Roman" w:hAnsi="Arial" w:cs="Arial"/>
          <w:color w:val="000000" w:themeColor="text1"/>
          <w:sz w:val="24"/>
          <w:szCs w:val="24"/>
        </w:rPr>
        <w:fldChar w:fldCharType="end"/>
      </w:r>
      <w:r w:rsidR="002E4DA8" w:rsidRPr="002B3D8A">
        <w:rPr>
          <w:rFonts w:ascii="Arial" w:eastAsia="Times New Roman" w:hAnsi="Arial" w:cs="Arial"/>
          <w:color w:val="000000" w:themeColor="text1"/>
          <w:sz w:val="24"/>
          <w:szCs w:val="24"/>
        </w:rPr>
        <w:t xml:space="preserve">. </w:t>
      </w:r>
    </w:p>
    <w:p w14:paraId="46C5ADC9" w14:textId="379272A3" w:rsidR="00A22C78" w:rsidRDefault="00D11516" w:rsidP="00616CDC">
      <w:pPr>
        <w:spacing w:line="360" w:lineRule="auto"/>
        <w:ind w:left="-426"/>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The process of biofumigation is explained by the fact that </w:t>
      </w:r>
      <w:r w:rsidR="00A22C78" w:rsidRPr="002B3D8A">
        <w:rPr>
          <w:rFonts w:ascii="Arial" w:eastAsia="Times New Roman" w:hAnsi="Arial" w:cs="Arial"/>
          <w:color w:val="000000" w:themeColor="text1"/>
          <w:sz w:val="24"/>
          <w:szCs w:val="24"/>
        </w:rPr>
        <w:t xml:space="preserve">Brassicas contain a class of thioglucoside secondary metabolites known as glucosinolates (GSLs). Glucosinolates were first </w:t>
      </w:r>
      <w:r w:rsidR="00A22C78">
        <w:rPr>
          <w:rFonts w:ascii="Arial" w:eastAsia="Times New Roman" w:hAnsi="Arial" w:cs="Arial"/>
          <w:color w:val="000000" w:themeColor="text1"/>
          <w:sz w:val="24"/>
          <w:szCs w:val="24"/>
        </w:rPr>
        <w:t>described</w:t>
      </w:r>
      <w:r w:rsidR="00A22C78" w:rsidRPr="002B3D8A">
        <w:rPr>
          <w:rFonts w:ascii="Arial" w:eastAsia="Times New Roman" w:hAnsi="Arial" w:cs="Arial"/>
          <w:color w:val="000000" w:themeColor="text1"/>
          <w:sz w:val="24"/>
          <w:szCs w:val="24"/>
        </w:rPr>
        <w:t xml:space="preserve"> in the 17</w:t>
      </w:r>
      <w:r w:rsidR="00A22C78" w:rsidRPr="002B3D8A">
        <w:rPr>
          <w:rFonts w:ascii="Arial" w:eastAsia="Times New Roman" w:hAnsi="Arial" w:cs="Arial"/>
          <w:color w:val="000000" w:themeColor="text1"/>
          <w:sz w:val="24"/>
          <w:szCs w:val="24"/>
          <w:vertAlign w:val="superscript"/>
        </w:rPr>
        <w:t>th</w:t>
      </w:r>
      <w:r w:rsidR="00A22C78" w:rsidRPr="002B3D8A">
        <w:rPr>
          <w:rFonts w:ascii="Arial" w:eastAsia="Times New Roman" w:hAnsi="Arial" w:cs="Arial"/>
          <w:color w:val="000000" w:themeColor="text1"/>
          <w:sz w:val="24"/>
          <w:szCs w:val="24"/>
        </w:rPr>
        <w:t xml:space="preserve"> century in </w:t>
      </w:r>
      <w:r w:rsidR="00A22C78">
        <w:rPr>
          <w:rFonts w:ascii="Arial" w:eastAsia="Times New Roman" w:hAnsi="Arial" w:cs="Arial"/>
          <w:color w:val="000000" w:themeColor="text1"/>
          <w:sz w:val="24"/>
          <w:szCs w:val="24"/>
        </w:rPr>
        <w:t>research</w:t>
      </w:r>
      <w:r w:rsidR="00A22C78" w:rsidRPr="002B3D8A">
        <w:rPr>
          <w:rFonts w:ascii="Arial" w:eastAsia="Times New Roman" w:hAnsi="Arial" w:cs="Arial"/>
          <w:color w:val="000000" w:themeColor="text1"/>
          <w:sz w:val="24"/>
          <w:szCs w:val="24"/>
        </w:rPr>
        <w:t xml:space="preserve"> investigat</w:t>
      </w:r>
      <w:r w:rsidR="00A22C78">
        <w:rPr>
          <w:rFonts w:ascii="Arial" w:eastAsia="Times New Roman" w:hAnsi="Arial" w:cs="Arial"/>
          <w:color w:val="000000" w:themeColor="text1"/>
          <w:sz w:val="24"/>
          <w:szCs w:val="24"/>
        </w:rPr>
        <w:t>ing</w:t>
      </w:r>
      <w:r w:rsidR="00A22C78" w:rsidRPr="002B3D8A">
        <w:rPr>
          <w:rFonts w:ascii="Arial" w:eastAsia="Times New Roman" w:hAnsi="Arial" w:cs="Arial"/>
          <w:color w:val="000000" w:themeColor="text1"/>
          <w:sz w:val="24"/>
          <w:szCs w:val="24"/>
        </w:rPr>
        <w:t xml:space="preserve"> the chemical</w:t>
      </w:r>
      <w:r w:rsidR="00A22C78">
        <w:rPr>
          <w:rFonts w:ascii="Arial" w:eastAsia="Times New Roman" w:hAnsi="Arial" w:cs="Arial"/>
          <w:color w:val="000000" w:themeColor="text1"/>
          <w:sz w:val="24"/>
          <w:szCs w:val="24"/>
        </w:rPr>
        <w:t>s</w:t>
      </w:r>
      <w:r w:rsidR="00A22C78" w:rsidRPr="002B3D8A">
        <w:rPr>
          <w:rFonts w:ascii="Arial" w:eastAsia="Times New Roman" w:hAnsi="Arial" w:cs="Arial"/>
          <w:color w:val="000000" w:themeColor="text1"/>
          <w:sz w:val="24"/>
          <w:szCs w:val="24"/>
        </w:rPr>
        <w:t xml:space="preserve"> responsible for the bitter taste in mustards </w:t>
      </w:r>
      <w:r w:rsidR="00A22C78" w:rsidRPr="002B3D8A">
        <w:rPr>
          <w:rFonts w:ascii="Arial" w:eastAsia="Times New Roman" w:hAnsi="Arial" w:cs="Arial"/>
          <w:color w:val="000000" w:themeColor="text1"/>
          <w:sz w:val="24"/>
          <w:szCs w:val="24"/>
        </w:rPr>
        <w:fldChar w:fldCharType="begin" w:fldLock="1"/>
      </w:r>
      <w:r w:rsidR="00A22C78" w:rsidRPr="002B3D8A">
        <w:rPr>
          <w:rFonts w:ascii="Arial" w:eastAsia="Times New Roman" w:hAnsi="Arial" w:cs="Arial"/>
          <w:color w:val="000000" w:themeColor="text1"/>
          <w:sz w:val="24"/>
          <w:szCs w:val="24"/>
        </w:rPr>
        <w:instrText>ADDIN CSL_CITATION {"citationItems":[{"id":"ITEM-1","itemData":{"ISBN":"0040-4020","author":[{"dropping-particle":"","family":"Challenger","given":"F","non-dropping-particle":"","parse-names":false,"suffix":""}],"id":"ITEM-1","issued":{"date-parts":[["1960"]]},"publisher":"Pergamon","title":"Aspects of the organic chemistry of sulphur: Butterworth's scientific publications, London, 1959. vii+ 253 pp.,£ 2, $7.50","type":"article"},"uris":["http://www.mendeley.com/documents/?uuid=43d898c4-2961-4aa8-a173-8dcf6e1410fd"]}],"mendeley":{"formattedCitation":"(Challenger, 1960)","plainTextFormattedCitation":"(Challenger, 1960)","previouslyFormattedCitation":"(Challenger, 1960)"},"properties":{"noteIndex":0},"schema":"https://github.com/citation-style-language/schema/raw/master/csl-citation.json"}</w:instrText>
      </w:r>
      <w:r w:rsidR="00A22C78" w:rsidRPr="002B3D8A">
        <w:rPr>
          <w:rFonts w:ascii="Arial" w:eastAsia="Times New Roman" w:hAnsi="Arial" w:cs="Arial"/>
          <w:color w:val="000000" w:themeColor="text1"/>
          <w:sz w:val="24"/>
          <w:szCs w:val="24"/>
        </w:rPr>
        <w:fldChar w:fldCharType="separate"/>
      </w:r>
      <w:r w:rsidR="00A22C78" w:rsidRPr="002B3D8A">
        <w:rPr>
          <w:rFonts w:ascii="Arial" w:eastAsia="Times New Roman" w:hAnsi="Arial" w:cs="Arial"/>
          <w:noProof/>
          <w:color w:val="000000" w:themeColor="text1"/>
          <w:sz w:val="24"/>
          <w:szCs w:val="24"/>
        </w:rPr>
        <w:t>(Challenger, 1960)</w:t>
      </w:r>
      <w:r w:rsidR="00A22C78" w:rsidRPr="002B3D8A">
        <w:rPr>
          <w:rFonts w:ascii="Arial" w:eastAsia="Times New Roman" w:hAnsi="Arial" w:cs="Arial"/>
          <w:color w:val="000000" w:themeColor="text1"/>
          <w:sz w:val="24"/>
          <w:szCs w:val="24"/>
        </w:rPr>
        <w:fldChar w:fldCharType="end"/>
      </w:r>
      <w:r w:rsidR="00A22C78" w:rsidRPr="002B3D8A">
        <w:rPr>
          <w:rFonts w:ascii="Arial" w:eastAsia="Times New Roman" w:hAnsi="Arial" w:cs="Arial"/>
          <w:color w:val="000000" w:themeColor="text1"/>
          <w:sz w:val="24"/>
          <w:szCs w:val="24"/>
        </w:rPr>
        <w:t xml:space="preserve">. </w:t>
      </w:r>
      <w:r w:rsidR="00A22C78">
        <w:rPr>
          <w:rFonts w:ascii="Arial" w:eastAsia="Times New Roman" w:hAnsi="Arial" w:cs="Arial"/>
          <w:color w:val="000000" w:themeColor="text1"/>
          <w:sz w:val="24"/>
          <w:szCs w:val="24"/>
        </w:rPr>
        <w:t>G</w:t>
      </w:r>
      <w:r w:rsidR="00A22C78" w:rsidRPr="002B3D8A">
        <w:rPr>
          <w:rFonts w:ascii="Arial" w:eastAsia="Times New Roman" w:hAnsi="Arial" w:cs="Arial"/>
          <w:color w:val="000000" w:themeColor="text1"/>
          <w:sz w:val="24"/>
          <w:szCs w:val="24"/>
        </w:rPr>
        <w:t xml:space="preserve">lucosinolates are limited to the order </w:t>
      </w:r>
      <w:r w:rsidR="00A22C78">
        <w:rPr>
          <w:rFonts w:ascii="Arial" w:eastAsia="Times New Roman" w:hAnsi="Arial" w:cs="Arial"/>
          <w:color w:val="000000" w:themeColor="text1"/>
          <w:sz w:val="24"/>
          <w:szCs w:val="24"/>
        </w:rPr>
        <w:t>C</w:t>
      </w:r>
      <w:r w:rsidR="00A22C78" w:rsidRPr="002B3D8A">
        <w:rPr>
          <w:rFonts w:ascii="Arial" w:eastAsia="Times New Roman" w:hAnsi="Arial" w:cs="Arial"/>
          <w:color w:val="000000" w:themeColor="text1"/>
          <w:sz w:val="24"/>
          <w:szCs w:val="24"/>
        </w:rPr>
        <w:t>apparale which includes</w:t>
      </w:r>
      <w:r w:rsidR="00A22C78">
        <w:rPr>
          <w:rFonts w:ascii="Arial" w:eastAsia="Times New Roman" w:hAnsi="Arial" w:cs="Arial"/>
          <w:color w:val="000000" w:themeColor="text1"/>
          <w:sz w:val="24"/>
          <w:szCs w:val="24"/>
        </w:rPr>
        <w:t xml:space="preserve"> the families</w:t>
      </w:r>
      <w:r w:rsidR="00A22C78" w:rsidRPr="002B3D8A">
        <w:rPr>
          <w:rFonts w:ascii="Arial" w:eastAsia="Times New Roman" w:hAnsi="Arial" w:cs="Arial"/>
          <w:color w:val="000000" w:themeColor="text1"/>
          <w:sz w:val="24"/>
          <w:szCs w:val="24"/>
        </w:rPr>
        <w:t xml:space="preserve"> Brassicaceae, Capparaceae, Resedaceaae and Moringaceaae </w:t>
      </w:r>
      <w:r w:rsidR="00A22C78">
        <w:rPr>
          <w:rFonts w:ascii="Arial" w:eastAsia="Times New Roman" w:hAnsi="Arial" w:cs="Arial"/>
          <w:color w:val="000000" w:themeColor="text1"/>
          <w:sz w:val="24"/>
          <w:szCs w:val="24"/>
        </w:rPr>
        <w:fldChar w:fldCharType="begin" w:fldLock="1"/>
      </w:r>
      <w:r w:rsidR="00A22C78">
        <w:rPr>
          <w:rFonts w:ascii="Arial" w:eastAsia="Times New Roman" w:hAnsi="Arial" w:cs="Arial"/>
          <w:color w:val="000000" w:themeColor="text1"/>
          <w:sz w:val="24"/>
          <w:szCs w:val="24"/>
        </w:rPr>
        <w:instrText>ADDIN CSL_CITATION {"citationItems":[{"id":"ITEM-1","itemData":{"DOI":"10.1016/S0031-9422(02)00549-6","ISSN":"0031-9422","abstract":"The glucosinolate content of various organs of the model plant Arabidopsis thaliana (L.) Heynh., Columbia (Col-0) ecotype, was analyzed at different stages during its life cycle. Significant differences were noted among organs in both glucosinolate concentration and composition. Dormant and germinating seeds had the highest concentration (2.5-3.3% by dry weight), followed by inflorescences, siliques (fruits), leaves and roots. While aliphatic glucosinolates predominated in most organs, indole glucosinolates made up nearly half of the total composition in roots and late-stage rosette leaves. Seeds had a very distinctive glucosinolate composition. They possessed much higher concentrations of several types of aliphatic glucosinolates than other organs, including methylthioalkyl and, hydroxyalkyl glucosinolates and compounds with benzoate esters than other organs. From a developmental perspective, older leaves had lower glucosinolate concentrations than younger leaves, but this was not due to decreasing concentrations in individual leaves with age (glucosinolate concentration was stable during leaf expansion). Rather, leaves initiated earlier in development simply had much lower rates of glucosinolate accumulation per dry weight gain throughout their lifetimes. During seed germination and leaf senescence, there were significant declines in glucosinolate concentration. The physiological and ecological significance of these findings is briefly discussed. © 2003 Elsevier Science Ltd. All rights reserved.","author":[{"dropping-particle":"","family":"Brown","given":"Paul D.","non-dropping-particle":"","parse-names":false,"suffix":""},{"dropping-particle":"","family":"Tokuhisa","given":"Jim G.","non-dropping-particle":"","parse-names":false,"suffix":""},{"dropping-particle":"","family":"Reichelt","given":"Michael","non-dropping-particle":"","parse-names":false,"suffix":""},{"dropping-particle":"","family":"Gershenzon","given":"Jonathan","non-dropping-particle":"","parse-names":false,"suffix":""}],"container-title":"Phytochemistry","id":"ITEM-1","issue":"3","issued":{"date-parts":[["2003","2","1"]]},"page":"471-481","publisher":"Pergamon","title":"Variation of glucosinolate accumulation among different organs and developmental stages of Arabidopsis thaliana","type":"article-journal","volume":"62"},"uris":["http://www.mendeley.com/documents/?uuid=4bcbfd64-8612-3b78-a196-e1e15b527cd2"]}],"mendeley":{"formattedCitation":"(Brown &lt;i&gt;et al.&lt;/i&gt;, 2003)","plainTextFormattedCitation":"(Brown et al., 2003)","previouslyFormattedCitation":"(Brown &lt;i&gt;et al.&lt;/i&gt;, 2003)"},"properties":{"noteIndex":0},"schema":"https://github.com/citation-style-language/schema/raw/master/csl-citation.json"}</w:instrText>
      </w:r>
      <w:r w:rsidR="00A22C78">
        <w:rPr>
          <w:rFonts w:ascii="Arial" w:eastAsia="Times New Roman" w:hAnsi="Arial" w:cs="Arial"/>
          <w:color w:val="000000" w:themeColor="text1"/>
          <w:sz w:val="24"/>
          <w:szCs w:val="24"/>
        </w:rPr>
        <w:fldChar w:fldCharType="separate"/>
      </w:r>
      <w:r w:rsidR="00A22C78" w:rsidRPr="00A07F2C">
        <w:rPr>
          <w:rFonts w:ascii="Arial" w:eastAsia="Times New Roman" w:hAnsi="Arial" w:cs="Arial"/>
          <w:noProof/>
          <w:color w:val="000000" w:themeColor="text1"/>
          <w:sz w:val="24"/>
          <w:szCs w:val="24"/>
        </w:rPr>
        <w:t xml:space="preserve">(Brown </w:t>
      </w:r>
      <w:r w:rsidR="00A22C78" w:rsidRPr="00A07F2C">
        <w:rPr>
          <w:rFonts w:ascii="Arial" w:eastAsia="Times New Roman" w:hAnsi="Arial" w:cs="Arial"/>
          <w:i/>
          <w:noProof/>
          <w:color w:val="000000" w:themeColor="text1"/>
          <w:sz w:val="24"/>
          <w:szCs w:val="24"/>
        </w:rPr>
        <w:t>et al.</w:t>
      </w:r>
      <w:r w:rsidR="00A22C78" w:rsidRPr="00A07F2C">
        <w:rPr>
          <w:rFonts w:ascii="Arial" w:eastAsia="Times New Roman" w:hAnsi="Arial" w:cs="Arial"/>
          <w:noProof/>
          <w:color w:val="000000" w:themeColor="text1"/>
          <w:sz w:val="24"/>
          <w:szCs w:val="24"/>
        </w:rPr>
        <w:t>, 2003)</w:t>
      </w:r>
      <w:r w:rsidR="00A22C78">
        <w:rPr>
          <w:rFonts w:ascii="Arial" w:eastAsia="Times New Roman" w:hAnsi="Arial" w:cs="Arial"/>
          <w:color w:val="000000" w:themeColor="text1"/>
          <w:sz w:val="24"/>
          <w:szCs w:val="24"/>
        </w:rPr>
        <w:fldChar w:fldCharType="end"/>
      </w:r>
      <w:r w:rsidR="00A22C78">
        <w:rPr>
          <w:rFonts w:ascii="Arial" w:eastAsia="Times New Roman" w:hAnsi="Arial" w:cs="Arial"/>
          <w:color w:val="000000" w:themeColor="text1"/>
          <w:sz w:val="24"/>
          <w:szCs w:val="24"/>
        </w:rPr>
        <w:t xml:space="preserve">. </w:t>
      </w:r>
      <w:r w:rsidR="00A22C78" w:rsidRPr="002B3D8A">
        <w:rPr>
          <w:rFonts w:ascii="Arial" w:eastAsia="Times New Roman" w:hAnsi="Arial" w:cs="Arial"/>
          <w:color w:val="000000" w:themeColor="text1"/>
          <w:sz w:val="24"/>
          <w:szCs w:val="24"/>
        </w:rPr>
        <w:t>Sinigrin (2-propenyl or allyl glucosinolates) and sinalbin (4-hydroxybenzyl glucosinolates</w:t>
      </w:r>
      <w:r w:rsidR="00A22C78">
        <w:rPr>
          <w:rFonts w:ascii="Arial" w:eastAsia="Times New Roman" w:hAnsi="Arial" w:cs="Arial"/>
          <w:color w:val="000000" w:themeColor="text1"/>
          <w:sz w:val="24"/>
          <w:szCs w:val="24"/>
        </w:rPr>
        <w:t>)</w:t>
      </w:r>
      <w:r w:rsidR="00A22C78" w:rsidRPr="002B3D8A">
        <w:rPr>
          <w:rFonts w:ascii="Arial" w:eastAsia="Times New Roman" w:hAnsi="Arial" w:cs="Arial"/>
          <w:color w:val="000000" w:themeColor="text1"/>
          <w:sz w:val="24"/>
          <w:szCs w:val="24"/>
        </w:rPr>
        <w:t xml:space="preserve"> were the first GSL to be isolated from </w:t>
      </w:r>
      <w:r w:rsidR="00A22C78" w:rsidRPr="002B3D8A">
        <w:rPr>
          <w:rFonts w:ascii="Arial" w:eastAsia="Times New Roman" w:hAnsi="Arial" w:cs="Arial"/>
          <w:i/>
          <w:color w:val="000000" w:themeColor="text1"/>
          <w:sz w:val="24"/>
          <w:szCs w:val="24"/>
        </w:rPr>
        <w:t>Brassica nigra</w:t>
      </w:r>
      <w:r w:rsidR="00A22C78" w:rsidRPr="002B3D8A">
        <w:rPr>
          <w:rFonts w:ascii="Arial" w:eastAsia="Times New Roman" w:hAnsi="Arial" w:cs="Arial"/>
          <w:color w:val="000000" w:themeColor="text1"/>
          <w:sz w:val="24"/>
          <w:szCs w:val="24"/>
        </w:rPr>
        <w:t xml:space="preserve"> (Black mustard) and </w:t>
      </w:r>
      <w:r w:rsidR="00A22C78" w:rsidRPr="002B3D8A">
        <w:rPr>
          <w:rFonts w:ascii="Arial" w:eastAsia="Times New Roman" w:hAnsi="Arial" w:cs="Arial"/>
          <w:i/>
          <w:color w:val="000000" w:themeColor="text1"/>
          <w:sz w:val="24"/>
          <w:szCs w:val="24"/>
        </w:rPr>
        <w:t>Sinapis alba</w:t>
      </w:r>
      <w:r w:rsidR="00A22C78" w:rsidRPr="002B3D8A">
        <w:rPr>
          <w:rFonts w:ascii="Arial" w:eastAsia="Times New Roman" w:hAnsi="Arial" w:cs="Arial"/>
          <w:color w:val="000000" w:themeColor="text1"/>
          <w:sz w:val="24"/>
          <w:szCs w:val="24"/>
        </w:rPr>
        <w:t xml:space="preserve"> (white mustard)</w:t>
      </w:r>
      <w:r w:rsidR="00A22C78">
        <w:rPr>
          <w:rFonts w:ascii="Arial" w:eastAsia="Times New Roman" w:hAnsi="Arial" w:cs="Arial"/>
          <w:color w:val="000000" w:themeColor="text1"/>
          <w:sz w:val="24"/>
          <w:szCs w:val="24"/>
        </w:rPr>
        <w:t xml:space="preserve"> respectively</w:t>
      </w:r>
      <w:r w:rsidR="00A22C78" w:rsidRPr="002B3D8A">
        <w:rPr>
          <w:rFonts w:ascii="Arial" w:eastAsia="Times New Roman" w:hAnsi="Arial" w:cs="Arial"/>
          <w:color w:val="000000" w:themeColor="text1"/>
          <w:sz w:val="24"/>
          <w:szCs w:val="24"/>
        </w:rPr>
        <w:t xml:space="preserve"> </w:t>
      </w:r>
      <w:r w:rsidR="00A22C78" w:rsidRPr="002B3D8A">
        <w:rPr>
          <w:rFonts w:ascii="Arial" w:eastAsia="Times New Roman" w:hAnsi="Arial" w:cs="Arial"/>
          <w:color w:val="000000" w:themeColor="text1"/>
          <w:sz w:val="24"/>
          <w:szCs w:val="24"/>
        </w:rPr>
        <w:fldChar w:fldCharType="begin" w:fldLock="1"/>
      </w:r>
      <w:r w:rsidR="00A22C78">
        <w:rPr>
          <w:rFonts w:ascii="Arial" w:eastAsia="Times New Roman" w:hAnsi="Arial" w:cs="Arial"/>
          <w:color w:val="000000" w:themeColor="text1"/>
          <w:sz w:val="24"/>
          <w:szCs w:val="24"/>
        </w:rPr>
        <w:instrText>ADDIN CSL_CITATION {"citationItems":[{"id":"ITEM-1","itemData":{"abstract":"Glucosinolates (beta-thioglucoside-N-hydroxysulfates), the precursors of isothiocyanates, are present in sixteen families of dicotyledonous angiosperms including a large number of edible species. At least 120 different glucosinolates have been identified in these plants, although closely related taxonomic groups typically contain only a small number of such compounds. Glucosinolates and/or their breakdown products have long been known for their fungicidal, bacteriocidal, nematocidal and allelopathic properties and have recently attracted intense research interest because of their cancer chemoprotective attributes. Numerous reviews have addressed the occurrence of glucosinolates in vegetables, primarily the family Brassicaceae (syn. Cruciferae; including Brassica spp and Raphanus spp). The major focus of much previous research has been on the negative aspects of these compounds because of the prevalence of certain \"antinutritional\" or goitrogenic glucosinolates in the protein-rich defatted meal from widely grown oilseed crops and in some domesticated vegetable crops. There is, however, an opposite and positive side of this picture represented by the therapeutic and prophylactic properties of other \"nutritional\" or \"functional\" glucosinolates. This review addresses the complex array of these biologically active and chemically diverse compounds many of which have been identified during the past three decades in other families. In addition to the Brassica vegetables, these glucosinolates have been found in hundreds of species, many of which are edible or could provide substantial quantities of glucosinolates for isolation, for biological evaluation, and potential application as chemoprotective or other dietary or pharmacological agents. © 2001 Elsevier Science Ltd.","author":[{"dropping-particle":"","family":"Fahey","given":"J.w","non-dropping-particle":"","parse-names":false,"suffix":""},{"dropping-particle":"","family":"Zalcmann","given":"A.t","non-dropping-particle":"","parse-names":false,"suffix":""},{"dropping-particle":"","family":"Talalay","given":"P","non-dropping-particle":"","parse-names":false,"suffix":""}],"container-title":"Phytochemistry","id":"ITEM-1","issued":{"date-parts":[["2001"]]},"title":"The chemical diversity and distribution of glucosinolates and isothiocyanates among plants","type":"article-journal","volume":"56"},"uris":["http://www.mendeley.com/documents/?uuid=c4c96d1f-6eae-43d0-a40f-8f43f1368bfe"]}],"mendeley":{"formattedCitation":"(Fahey, Zalcmann and Talalay, 2001)","plainTextFormattedCitation":"(Fahey, Zalcmann and Talalay, 2001)","previouslyFormattedCitation":"(Fahey, Zalcmann and Talalay, 2001)"},"properties":{"noteIndex":0},"schema":"https://github.com/citation-style-language/schema/raw/master/csl-citation.json"}</w:instrText>
      </w:r>
      <w:r w:rsidR="00A22C78" w:rsidRPr="002B3D8A">
        <w:rPr>
          <w:rFonts w:ascii="Arial" w:eastAsia="Times New Roman" w:hAnsi="Arial" w:cs="Arial"/>
          <w:color w:val="000000" w:themeColor="text1"/>
          <w:sz w:val="24"/>
          <w:szCs w:val="24"/>
        </w:rPr>
        <w:fldChar w:fldCharType="separate"/>
      </w:r>
      <w:r w:rsidR="00A22C78" w:rsidRPr="00A07F2C">
        <w:rPr>
          <w:rFonts w:ascii="Arial" w:eastAsia="Times New Roman" w:hAnsi="Arial" w:cs="Arial"/>
          <w:noProof/>
          <w:color w:val="000000" w:themeColor="text1"/>
          <w:sz w:val="24"/>
          <w:szCs w:val="24"/>
        </w:rPr>
        <w:t>(Fahey, Zalcmann and Talalay, 2001)</w:t>
      </w:r>
      <w:r w:rsidR="00A22C78" w:rsidRPr="002B3D8A">
        <w:rPr>
          <w:rFonts w:ascii="Arial" w:eastAsia="Times New Roman" w:hAnsi="Arial" w:cs="Arial"/>
          <w:color w:val="000000" w:themeColor="text1"/>
          <w:sz w:val="24"/>
          <w:szCs w:val="24"/>
        </w:rPr>
        <w:fldChar w:fldCharType="end"/>
      </w:r>
      <w:r w:rsidR="00A22C78" w:rsidRPr="002B3D8A">
        <w:rPr>
          <w:rFonts w:ascii="Arial" w:eastAsia="Times New Roman" w:hAnsi="Arial" w:cs="Arial"/>
          <w:color w:val="000000" w:themeColor="text1"/>
          <w:sz w:val="24"/>
          <w:szCs w:val="24"/>
        </w:rPr>
        <w:t xml:space="preserve">. GSLs are sulphur containing metabolites, stored in the cell vacuole. Chemically, they exist as β-thioglucoside from amino acids and are categorized based on the structure of their side chain (R). GSLs occur in different quantities and have different profiles both quantitatively and qualitatively within the family brassica, in different cultivars and even species grown in the same environment </w:t>
      </w:r>
      <w:r w:rsidR="00A22C78" w:rsidRPr="002B3D8A">
        <w:rPr>
          <w:rFonts w:ascii="Arial" w:eastAsia="Times New Roman" w:hAnsi="Arial" w:cs="Arial"/>
          <w:color w:val="000000" w:themeColor="text1"/>
          <w:sz w:val="24"/>
          <w:szCs w:val="24"/>
        </w:rPr>
        <w:fldChar w:fldCharType="begin" w:fldLock="1"/>
      </w:r>
      <w:r w:rsidR="00A22C78">
        <w:rPr>
          <w:rFonts w:ascii="Arial" w:eastAsia="Times New Roman" w:hAnsi="Arial" w:cs="Arial"/>
          <w:color w:val="000000" w:themeColor="text1"/>
          <w:sz w:val="24"/>
          <w:szCs w:val="24"/>
        </w:rPr>
        <w:instrText>ADDIN CSL_CITATION {"citationItems":[{"id":"ITEM-1","itemData":{"abstract":"Glucosinolates produced by Brassica species were investigated in relation to biofumigation, a term used to describe the effects some allelochemicals, including glucosinolate derived products, may have on soil-borne pathogens or other herbivores. Four Brassica species of the U-triangle, namely B. nigra (L.) Koch, B. carinata Braun, B. juncea (L.) Czern. and B. rapa L. were compared with respect to their qualitative and quantitative glucosinolate profiles in roots, stems, leaves and reproductive organs. Plants were monitored at four different development stages and the total glucosinolate content as well as their dry matter production as an indication of their potential biomass under field conditions were determined. Glucosinolate levels of up to 120 ìmol g -1 DM were found in B. nigra and B. juncea, while B. rapa did not show values over 25 ìmol g-1 DM at any stage of the investigated plant life cycles. In the three species at the top of U-triangle, reproductive tissues showed the highest glucosinolate concentration when compared to the rest of the plant parts, while in B. rapa, the roots were the organs with the highest glucosinolate concentration. The glucosinolate profile of the different plant parts of the species studied changed during the growth cycle, showing that the trade-off between glucosinolate profile and biomass production should be optimized in order to maximize the biofumigation effect of a crop. However, further information on other allelochemicals and on the different types of glucosinolate derived products resulting from autolysis or myrosinase catalyzed hydrolysis of glucosinolates at different reaction conditions is needed for the appropriate description of the potential biofumigation effects of different crops","author":[{"dropping-particle":"","family":"Bellostas","given":"Natalia","non-dropping-particle":"","parse-names":false,"suffix":""},{"dropping-particle":"","family":"Sørensen","given":"Jens","non-dropping-particle":"","parse-names":false,"suffix":""},{"dropping-particle":"","family":"Sørensen","given":"Hilmer","non-dropping-particle":"","parse-names":false,"suffix":""}],"container-title":"Agroindustria","id":"ITEM-1","issue":"3","issued":{"date-parts":[["2004"]]},"page":"5-10","title":"Qualitative and quantitative evaluation of glucosinolates in cruciferous plants during their life cycles","type":"article-journal","volume":"3"},"uris":["http://www.mendeley.com/documents/?uuid=22f6fce6-a49f-3133-811f-b5dcef26198c"]}],"mendeley":{"formattedCitation":"(Bellostas, Sørensen and Sørensen, 2004)","plainTextFormattedCitation":"(Bellostas, Sørensen and Sørensen, 2004)","previouslyFormattedCitation":"(Bellostas, Sørensen and Sørensen, 2004)"},"properties":{"noteIndex":0},"schema":"https://github.com/citation-style-language/schema/raw/master/csl-citation.json"}</w:instrText>
      </w:r>
      <w:r w:rsidR="00A22C78" w:rsidRPr="002B3D8A">
        <w:rPr>
          <w:rFonts w:ascii="Arial" w:eastAsia="Times New Roman" w:hAnsi="Arial" w:cs="Arial"/>
          <w:color w:val="000000" w:themeColor="text1"/>
          <w:sz w:val="24"/>
          <w:szCs w:val="24"/>
        </w:rPr>
        <w:fldChar w:fldCharType="separate"/>
      </w:r>
      <w:r w:rsidR="00A22C78" w:rsidRPr="00A07F2C">
        <w:rPr>
          <w:rFonts w:ascii="Arial" w:eastAsia="Times New Roman" w:hAnsi="Arial" w:cs="Arial"/>
          <w:noProof/>
          <w:color w:val="000000" w:themeColor="text1"/>
          <w:sz w:val="24"/>
          <w:szCs w:val="24"/>
        </w:rPr>
        <w:t>(Bellostas, Sørensen and Sørensen, 2004)</w:t>
      </w:r>
      <w:r w:rsidR="00A22C78" w:rsidRPr="002B3D8A">
        <w:rPr>
          <w:rFonts w:ascii="Arial" w:eastAsia="Times New Roman" w:hAnsi="Arial" w:cs="Arial"/>
          <w:color w:val="000000" w:themeColor="text1"/>
          <w:sz w:val="24"/>
          <w:szCs w:val="24"/>
        </w:rPr>
        <w:fldChar w:fldCharType="end"/>
      </w:r>
      <w:r w:rsidR="00A22C78" w:rsidRPr="002B3D8A">
        <w:rPr>
          <w:rFonts w:ascii="Arial" w:eastAsia="Times New Roman" w:hAnsi="Arial" w:cs="Arial"/>
          <w:color w:val="000000" w:themeColor="text1"/>
          <w:sz w:val="24"/>
          <w:szCs w:val="24"/>
        </w:rPr>
        <w:t xml:space="preserve">. For instance, the rapeseed variety </w:t>
      </w:r>
      <w:proofErr w:type="spellStart"/>
      <w:r w:rsidR="00A22C78" w:rsidRPr="002B3D8A">
        <w:rPr>
          <w:rFonts w:ascii="Arial" w:eastAsia="Times New Roman" w:hAnsi="Arial" w:cs="Arial"/>
          <w:color w:val="000000" w:themeColor="text1"/>
          <w:sz w:val="24"/>
          <w:szCs w:val="24"/>
        </w:rPr>
        <w:t>Hyola</w:t>
      </w:r>
      <w:proofErr w:type="spellEnd"/>
      <w:r w:rsidR="00A22C78" w:rsidRPr="002B3D8A">
        <w:rPr>
          <w:rFonts w:ascii="Arial" w:eastAsia="Times New Roman" w:hAnsi="Arial" w:cs="Arial"/>
          <w:color w:val="000000" w:themeColor="text1"/>
          <w:sz w:val="24"/>
          <w:szCs w:val="24"/>
        </w:rPr>
        <w:t xml:space="preserve"> 401 contains lower GSL content compared to the variety Dwarf Essex; Indian mustard cultivar has higher levels of GSL compared to Ida Gold variety of white mustard </w:t>
      </w:r>
      <w:r w:rsidR="00A22C78" w:rsidRPr="002B3D8A">
        <w:rPr>
          <w:rFonts w:ascii="Arial" w:eastAsia="Times New Roman" w:hAnsi="Arial" w:cs="Arial"/>
          <w:color w:val="000000" w:themeColor="text1"/>
          <w:sz w:val="24"/>
          <w:szCs w:val="24"/>
        </w:rPr>
        <w:fldChar w:fldCharType="begin" w:fldLock="1"/>
      </w:r>
      <w:r w:rsidR="00D36042">
        <w:rPr>
          <w:rFonts w:ascii="Arial" w:eastAsia="Times New Roman" w:hAnsi="Arial" w:cs="Arial"/>
          <w:color w:val="000000" w:themeColor="text1"/>
          <w:sz w:val="24"/>
          <w:szCs w:val="24"/>
        </w:rPr>
        <w:instrText>ADDIN CSL_CITATION {"citationItems":[{"id":"ITEM-1","itemData":{"DOI":"10.1016/j.cpb.2019.02.001","ISSN":"22146628","abstract":"Plant-parasitic nematodes (PPNs)are considered as one of the major limiting factors in global crop production system. Due to the introduction of tighter limits in registering new biocidal molecules and a gradual phase-out of nematicides for high environmental impact, considerations for non-chemical alternatives have been realised. The biofumigation technique which involves the incorporation of mechanically chopped brassicaceous plant material into the soil to control soilborne nematodes offers an attractive alternative for PPN management. Biofumigant effect is mainly caused by the volatile and toxic isothiocynates originated from the hydrolysis of secondary metabolite glucosinolate present in the Brassica tissues. The scope of biofumigation has been expanded to other non-brassica plants which produce volatile pathogen-suppressing molecules. The graminaceous plants such as sorghum and sudangrass are known to produce nematicidal cyanides via enzymatic hydrolysis of precursor cyanogenic glycoside/dhurrin. The allelopathic plant marigold is known to produce α-terthienyl, which has shown potential biofumigation effect against PPNs. The objective of this review is to detail the tactics used to manipulate various brassica and non-brassica biofumigant crops and to present the mechanisms responsible for PPN suppression by these crops. The ecological aspects underpinning the responses of PPNs to these crops were not austerely discussed in earlier literature. Herein, we present a holistic assessment of the impact of biofumigation technique in managing PPNs in various crops and explore the employability of this technique in integrated nematode management (INM)practices.","author":[{"dropping-particle":"","family":"Dutta","given":"Tushar K.","non-dropping-particle":"","parse-names":false,"suffix":""},{"dropping-particle":"","family":"Khan","given":"Matiyar R.","non-dropping-particle":"","parse-names":false,"suffix":""},{"dropping-particle":"","family":"Phani","given":"Victor","non-dropping-particle":"","parse-names":false,"suffix":""}],"container-title":"Current Plant Biology","id":"ITEM-1","issue":"February","issued":{"date-parts":[["2019"]]},"page":"17-32","publisher":"Elsevier","title":"Plant-parasitic nematode management via biofumigation using brassica and non-brassica plants: Current status and future prospects","type":"article-journal","volume":"17"},"uris":["http://www.mendeley.com/documents/?uuid=da3fa037-8177-4777-80c8-9f65769c50a4"]}],"mendeley":{"formattedCitation":"(Dutta, Khan and Phani, 2019)","plainTextFormattedCitation":"(Dutta, Khan and Phani, 2019)","previouslyFormattedCitation":"(Dutta, Khan and Phani, 2019)"},"properties":{"noteIndex":0},"schema":"https://github.com/citation-style-language/schema/raw/master/csl-citation.json"}</w:instrText>
      </w:r>
      <w:r w:rsidR="00A22C78" w:rsidRPr="002B3D8A">
        <w:rPr>
          <w:rFonts w:ascii="Arial" w:eastAsia="Times New Roman" w:hAnsi="Arial" w:cs="Arial"/>
          <w:color w:val="000000" w:themeColor="text1"/>
          <w:sz w:val="24"/>
          <w:szCs w:val="24"/>
        </w:rPr>
        <w:fldChar w:fldCharType="separate"/>
      </w:r>
      <w:r w:rsidR="00AC07D4" w:rsidRPr="00AC07D4">
        <w:rPr>
          <w:rFonts w:ascii="Arial" w:eastAsia="Times New Roman" w:hAnsi="Arial" w:cs="Arial"/>
          <w:noProof/>
          <w:color w:val="000000" w:themeColor="text1"/>
          <w:sz w:val="24"/>
          <w:szCs w:val="24"/>
        </w:rPr>
        <w:t>(Dutta, Khan and Phani, 2019)</w:t>
      </w:r>
      <w:r w:rsidR="00A22C78" w:rsidRPr="002B3D8A">
        <w:rPr>
          <w:rFonts w:ascii="Arial" w:eastAsia="Times New Roman" w:hAnsi="Arial" w:cs="Arial"/>
          <w:color w:val="000000" w:themeColor="text1"/>
          <w:sz w:val="24"/>
          <w:szCs w:val="24"/>
        </w:rPr>
        <w:fldChar w:fldCharType="end"/>
      </w:r>
      <w:r w:rsidR="00A22C78" w:rsidRPr="002B3D8A">
        <w:rPr>
          <w:rFonts w:ascii="Arial" w:eastAsia="Times New Roman" w:hAnsi="Arial" w:cs="Arial"/>
          <w:color w:val="000000" w:themeColor="text1"/>
          <w:sz w:val="24"/>
          <w:szCs w:val="24"/>
        </w:rPr>
        <w:t xml:space="preserve">. </w:t>
      </w:r>
    </w:p>
    <w:p w14:paraId="2678045F" w14:textId="77777777" w:rsidR="00A22C78" w:rsidRPr="002B3D8A" w:rsidRDefault="00A22C78" w:rsidP="00616CDC">
      <w:pPr>
        <w:spacing w:line="360" w:lineRule="auto"/>
        <w:ind w:left="-426"/>
        <w:jc w:val="both"/>
      </w:pPr>
      <w:r w:rsidRPr="002B3D8A">
        <w:rPr>
          <w:rFonts w:ascii="Arial" w:eastAsia="Times New Roman" w:hAnsi="Arial" w:cs="Arial"/>
          <w:color w:val="000000" w:themeColor="text1"/>
          <w:sz w:val="24"/>
          <w:szCs w:val="24"/>
        </w:rPr>
        <w:lastRenderedPageBreak/>
        <w:t xml:space="preserve">The quantities and type of GSLs produced varies between plant organs, genetic makeup of the species, developmental stages, and exposure to environmental factors such as soil nutrients (nitrogen and sulphur), seasonal variations, or drought. For instance, variation in GSL concentration was observed in similar broccoli genotype grown at different seasons and under distinct agricultural practices </w:t>
      </w:r>
      <w:r w:rsidRPr="002B3D8A">
        <w:rPr>
          <w:rFonts w:ascii="Arial" w:eastAsia="Times New Roman" w:hAnsi="Arial" w:cs="Arial"/>
          <w:color w:val="000000" w:themeColor="text1"/>
          <w:sz w:val="24"/>
          <w:szCs w:val="24"/>
        </w:rPr>
        <w:fldChar w:fldCharType="begin" w:fldLock="1"/>
      </w:r>
      <w:r>
        <w:rPr>
          <w:rFonts w:ascii="Arial" w:eastAsia="Times New Roman" w:hAnsi="Arial" w:cs="Arial"/>
          <w:color w:val="000000" w:themeColor="text1"/>
          <w:sz w:val="24"/>
          <w:szCs w:val="24"/>
        </w:rPr>
        <w:instrText>ADDIN CSL_CITATION {"citationItems":[{"id":"ITEM-1","itemData":{"DOI":"10.3390/molecules200915827","ISSN":"1420-3049","abstract":"Glucosinolate (GSL) profiles and concentrations in various tissues (seeds, sprouts, mature root, and shoot) were determined and compared across nine Brassica species, including cauliflower, cabbage, broccoli, radish, baemuchae, pakchoi, Chinese cabbage, leaf mustard, and kale. The compositions and concentrations of individual GSLs varied among crops, tissues, and growth stages. Seeds had highest total GSL concentrations in most of crops, whereas shoots had the lowest GSL concentrations. Aliphatic GSL concentrations were the highest in seeds, followed by that in sprouts, shoots, and roots. Indole GSL concentration was the highest in the root or shoot tissues in most of the crops. In contrast, aromatic GSL concentrations were highest in roots. Of the nine crops examined, broccoli exhibited the highest total GSL concentration in seeds (110.76 µmol·g −1) and sprouts (162.19 µmol·g −1), whereas leaf mustard exhibited the highest total GSL concentration in shoots (61.76 µmol·g −1) and roots (73.61 µmol·g −1). The lowest GSL concentrations were observed in radish across all tissues examined.","author":[{"dropping-particle":"","family":"Bhandari","given":"Shiva Ram","non-dropping-particle":"","parse-names":false,"suffix":""},{"dropping-particle":"","family":"Su Jo","given":"Jung","non-dropping-particle":"","parse-names":false,"suffix":""},{"dropping-particle":"","family":"Gu Lee","given":"Jun","non-dropping-particle":"","parse-names":false,"suffix":""}],"container-title":"Molecules","id":"ITEM-1","issued":{"date-parts":[["2015"]]},"page":"15827-15841","title":"molecules Comparison of Glucosinolate Profiles in Different Tissues of Nine Brassica Crops","type":"article-journal","volume":"20"},"uris":["http://www.mendeley.com/documents/?uuid=c195fad5-aa55-3efc-9ecd-1e448c0e41c2"]}],"mendeley":{"formattedCitation":"(Bhandari, Su Jo and Gu Lee, 2015)","plainTextFormattedCitation":"(Bhandari, Su Jo and Gu Lee, 2015)","previouslyFormattedCitation":"(Bhandari, Su Jo and Gu Lee, 2015)"},"properties":{"noteIndex":0},"schema":"https://github.com/citation-style-language/schema/raw/master/csl-citation.json"}</w:instrText>
      </w:r>
      <w:r w:rsidRPr="002B3D8A">
        <w:rPr>
          <w:rFonts w:ascii="Arial" w:eastAsia="Times New Roman" w:hAnsi="Arial" w:cs="Arial"/>
          <w:color w:val="000000" w:themeColor="text1"/>
          <w:sz w:val="24"/>
          <w:szCs w:val="24"/>
        </w:rPr>
        <w:fldChar w:fldCharType="separate"/>
      </w:r>
      <w:r w:rsidRPr="00A07F2C">
        <w:rPr>
          <w:rFonts w:ascii="Arial" w:eastAsia="Times New Roman" w:hAnsi="Arial" w:cs="Arial"/>
          <w:noProof/>
          <w:color w:val="000000" w:themeColor="text1"/>
          <w:sz w:val="24"/>
          <w:szCs w:val="24"/>
        </w:rPr>
        <w:t>(Bhandari, Su Jo and Gu Lee, 2015)</w:t>
      </w:r>
      <w:r w:rsidRPr="002B3D8A">
        <w:rPr>
          <w:rFonts w:ascii="Arial" w:eastAsia="Times New Roman" w:hAnsi="Arial" w:cs="Arial"/>
          <w:color w:val="000000" w:themeColor="text1"/>
          <w:sz w:val="24"/>
          <w:szCs w:val="24"/>
        </w:rPr>
        <w:fldChar w:fldCharType="end"/>
      </w:r>
      <w:r w:rsidRPr="002B3D8A">
        <w:rPr>
          <w:rFonts w:ascii="Arial" w:eastAsia="Times New Roman" w:hAnsi="Arial" w:cs="Arial"/>
          <w:color w:val="000000" w:themeColor="text1"/>
          <w:sz w:val="24"/>
          <w:szCs w:val="24"/>
        </w:rPr>
        <w:t xml:space="preserve">. </w:t>
      </w:r>
      <w:r w:rsidRPr="00A37F80">
        <w:rPr>
          <w:rFonts w:ascii="Arial" w:hAnsi="Arial" w:cs="Arial"/>
          <w:sz w:val="24"/>
          <w:szCs w:val="24"/>
        </w:rPr>
        <w:t xml:space="preserve">A study investigating the distribution pattern of GSLs in different parts of Brassica crops, showed that GSLs were highly concentrated in the seeds, followed by the sprouts, roots and shoots. The aromatic GSLs were highest in roots while the aliphatic GSLs were concentrated in seeds and the indole GSLs were more concentrated in the roots or shoots of tissues of most brassicas </w:t>
      </w:r>
      <w:r w:rsidRPr="00A37F80">
        <w:rPr>
          <w:rFonts w:ascii="Arial" w:hAnsi="Arial" w:cs="Arial"/>
          <w:sz w:val="24"/>
          <w:szCs w:val="24"/>
        </w:rPr>
        <w:fldChar w:fldCharType="begin" w:fldLock="1"/>
      </w:r>
      <w:r>
        <w:rPr>
          <w:rFonts w:ascii="Arial" w:hAnsi="Arial" w:cs="Arial"/>
          <w:sz w:val="24"/>
          <w:szCs w:val="24"/>
        </w:rPr>
        <w:instrText>ADDIN CSL_CITATION {"citationItems":[{"id":"ITEM-1","itemData":{"DOI":"10.3390/molecules200915827","ISSN":"1420-3049","abstract":"Glucosinolate (GSL) profiles and concentrations in various tissues (seeds, sprouts, mature root, and shoot) were determined and compared across nine Brassica species, including cauliflower, cabbage, broccoli, radish, baemuchae, pakchoi, Chinese cabbage, leaf mustard, and kale. The compositions and concentrations of individual GSLs varied among crops, tissues, and growth stages. Seeds had highest total GSL concentrations in most of crops, whereas shoots had the lowest GSL concentrations. Aliphatic GSL concentrations were the highest in seeds, followed by that in sprouts, shoots, and roots. Indole GSL concentration was the highest in the root or shoot tissues in most of the crops. In contrast, aromatic GSL concentrations were highest in roots. Of the nine crops examined, broccoli exhibited the highest total GSL concentration in seeds (110.76 µmol·g −1) and sprouts (162.19 µmol·g −1), whereas leaf mustard exhibited the highest total GSL concentration in shoots (61.76 µmol·g −1) and roots (73.61 µmol·g −1). The lowest GSL concentrations were observed in radish across all tissues examined.","author":[{"dropping-particle":"","family":"Bhandari","given":"Shiva Ram","non-dropping-particle":"","parse-names":false,"suffix":""},{"dropping-particle":"","family":"Su Jo","given":"Jung","non-dropping-particle":"","parse-names":false,"suffix":""},{"dropping-particle":"","family":"Gu Lee","given":"Jun","non-dropping-particle":"","parse-names":false,"suffix":""}],"container-title":"Molecules","id":"ITEM-1","issued":{"date-parts":[["2015"]]},"page":"15827-15841","title":"molecules Comparison of Glucosinolate Profiles in Different Tissues of Nine Brassica Crops","type":"article-journal","volume":"20"},"uris":["http://www.mendeley.com/documents/?uuid=c195fad5-aa55-3efc-9ecd-1e448c0e41c2"]}],"mendeley":{"formattedCitation":"(Bhandari, Su Jo and Gu Lee, 2015)","plainTextFormattedCitation":"(Bhandari, Su Jo and Gu Lee, 2015)","previouslyFormattedCitation":"(Bhandari, Su Jo and Gu Lee, 2015)"},"properties":{"noteIndex":0},"schema":"https://github.com/citation-style-language/schema/raw/master/csl-citation.json"}</w:instrText>
      </w:r>
      <w:r w:rsidRPr="00A37F80">
        <w:rPr>
          <w:rFonts w:ascii="Arial" w:hAnsi="Arial" w:cs="Arial"/>
          <w:sz w:val="24"/>
          <w:szCs w:val="24"/>
        </w:rPr>
        <w:fldChar w:fldCharType="separate"/>
      </w:r>
      <w:r w:rsidRPr="00A37F80">
        <w:rPr>
          <w:rFonts w:ascii="Arial" w:hAnsi="Arial" w:cs="Arial"/>
          <w:noProof/>
          <w:sz w:val="24"/>
          <w:szCs w:val="24"/>
        </w:rPr>
        <w:t>(Bhandari, Su Jo and Gu Lee, 2015)</w:t>
      </w:r>
      <w:r w:rsidRPr="00A37F80">
        <w:rPr>
          <w:rFonts w:ascii="Arial" w:hAnsi="Arial" w:cs="Arial"/>
          <w:sz w:val="24"/>
          <w:szCs w:val="24"/>
        </w:rPr>
        <w:fldChar w:fldCharType="end"/>
      </w:r>
      <w:r w:rsidRPr="00A37F80">
        <w:rPr>
          <w:rFonts w:ascii="Arial" w:hAnsi="Arial" w:cs="Arial"/>
          <w:sz w:val="24"/>
          <w:szCs w:val="24"/>
        </w:rPr>
        <w:t>.</w:t>
      </w:r>
      <w:r w:rsidRPr="002B3D8A">
        <w:t xml:space="preserve"> </w:t>
      </w:r>
    </w:p>
    <w:p w14:paraId="654C65A2" w14:textId="77777777" w:rsidR="00A22C78" w:rsidRPr="002B3D8A" w:rsidRDefault="00A22C78" w:rsidP="00616CDC">
      <w:pPr>
        <w:spacing w:line="360" w:lineRule="auto"/>
        <w:ind w:left="-426"/>
        <w:jc w:val="both"/>
        <w:rPr>
          <w:rFonts w:ascii="Arial" w:eastAsia="Times New Roman" w:hAnsi="Arial" w:cs="Arial"/>
          <w:color w:val="000000" w:themeColor="text1"/>
          <w:sz w:val="24"/>
          <w:szCs w:val="24"/>
        </w:rPr>
      </w:pPr>
      <w:r w:rsidRPr="00984FAA">
        <w:rPr>
          <w:rFonts w:ascii="Arial" w:eastAsia="Times New Roman" w:hAnsi="Arial" w:cs="Arial"/>
          <w:color w:val="000000" w:themeColor="text1"/>
          <w:sz w:val="24"/>
          <w:szCs w:val="24"/>
        </w:rPr>
        <w:t>The basic structure</w:t>
      </w:r>
      <w:r>
        <w:rPr>
          <w:rFonts w:ascii="Arial" w:eastAsia="Times New Roman" w:hAnsi="Arial" w:cs="Arial"/>
          <w:color w:val="000000" w:themeColor="text1"/>
          <w:sz w:val="24"/>
          <w:szCs w:val="24"/>
        </w:rPr>
        <w:t xml:space="preserve"> of GSLs</w:t>
      </w:r>
      <w:r w:rsidRPr="00984FAA">
        <w:rPr>
          <w:rFonts w:ascii="Arial" w:eastAsia="Times New Roman" w:hAnsi="Arial" w:cs="Arial"/>
          <w:color w:val="000000" w:themeColor="text1"/>
          <w:sz w:val="24"/>
          <w:szCs w:val="24"/>
        </w:rPr>
        <w:t xml:space="preserve"> is similar a</w:t>
      </w:r>
      <w:r>
        <w:rPr>
          <w:rFonts w:ascii="Arial" w:eastAsia="Times New Roman" w:hAnsi="Arial" w:cs="Arial"/>
          <w:color w:val="000000" w:themeColor="text1"/>
          <w:sz w:val="24"/>
          <w:szCs w:val="24"/>
        </w:rPr>
        <w:t>lthough</w:t>
      </w:r>
      <w:r w:rsidRPr="00984FAA">
        <w:rPr>
          <w:rFonts w:ascii="Arial" w:eastAsia="Times New Roman" w:hAnsi="Arial" w:cs="Arial"/>
          <w:color w:val="000000" w:themeColor="text1"/>
          <w:sz w:val="24"/>
          <w:szCs w:val="24"/>
        </w:rPr>
        <w:t xml:space="preserve"> variations occur in the R-group which is related to their biosynthesis </w:t>
      </w:r>
      <w:r w:rsidRPr="00984FAA">
        <w:rPr>
          <w:rFonts w:ascii="Arial" w:eastAsia="Times New Roman" w:hAnsi="Arial" w:cs="Arial"/>
          <w:color w:val="000000" w:themeColor="text1"/>
          <w:sz w:val="24"/>
          <w:szCs w:val="24"/>
        </w:rPr>
        <w:fldChar w:fldCharType="begin" w:fldLock="1"/>
      </w:r>
      <w:r>
        <w:rPr>
          <w:rFonts w:ascii="Arial" w:eastAsia="Times New Roman" w:hAnsi="Arial" w:cs="Arial"/>
          <w:color w:val="000000" w:themeColor="text1"/>
          <w:sz w:val="24"/>
          <w:szCs w:val="24"/>
        </w:rPr>
        <w:instrText>ADDIN CSL_CITATION {"citationItems":[{"id":"ITEM-1","itemData":{"DOI":"10.1002/FOOD.200300329","abstract":"The objective of this study was to investigate the influence that the species, form or cultivar exerts on the glucosinolate spectrum for glucosinolates and free sugars in selected vegetable species of the Brassica genus (Brassica oleracea var. italica Plenck, Brassica rapa var. alboglabra and Brassica oleracea var. botrytis L.). The results showed significant differences amongst the cultivar groups for the glucosinolate proportions as well as the contents of health-promoting and flavour-influencing alkyl, alkenyl and indole glucosinolates. The clear differences in the proportions of glucosinolates amongst the groups were not significantly influenced by the weather, although the absolute glucosinolate contents were. Interestingly, the species, forms and cultivars diverged in their external and internal sensory attributes, for example, colour, taste properties such as bitter and sweet, flavour such as green/ grassy, spicy, broccoli-like, cabbage-like, cauliflower-like, kohlrabi-like, leek-like and mouth-feel pungent. Differences in the sensory attributes led to different consumer acceptability based on first impressions judged on colour, flavour and overall liking. Consumers were seen to prefer cultivars with a bright colour, a lower level of bitter tasting glucosinolates (alkenyl and indole glucosinolates) and a higher sucrose content. Significant correlations were determined between the compound concentrations, the descriptively determined sensory properties and the consumer scores. Here, we identified properties of broccoli and cauliflower which, when optimised to the tastes of the consumer, could boost their acceptability.","author":[{"dropping-particle":"","family":"Schonhof","given":"Ilona","non-dropping-particle":"","parse-names":false,"suffix":""},{"dropping-particle":"","family":"Krumbein","given":"Angelika","non-dropping-particle":"","parse-names":false,"suffix":""},{"dropping-particle":"","family":"Brückner","given":"Bernhard","non-dropping-particle":"","parse-names":false,"suffix":""}],"container-title":"Nahrung - Food","id":"ITEM-1","issue":"1","issued":{"date-parts":[["2004","2"]]},"page":"25-33","title":"Genotypic effects on glucosinolates and sensory properties of broccoli and cauliflower","type":"article-journal","volume":"48"},"uris":["http://www.mendeley.com/documents/?uuid=6b5b3fad-af55-3730-a319-b987cd4e8019"]}],"mendeley":{"formattedCitation":"(Schonhof, Krumbein and Brückner, 2004)","plainTextFormattedCitation":"(Schonhof, Krumbein and Brückner, 2004)","previouslyFormattedCitation":"(Schonhof, Krumbein and Brückner, 2004)"},"properties":{"noteIndex":0},"schema":"https://github.com/citation-style-language/schema/raw/master/csl-citation.json"}</w:instrText>
      </w:r>
      <w:r w:rsidRPr="00984FAA">
        <w:rPr>
          <w:rFonts w:ascii="Arial" w:eastAsia="Times New Roman" w:hAnsi="Arial" w:cs="Arial"/>
          <w:color w:val="000000" w:themeColor="text1"/>
          <w:sz w:val="24"/>
          <w:szCs w:val="24"/>
        </w:rPr>
        <w:fldChar w:fldCharType="separate"/>
      </w:r>
      <w:r w:rsidRPr="00A07F2C">
        <w:rPr>
          <w:rFonts w:ascii="Arial" w:eastAsia="Times New Roman" w:hAnsi="Arial" w:cs="Arial"/>
          <w:noProof/>
          <w:color w:val="000000" w:themeColor="text1"/>
          <w:sz w:val="24"/>
          <w:szCs w:val="24"/>
        </w:rPr>
        <w:t>(Schonhof, Krumbein and Brückner, 2004)</w:t>
      </w:r>
      <w:r w:rsidRPr="00984FAA">
        <w:rPr>
          <w:rFonts w:ascii="Arial" w:eastAsia="Times New Roman" w:hAnsi="Arial" w:cs="Arial"/>
          <w:color w:val="000000" w:themeColor="text1"/>
          <w:sz w:val="24"/>
          <w:szCs w:val="24"/>
        </w:rPr>
        <w:fldChar w:fldCharType="end"/>
      </w:r>
      <w:r w:rsidRPr="00984FAA">
        <w:rPr>
          <w:rFonts w:ascii="Arial" w:eastAsia="Times New Roman" w:hAnsi="Arial" w:cs="Arial"/>
          <w:color w:val="000000" w:themeColor="text1"/>
          <w:sz w:val="24"/>
          <w:szCs w:val="24"/>
        </w:rPr>
        <w:t>.</w:t>
      </w:r>
      <w:r w:rsidRPr="002B3D8A">
        <w:rPr>
          <w:rFonts w:ascii="Arial" w:eastAsia="Times New Roman" w:hAnsi="Arial" w:cs="Arial"/>
          <w:color w:val="000000" w:themeColor="text1"/>
          <w:sz w:val="24"/>
          <w:szCs w:val="24"/>
        </w:rPr>
        <w:t xml:space="preserve"> There are more than 130 GSL that have been identified that are structurally different and are divided into different classes based on structure of amino acid derived side chain (R) </w:t>
      </w:r>
      <w:r w:rsidRPr="002B3D8A">
        <w:rPr>
          <w:rFonts w:ascii="Arial" w:eastAsia="Times New Roman" w:hAnsi="Arial" w:cs="Arial"/>
          <w:color w:val="000000" w:themeColor="text1"/>
          <w:sz w:val="24"/>
          <w:szCs w:val="24"/>
        </w:rPr>
        <w:fldChar w:fldCharType="begin" w:fldLock="1"/>
      </w:r>
      <w:r>
        <w:rPr>
          <w:rFonts w:ascii="Arial" w:eastAsia="Times New Roman" w:hAnsi="Arial" w:cs="Arial"/>
          <w:color w:val="000000" w:themeColor="text1"/>
          <w:sz w:val="24"/>
          <w:szCs w:val="24"/>
        </w:rPr>
        <w:instrText>ADDIN CSL_CITATION {"citationItems":[{"id":"ITEM-1","itemData":{"DOI":"10.1021/jf010470s","ISSN":"00218561","PMID":"11829629","abstract":"The potato cyst nematode (Globodera rostochiensis cv. Woll) is responsible for large yield losses in the potato crop, and opportunities for reducing the attack of these plant nematode species are, therefore, important. This study has been devoted to the testing of the in vitro effects on the potato cyst nematode of eight glucosinolates [prop-2-enyl-, but-3-enyl-, (R)-4-methylsulfinylbut-3-enyl-, benzyl-, phenethyl-, 4-hydroxybenzyl-, (2S)-2-hydroxybut-3-enyl-, and (2R)-2-hydroxy-2-phenylethylglucosinolate] as well as the effects of the products of this myrosinase-catalyzed hydrolysis. The glucosinolates were used at three concentrations, 0.05, 0.3, and 1.0 mg/mL, in the presence or absence of the enzyme myrosinase. The effects of the compounds on the mortality were monitored every 8 h for a 72 h period. No effects were found for any of the intact glucosinolates. However, when active myrosinase was included with 1 mg/mL phenethylglucosinolate at pH 6.5, 100% mortality was observed within just 16 h. A similar effect was achieved at the same concentration of benzyl-and prop-2-enylglucosinolates in the myrosinase-containing solutions, although longer exposures were required (24 and 40 h, respectively). The main aglucone products released from the glucosinolates with pronounced effects on the nematodes were shown to be the corresponding isothiocyanates. The results suggest that mixtures of these specific glucosinolates and active myrosinase or autolysis of plant materials containing these enzymes and glucosinolates might be used to control the potato cyst nematode in the soil.","author":[{"dropping-particle":"","family":"Buskov","given":"S.","non-dropping-particle":"","parse-names":false,"suffix":""},{"dropping-particle":"","family":"Serra","given":"B.","non-dropping-particle":"","parse-names":false,"suffix":""},{"dropping-particle":"","family":"Rosa","given":"E.","non-dropping-particle":"","parse-names":false,"suffix":""},{"dropping-particle":"","family":"Sørensen","given":"H.","non-dropping-particle":"","parse-names":false,"suffix":""},{"dropping-particle":"","family":"Sørensen","given":"J. C.","non-dropping-particle":"","parse-names":false,"suffix":""}],"container-title":"Journal of Agricultural and Food Chemistry","id":"ITEM-1","issue":"4","issued":{"date-parts":[["2002","2","13"]]},"page":"690-695","publisher":"American Chemical Society","title":"Effects of intact glucosinolates and products produced from glucosinolates in myrosinase-catalyzed hydrolysis on the potato cyst nematode (Globodera rostochiensis cv. Woll)","type":"article-journal","volume":"50"},"uris":["http://www.mendeley.com/documents/?uuid=8386281f-c85e-3388-b330-ac4a742b9e5f"]}],"mendeley":{"formattedCitation":"(Buskov &lt;i&gt;et al.&lt;/i&gt;, 2002)","plainTextFormattedCitation":"(Buskov et al., 2002)","previouslyFormattedCitation":"(Buskov &lt;i&gt;et al.&lt;/i&gt;, 2002)"},"properties":{"noteIndex":0},"schema":"https://github.com/citation-style-language/schema/raw/master/csl-citation.json"}</w:instrText>
      </w:r>
      <w:r w:rsidRPr="002B3D8A">
        <w:rPr>
          <w:rFonts w:ascii="Arial" w:eastAsia="Times New Roman" w:hAnsi="Arial" w:cs="Arial"/>
          <w:color w:val="000000" w:themeColor="text1"/>
          <w:sz w:val="24"/>
          <w:szCs w:val="24"/>
        </w:rPr>
        <w:fldChar w:fldCharType="separate"/>
      </w:r>
      <w:r w:rsidRPr="00A07F2C">
        <w:rPr>
          <w:rFonts w:ascii="Arial" w:eastAsia="Times New Roman" w:hAnsi="Arial" w:cs="Arial"/>
          <w:noProof/>
          <w:color w:val="000000" w:themeColor="text1"/>
          <w:sz w:val="24"/>
          <w:szCs w:val="24"/>
        </w:rPr>
        <w:t xml:space="preserve">(Buskov </w:t>
      </w:r>
      <w:r w:rsidRPr="00A07F2C">
        <w:rPr>
          <w:rFonts w:ascii="Arial" w:eastAsia="Times New Roman" w:hAnsi="Arial" w:cs="Arial"/>
          <w:i/>
          <w:noProof/>
          <w:color w:val="000000" w:themeColor="text1"/>
          <w:sz w:val="24"/>
          <w:szCs w:val="24"/>
        </w:rPr>
        <w:t>et al.</w:t>
      </w:r>
      <w:r w:rsidRPr="00A07F2C">
        <w:rPr>
          <w:rFonts w:ascii="Arial" w:eastAsia="Times New Roman" w:hAnsi="Arial" w:cs="Arial"/>
          <w:noProof/>
          <w:color w:val="000000" w:themeColor="text1"/>
          <w:sz w:val="24"/>
          <w:szCs w:val="24"/>
        </w:rPr>
        <w:t>, 2002)</w:t>
      </w:r>
      <w:r w:rsidRPr="002B3D8A">
        <w:rPr>
          <w:rFonts w:ascii="Arial" w:eastAsia="Times New Roman" w:hAnsi="Arial" w:cs="Arial"/>
          <w:color w:val="000000" w:themeColor="text1"/>
          <w:sz w:val="24"/>
          <w:szCs w:val="24"/>
        </w:rPr>
        <w:fldChar w:fldCharType="end"/>
      </w:r>
      <w:r w:rsidRPr="002B3D8A">
        <w:rPr>
          <w:rFonts w:ascii="Arial" w:eastAsia="Times New Roman" w:hAnsi="Arial" w:cs="Arial"/>
          <w:color w:val="000000" w:themeColor="text1"/>
          <w:sz w:val="24"/>
          <w:szCs w:val="24"/>
        </w:rPr>
        <w:t xml:space="preserve">. They are categorized into three classes namely: Aliphatic, aromatic and indolyl/indole, with sinigrin usually being the predominant GSL being identified from Brassicaceae plants </w:t>
      </w:r>
      <w:sdt>
        <w:sdtPr>
          <w:rPr>
            <w:rFonts w:ascii="Arial" w:hAnsi="Arial" w:cs="Arial"/>
            <w:color w:val="000000" w:themeColor="text1"/>
            <w:sz w:val="24"/>
            <w:szCs w:val="24"/>
          </w:rPr>
          <w:tag w:val="MENDELEY_CITATION_35257f10-9213-4372-b6bf-5cee94d05429"/>
          <w:id w:val="-1638253761"/>
          <w:placeholder>
            <w:docPart w:val="484E2F201A64479688C31073A52D7D57"/>
          </w:placeholder>
        </w:sdtPr>
        <w:sdtEndPr/>
        <w:sdtContent>
          <w:r w:rsidRPr="002B3D8A">
            <w:rPr>
              <w:rFonts w:ascii="Arial" w:eastAsia="Times New Roman" w:hAnsi="Arial" w:cs="Arial"/>
              <w:color w:val="000000" w:themeColor="text1"/>
              <w:sz w:val="24"/>
              <w:szCs w:val="24"/>
            </w:rPr>
            <w:t>(Kruger et al., 2013)</w:t>
          </w:r>
        </w:sdtContent>
      </w:sdt>
      <w:r w:rsidRPr="002B3D8A">
        <w:rPr>
          <w:rFonts w:ascii="Arial" w:eastAsia="Times New Roman" w:hAnsi="Arial" w:cs="Arial"/>
          <w:color w:val="000000" w:themeColor="text1"/>
          <w:sz w:val="24"/>
          <w:szCs w:val="24"/>
        </w:rPr>
        <w:t>. Aliphatic glucosinolates are known to be derivatives of 5 methionine, aromatic glucosinolates from tyrosine or phenylalanine, while indole 6 glucosinolates are derivatives from tryptopha</w:t>
      </w:r>
      <w:r>
        <w:rPr>
          <w:rFonts w:ascii="Arial" w:eastAsia="Times New Roman" w:hAnsi="Arial" w:cs="Arial"/>
          <w:color w:val="000000" w:themeColor="text1"/>
          <w:sz w:val="24"/>
          <w:szCs w:val="24"/>
        </w:rPr>
        <w:t xml:space="preserve">n </w:t>
      </w:r>
      <w:r>
        <w:rPr>
          <w:rFonts w:ascii="Arial" w:eastAsia="Times New Roman" w:hAnsi="Arial" w:cs="Arial"/>
          <w:color w:val="000000" w:themeColor="text1"/>
          <w:sz w:val="24"/>
          <w:szCs w:val="24"/>
        </w:rPr>
        <w:fldChar w:fldCharType="begin" w:fldLock="1"/>
      </w:r>
      <w:r>
        <w:rPr>
          <w:rFonts w:ascii="Arial" w:eastAsia="Times New Roman" w:hAnsi="Arial" w:cs="Arial"/>
          <w:color w:val="000000" w:themeColor="text1"/>
          <w:sz w:val="24"/>
          <w:szCs w:val="24"/>
        </w:rPr>
        <w:instrText>ADDIN CSL_CITATION {"citationItems":[{"id":"ITEM-1","itemData":{"DOI":"10.1002/FOOD.200300329","abstract":"The objective of this study was to investigate the influence that the species, form or cultivar exerts on the glucosinolate spectrum for glucosinolates and free sugars in selected vegetable species of the Brassica genus (Brassica oleracea var. italica Plenck, Brassica rapa var. alboglabra and Brassica oleracea var. botrytis L.). The results showed significant differences amongst the cultivar groups for the glucosinolate proportions as well as the contents of health-promoting and flavour-influencing alkyl, alkenyl and indole glucosinolates. The clear differences in the proportions of glucosinolates amongst the groups were not significantly influenced by the weather, although the absolute glucosinolate contents were. Interestingly, the species, forms and cultivars diverged in their external and internal sensory attributes, for example, colour, taste properties such as bitter and sweet, flavour such as green/ grassy, spicy, broccoli-like, cabbage-like, cauliflower-like, kohlrabi-like, leek-like and mouth-feel pungent. Differences in the sensory attributes led to different consumer acceptability based on first impressions judged on colour, flavour and overall liking. Consumers were seen to prefer cultivars with a bright colour, a lower level of bitter tasting glucosinolates (alkenyl and indole glucosinolates) and a higher sucrose content. Significant correlations were determined between the compound concentrations, the descriptively determined sensory properties and the consumer scores. Here, we identified properties of broccoli and cauliflower which, when optimised to the tastes of the consumer, could boost their acceptability.","author":[{"dropping-particle":"","family":"Schonhof","given":"Ilona","non-dropping-particle":"","parse-names":false,"suffix":""},{"dropping-particle":"","family":"Krumbein","given":"Angelika","non-dropping-particle":"","parse-names":false,"suffix":""},{"dropping-particle":"","family":"Brückner","given":"Bernhard","non-dropping-particle":"","parse-names":false,"suffix":""}],"container-title":"Nahrung - Food","id":"ITEM-1","issue":"1","issued":{"date-parts":[["2004","2"]]},"page":"25-33","title":"Genotypic effects on glucosinolates and sensory properties of broccoli and cauliflower","type":"article-journal","volume":"48"},"uris":["http://www.mendeley.com/documents/?uuid=6b5b3fad-af55-3730-a319-b987cd4e8019"]}],"mendeley":{"formattedCitation":"(Schonhof, Krumbein and Brückner, 2004)","plainTextFormattedCitation":"(Schonhof, Krumbein and Brückner, 2004)","previouslyFormattedCitation":"(Schonhof, Krumbein and Brückner, 2004)"},"properties":{"noteIndex":0},"schema":"https://github.com/citation-style-language/schema/raw/master/csl-citation.json"}</w:instrText>
      </w:r>
      <w:r>
        <w:rPr>
          <w:rFonts w:ascii="Arial" w:eastAsia="Times New Roman" w:hAnsi="Arial" w:cs="Arial"/>
          <w:color w:val="000000" w:themeColor="text1"/>
          <w:sz w:val="24"/>
          <w:szCs w:val="24"/>
        </w:rPr>
        <w:fldChar w:fldCharType="separate"/>
      </w:r>
      <w:r w:rsidRPr="00A07F2C">
        <w:rPr>
          <w:rFonts w:ascii="Arial" w:eastAsia="Times New Roman" w:hAnsi="Arial" w:cs="Arial"/>
          <w:noProof/>
          <w:color w:val="000000" w:themeColor="text1"/>
          <w:sz w:val="24"/>
          <w:szCs w:val="24"/>
        </w:rPr>
        <w:t>(Schonhof, Krumbein and Brückner, 2004)</w:t>
      </w:r>
      <w:r>
        <w:rPr>
          <w:rFonts w:ascii="Arial" w:eastAsia="Times New Roman" w:hAnsi="Arial" w:cs="Arial"/>
          <w:color w:val="000000" w:themeColor="text1"/>
          <w:sz w:val="24"/>
          <w:szCs w:val="24"/>
        </w:rPr>
        <w:fldChar w:fldCharType="end"/>
      </w:r>
      <w:r w:rsidRPr="002B3D8A">
        <w:rPr>
          <w:rFonts w:ascii="Arial" w:eastAsia="Times New Roman" w:hAnsi="Arial" w:cs="Arial"/>
          <w:i/>
          <w:color w:val="000000" w:themeColor="text1"/>
          <w:sz w:val="24"/>
          <w:szCs w:val="24"/>
        </w:rPr>
        <w:t xml:space="preserve"> </w:t>
      </w:r>
      <w:r w:rsidRPr="002B3D8A">
        <w:rPr>
          <w:rFonts w:ascii="Arial" w:eastAsia="Times New Roman" w:hAnsi="Arial" w:cs="Arial"/>
          <w:color w:val="000000" w:themeColor="text1"/>
          <w:sz w:val="24"/>
          <w:szCs w:val="24"/>
        </w:rPr>
        <w:t>and the latter</w:t>
      </w:r>
      <w:r w:rsidRPr="002B3D8A">
        <w:rPr>
          <w:rFonts w:ascii="Arial" w:eastAsia="Times New Roman" w:hAnsi="Arial" w:cs="Arial"/>
          <w:i/>
          <w:color w:val="000000" w:themeColor="text1"/>
          <w:sz w:val="24"/>
          <w:szCs w:val="24"/>
        </w:rPr>
        <w:t xml:space="preserve"> </w:t>
      </w:r>
      <w:r w:rsidRPr="002B3D8A">
        <w:rPr>
          <w:rFonts w:ascii="Arial" w:eastAsia="Times New Roman" w:hAnsi="Arial" w:cs="Arial"/>
          <w:color w:val="000000" w:themeColor="text1"/>
          <w:sz w:val="24"/>
          <w:szCs w:val="24"/>
        </w:rPr>
        <w:t xml:space="preserve">do not produce isothiocyanates (ITCs) and are therefore not relevant in biofumigation. </w:t>
      </w:r>
      <w:r>
        <w:rPr>
          <w:rFonts w:ascii="Arial" w:eastAsia="Times New Roman" w:hAnsi="Arial" w:cs="Arial"/>
          <w:color w:val="000000" w:themeColor="text1"/>
          <w:sz w:val="24"/>
          <w:szCs w:val="24"/>
        </w:rPr>
        <w:t xml:space="preserve">Table 3 below illustrates the nomenclature, source and structure of different glucosinolates </w:t>
      </w:r>
    </w:p>
    <w:p w14:paraId="0C40CCA5" w14:textId="77777777" w:rsidR="008D5603" w:rsidRDefault="008D5603" w:rsidP="00616CDC">
      <w:pPr>
        <w:ind w:left="-426" w:firstLine="426"/>
        <w:jc w:val="both"/>
        <w:rPr>
          <w:rFonts w:ascii="Arial" w:hAnsi="Arial" w:cs="Arial"/>
          <w:color w:val="000000" w:themeColor="text1"/>
        </w:rPr>
      </w:pPr>
    </w:p>
    <w:p w14:paraId="32CF37F8" w14:textId="77777777" w:rsidR="008D5603" w:rsidRDefault="008D5603" w:rsidP="007375EA">
      <w:pPr>
        <w:jc w:val="both"/>
        <w:rPr>
          <w:rFonts w:ascii="Arial" w:hAnsi="Arial" w:cs="Arial"/>
          <w:color w:val="000000" w:themeColor="text1"/>
        </w:rPr>
      </w:pPr>
    </w:p>
    <w:p w14:paraId="52C760BC" w14:textId="77777777" w:rsidR="008D5603" w:rsidRDefault="008D5603" w:rsidP="007375EA">
      <w:pPr>
        <w:jc w:val="both"/>
        <w:rPr>
          <w:rFonts w:ascii="Arial" w:hAnsi="Arial" w:cs="Arial"/>
          <w:color w:val="000000" w:themeColor="text1"/>
        </w:rPr>
      </w:pPr>
    </w:p>
    <w:p w14:paraId="6366BA6F" w14:textId="77777777" w:rsidR="008D5603" w:rsidRDefault="008D5603" w:rsidP="007375EA">
      <w:pPr>
        <w:jc w:val="both"/>
        <w:rPr>
          <w:rFonts w:ascii="Arial" w:hAnsi="Arial" w:cs="Arial"/>
          <w:color w:val="000000" w:themeColor="text1"/>
        </w:rPr>
      </w:pPr>
    </w:p>
    <w:p w14:paraId="7EE32AA6" w14:textId="77777777" w:rsidR="008D5603" w:rsidRDefault="008D5603" w:rsidP="007375EA">
      <w:pPr>
        <w:jc w:val="both"/>
        <w:rPr>
          <w:rFonts w:ascii="Arial" w:hAnsi="Arial" w:cs="Arial"/>
          <w:color w:val="000000" w:themeColor="text1"/>
        </w:rPr>
      </w:pPr>
    </w:p>
    <w:p w14:paraId="442D1F37" w14:textId="77777777" w:rsidR="008D5603" w:rsidRDefault="008D5603" w:rsidP="007375EA">
      <w:pPr>
        <w:jc w:val="both"/>
        <w:rPr>
          <w:rFonts w:ascii="Arial" w:hAnsi="Arial" w:cs="Arial"/>
          <w:color w:val="000000" w:themeColor="text1"/>
        </w:rPr>
      </w:pPr>
    </w:p>
    <w:p w14:paraId="0155B9E9" w14:textId="77777777" w:rsidR="00753BB8" w:rsidRDefault="00753BB8" w:rsidP="007375EA">
      <w:pPr>
        <w:jc w:val="both"/>
        <w:rPr>
          <w:rFonts w:ascii="Arial" w:hAnsi="Arial" w:cs="Arial"/>
          <w:color w:val="000000" w:themeColor="text1"/>
        </w:rPr>
        <w:sectPr w:rsidR="00753BB8" w:rsidSect="00B27D90">
          <w:pgSz w:w="11906" w:h="16838"/>
          <w:pgMar w:top="1440" w:right="1440" w:bottom="1440" w:left="1440" w:header="708" w:footer="708" w:gutter="0"/>
          <w:cols w:space="708"/>
          <w:docGrid w:linePitch="360"/>
        </w:sectPr>
      </w:pPr>
    </w:p>
    <w:p w14:paraId="09FD8E12" w14:textId="6A8166E8" w:rsidR="008D5603" w:rsidRDefault="008D5603" w:rsidP="007375EA">
      <w:pPr>
        <w:jc w:val="both"/>
        <w:rPr>
          <w:rFonts w:ascii="Arial" w:hAnsi="Arial" w:cs="Arial"/>
          <w:color w:val="000000" w:themeColor="text1"/>
        </w:rPr>
      </w:pPr>
    </w:p>
    <w:p w14:paraId="6FF9D349" w14:textId="6588450E" w:rsidR="00BF6CAB" w:rsidRPr="00DD3BE0" w:rsidRDefault="00DD3BE0" w:rsidP="00DD3BE0">
      <w:pPr>
        <w:rPr>
          <w:rFonts w:ascii="Arial" w:eastAsia="Times New Roman" w:hAnsi="Arial" w:cs="Arial"/>
        </w:rPr>
      </w:pPr>
      <w:bookmarkStart w:id="31" w:name="_Toc110343301"/>
      <w:r w:rsidRPr="00DD3BE0">
        <w:rPr>
          <w:rFonts w:ascii="Arial" w:hAnsi="Arial" w:cs="Arial"/>
        </w:rPr>
        <w:t xml:space="preserve">Table </w:t>
      </w:r>
      <w:r w:rsidRPr="00DD3BE0">
        <w:rPr>
          <w:rFonts w:ascii="Arial" w:hAnsi="Arial" w:cs="Arial"/>
        </w:rPr>
        <w:fldChar w:fldCharType="begin"/>
      </w:r>
      <w:r w:rsidRPr="00DD3BE0">
        <w:rPr>
          <w:rFonts w:ascii="Arial" w:hAnsi="Arial" w:cs="Arial"/>
        </w:rPr>
        <w:instrText xml:space="preserve"> SEQ Table \* ARABIC </w:instrText>
      </w:r>
      <w:r w:rsidRPr="00DD3BE0">
        <w:rPr>
          <w:rFonts w:ascii="Arial" w:hAnsi="Arial" w:cs="Arial"/>
        </w:rPr>
        <w:fldChar w:fldCharType="separate"/>
      </w:r>
      <w:r>
        <w:rPr>
          <w:rFonts w:ascii="Arial" w:hAnsi="Arial" w:cs="Arial"/>
          <w:noProof/>
        </w:rPr>
        <w:t>2</w:t>
      </w:r>
      <w:r w:rsidRPr="00DD3BE0">
        <w:rPr>
          <w:rFonts w:ascii="Arial" w:hAnsi="Arial" w:cs="Arial"/>
        </w:rPr>
        <w:fldChar w:fldCharType="end"/>
      </w:r>
      <w:r w:rsidR="007375EA" w:rsidRPr="00DD3BE0">
        <w:rPr>
          <w:rFonts w:ascii="Arial" w:hAnsi="Arial" w:cs="Arial"/>
        </w:rPr>
        <w:t>: Glucosinolates nomenclature, source, structure and acronyms (Wathelet et.al., 2004)</w:t>
      </w:r>
      <w:bookmarkEnd w:id="31"/>
    </w:p>
    <w:tbl>
      <w:tblPr>
        <w:tblW w:w="9923" w:type="dxa"/>
        <w:tblLook w:val="04A0" w:firstRow="1" w:lastRow="0" w:firstColumn="1" w:lastColumn="0" w:noHBand="0" w:noVBand="1"/>
      </w:tblPr>
      <w:tblGrid>
        <w:gridCol w:w="2547"/>
        <w:gridCol w:w="2273"/>
        <w:gridCol w:w="2830"/>
        <w:gridCol w:w="2273"/>
      </w:tblGrid>
      <w:tr w:rsidR="007375EA" w:rsidRPr="002B3D8A" w14:paraId="26CF4A87" w14:textId="77777777" w:rsidTr="00A70C3D">
        <w:trPr>
          <w:trHeight w:val="416"/>
        </w:trPr>
        <w:tc>
          <w:tcPr>
            <w:tcW w:w="9923" w:type="dxa"/>
            <w:gridSpan w:val="4"/>
            <w:tcBorders>
              <w:top w:val="single" w:sz="4" w:space="0" w:color="auto"/>
              <w:bottom w:val="single" w:sz="4" w:space="0" w:color="auto"/>
            </w:tcBorders>
          </w:tcPr>
          <w:p w14:paraId="4AC29B5E" w14:textId="57339CC1" w:rsidR="007375EA" w:rsidRPr="002B3D8A" w:rsidRDefault="007375EA" w:rsidP="005A4D3A">
            <w:pPr>
              <w:spacing w:line="360" w:lineRule="auto"/>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Category 1: Aliphatic and Arylaliphatic</w:t>
            </w:r>
          </w:p>
        </w:tc>
      </w:tr>
      <w:tr w:rsidR="00A07F2C" w:rsidRPr="002B3D8A" w14:paraId="72D784CD" w14:textId="77777777" w:rsidTr="00A70C3D">
        <w:trPr>
          <w:trHeight w:val="396"/>
        </w:trPr>
        <w:tc>
          <w:tcPr>
            <w:tcW w:w="2547" w:type="dxa"/>
            <w:tcBorders>
              <w:top w:val="single" w:sz="4" w:space="0" w:color="auto"/>
              <w:bottom w:val="single" w:sz="4" w:space="0" w:color="auto"/>
              <w:right w:val="single" w:sz="4" w:space="0" w:color="auto"/>
            </w:tcBorders>
          </w:tcPr>
          <w:p w14:paraId="79A5673B" w14:textId="50C79640" w:rsidR="00A07F2C" w:rsidRPr="002B3D8A" w:rsidRDefault="00A07F2C" w:rsidP="005A4D3A">
            <w:pPr>
              <w:spacing w:line="360" w:lineRule="auto"/>
              <w:jc w:val="both"/>
              <w:rPr>
                <w:rFonts w:ascii="Arial" w:eastAsia="Times New Roman" w:hAnsi="Arial" w:cs="Arial"/>
                <w:b/>
                <w:color w:val="000000" w:themeColor="text1"/>
                <w:sz w:val="24"/>
                <w:szCs w:val="24"/>
              </w:rPr>
            </w:pPr>
            <w:proofErr w:type="spellStart"/>
            <w:r w:rsidRPr="002B3D8A">
              <w:rPr>
                <w:rFonts w:ascii="Arial" w:eastAsia="Times New Roman" w:hAnsi="Arial" w:cs="Arial"/>
                <w:b/>
                <w:color w:val="000000" w:themeColor="text1"/>
                <w:sz w:val="24"/>
                <w:szCs w:val="24"/>
              </w:rPr>
              <w:t>Glucosinolate</w:t>
            </w:r>
            <w:proofErr w:type="spellEnd"/>
            <w:r w:rsidRPr="002B3D8A">
              <w:rPr>
                <w:rFonts w:ascii="Arial" w:eastAsia="Times New Roman" w:hAnsi="Arial" w:cs="Arial"/>
                <w:b/>
                <w:color w:val="000000" w:themeColor="text1"/>
                <w:sz w:val="24"/>
                <w:szCs w:val="24"/>
              </w:rPr>
              <w:t xml:space="preserve"> </w:t>
            </w:r>
          </w:p>
        </w:tc>
        <w:tc>
          <w:tcPr>
            <w:tcW w:w="2273" w:type="dxa"/>
            <w:tcBorders>
              <w:top w:val="single" w:sz="4" w:space="0" w:color="auto"/>
              <w:left w:val="single" w:sz="4" w:space="0" w:color="auto"/>
              <w:bottom w:val="single" w:sz="4" w:space="0" w:color="auto"/>
              <w:right w:val="single" w:sz="4" w:space="0" w:color="auto"/>
            </w:tcBorders>
          </w:tcPr>
          <w:p w14:paraId="59764E8C" w14:textId="13DBF66F" w:rsidR="00A07F2C" w:rsidRPr="002B3D8A" w:rsidRDefault="00A07F2C" w:rsidP="00A65A4C">
            <w:pPr>
              <w:spacing w:line="360" w:lineRule="auto"/>
              <w:jc w:val="both"/>
              <w:rPr>
                <w:rFonts w:ascii="Arial" w:eastAsia="Times New Roman" w:hAnsi="Arial" w:cs="Arial"/>
                <w:b/>
                <w:color w:val="000000" w:themeColor="text1"/>
                <w:sz w:val="24"/>
                <w:szCs w:val="24"/>
              </w:rPr>
            </w:pPr>
            <w:r w:rsidRPr="002B3D8A">
              <w:rPr>
                <w:rFonts w:ascii="Arial" w:eastAsia="Times New Roman" w:hAnsi="Arial" w:cs="Arial"/>
                <w:b/>
                <w:color w:val="000000" w:themeColor="text1"/>
                <w:sz w:val="24"/>
                <w:szCs w:val="24"/>
              </w:rPr>
              <w:t xml:space="preserve">Source </w:t>
            </w:r>
          </w:p>
        </w:tc>
        <w:tc>
          <w:tcPr>
            <w:tcW w:w="2830" w:type="dxa"/>
            <w:tcBorders>
              <w:top w:val="single" w:sz="4" w:space="0" w:color="auto"/>
              <w:left w:val="single" w:sz="4" w:space="0" w:color="auto"/>
              <w:bottom w:val="single" w:sz="4" w:space="0" w:color="auto"/>
              <w:right w:val="single" w:sz="4" w:space="0" w:color="auto"/>
            </w:tcBorders>
          </w:tcPr>
          <w:p w14:paraId="2AB0447A" w14:textId="7889CA5A" w:rsidR="00A07F2C" w:rsidRPr="002B3D8A" w:rsidRDefault="00A07F2C">
            <w:pPr>
              <w:spacing w:line="360" w:lineRule="auto"/>
              <w:jc w:val="both"/>
              <w:rPr>
                <w:rFonts w:ascii="Arial" w:eastAsia="Times New Roman" w:hAnsi="Arial" w:cs="Arial"/>
                <w:b/>
                <w:color w:val="000000" w:themeColor="text1"/>
                <w:sz w:val="24"/>
                <w:szCs w:val="24"/>
              </w:rPr>
            </w:pPr>
            <w:r w:rsidRPr="002B3D8A">
              <w:rPr>
                <w:rFonts w:ascii="Arial" w:eastAsia="Times New Roman" w:hAnsi="Arial" w:cs="Arial"/>
                <w:b/>
                <w:color w:val="000000" w:themeColor="text1"/>
                <w:sz w:val="24"/>
                <w:szCs w:val="24"/>
              </w:rPr>
              <w:t xml:space="preserve">Side chain </w:t>
            </w:r>
          </w:p>
        </w:tc>
        <w:tc>
          <w:tcPr>
            <w:tcW w:w="2273" w:type="dxa"/>
            <w:tcBorders>
              <w:top w:val="single" w:sz="4" w:space="0" w:color="auto"/>
              <w:left w:val="single" w:sz="4" w:space="0" w:color="auto"/>
              <w:bottom w:val="single" w:sz="4" w:space="0" w:color="auto"/>
            </w:tcBorders>
          </w:tcPr>
          <w:p w14:paraId="473FBA36" w14:textId="5924CA37" w:rsidR="00A07F2C" w:rsidRPr="002B3D8A" w:rsidRDefault="00A07F2C">
            <w:pPr>
              <w:spacing w:line="360" w:lineRule="auto"/>
              <w:jc w:val="both"/>
              <w:rPr>
                <w:rFonts w:ascii="Arial" w:eastAsia="Times New Roman" w:hAnsi="Arial" w:cs="Arial"/>
                <w:b/>
                <w:color w:val="000000" w:themeColor="text1"/>
                <w:sz w:val="24"/>
                <w:szCs w:val="24"/>
              </w:rPr>
            </w:pPr>
            <w:r w:rsidRPr="002B3D8A">
              <w:rPr>
                <w:rFonts w:ascii="Arial" w:eastAsia="Times New Roman" w:hAnsi="Arial" w:cs="Arial"/>
                <w:b/>
                <w:color w:val="000000" w:themeColor="text1"/>
                <w:sz w:val="24"/>
                <w:szCs w:val="24"/>
              </w:rPr>
              <w:t xml:space="preserve">Acronym </w:t>
            </w:r>
          </w:p>
        </w:tc>
      </w:tr>
      <w:tr w:rsidR="00A07F2C" w:rsidRPr="002B3D8A" w14:paraId="2EEF48B0" w14:textId="77777777" w:rsidTr="001716B4">
        <w:trPr>
          <w:trHeight w:val="330"/>
        </w:trPr>
        <w:tc>
          <w:tcPr>
            <w:tcW w:w="2547" w:type="dxa"/>
            <w:tcBorders>
              <w:top w:val="single" w:sz="4" w:space="0" w:color="auto"/>
              <w:right w:val="single" w:sz="4" w:space="0" w:color="auto"/>
            </w:tcBorders>
          </w:tcPr>
          <w:p w14:paraId="43DE5DD8" w14:textId="77777777" w:rsidR="00A07F2C" w:rsidRPr="002B3D8A" w:rsidRDefault="00A07F2C" w:rsidP="005A4D3A">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 xml:space="preserve">Sinalbin </w:t>
            </w:r>
          </w:p>
        </w:tc>
        <w:tc>
          <w:tcPr>
            <w:tcW w:w="2273" w:type="dxa"/>
            <w:tcBorders>
              <w:top w:val="single" w:sz="4" w:space="0" w:color="auto"/>
              <w:left w:val="single" w:sz="4" w:space="0" w:color="auto"/>
              <w:right w:val="single" w:sz="4" w:space="0" w:color="auto"/>
            </w:tcBorders>
          </w:tcPr>
          <w:p w14:paraId="44C2F4F2" w14:textId="77777777" w:rsidR="00A07F2C" w:rsidRPr="002B3D8A" w:rsidRDefault="00A07F2C" w:rsidP="00A65A4C">
            <w:pPr>
              <w:spacing w:line="360" w:lineRule="auto"/>
              <w:jc w:val="both"/>
              <w:rPr>
                <w:rFonts w:ascii="Arial" w:eastAsia="Times New Roman" w:hAnsi="Arial" w:cs="Arial"/>
                <w:i/>
                <w:color w:val="000000" w:themeColor="text1"/>
                <w:sz w:val="24"/>
                <w:szCs w:val="24"/>
              </w:rPr>
            </w:pPr>
            <w:r w:rsidRPr="002B3D8A">
              <w:rPr>
                <w:rFonts w:ascii="Arial" w:eastAsia="Times New Roman" w:hAnsi="Arial" w:cs="Arial"/>
                <w:i/>
                <w:color w:val="000000" w:themeColor="text1"/>
                <w:sz w:val="24"/>
                <w:szCs w:val="24"/>
              </w:rPr>
              <w:t xml:space="preserve">Sinapis alba </w:t>
            </w:r>
          </w:p>
        </w:tc>
        <w:tc>
          <w:tcPr>
            <w:tcW w:w="2830" w:type="dxa"/>
            <w:tcBorders>
              <w:top w:val="single" w:sz="4" w:space="0" w:color="auto"/>
              <w:left w:val="single" w:sz="4" w:space="0" w:color="auto"/>
              <w:right w:val="single" w:sz="4" w:space="0" w:color="auto"/>
            </w:tcBorders>
          </w:tcPr>
          <w:p w14:paraId="063BBAB7" w14:textId="77777777" w:rsidR="00A07F2C" w:rsidRPr="002B3D8A" w:rsidRDefault="00A07F2C">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4-hydroxybenzyl</w:t>
            </w:r>
          </w:p>
        </w:tc>
        <w:tc>
          <w:tcPr>
            <w:tcW w:w="2273" w:type="dxa"/>
            <w:tcBorders>
              <w:top w:val="single" w:sz="4" w:space="0" w:color="auto"/>
              <w:left w:val="single" w:sz="4" w:space="0" w:color="auto"/>
            </w:tcBorders>
          </w:tcPr>
          <w:p w14:paraId="3C76A6F1" w14:textId="77777777" w:rsidR="00A07F2C" w:rsidRPr="002B3D8A" w:rsidRDefault="00A07F2C">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 xml:space="preserve">SNB </w:t>
            </w:r>
          </w:p>
        </w:tc>
      </w:tr>
      <w:tr w:rsidR="00A07F2C" w:rsidRPr="002B3D8A" w14:paraId="07602278" w14:textId="77777777" w:rsidTr="00A70C3D">
        <w:tc>
          <w:tcPr>
            <w:tcW w:w="2547" w:type="dxa"/>
            <w:tcBorders>
              <w:right w:val="single" w:sz="4" w:space="0" w:color="auto"/>
            </w:tcBorders>
          </w:tcPr>
          <w:p w14:paraId="2CC45950" w14:textId="77777777" w:rsidR="00A07F2C" w:rsidRPr="002B3D8A" w:rsidRDefault="00A07F2C" w:rsidP="005A4D3A">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 xml:space="preserve">Sinigrin </w:t>
            </w:r>
          </w:p>
        </w:tc>
        <w:tc>
          <w:tcPr>
            <w:tcW w:w="2273" w:type="dxa"/>
            <w:tcBorders>
              <w:left w:val="single" w:sz="4" w:space="0" w:color="auto"/>
              <w:right w:val="single" w:sz="4" w:space="0" w:color="auto"/>
            </w:tcBorders>
          </w:tcPr>
          <w:p w14:paraId="03A30F95" w14:textId="77777777" w:rsidR="00A07F2C" w:rsidRPr="002B3D8A" w:rsidRDefault="00A07F2C" w:rsidP="00A65A4C">
            <w:pPr>
              <w:spacing w:line="360" w:lineRule="auto"/>
              <w:jc w:val="both"/>
              <w:rPr>
                <w:rFonts w:ascii="Arial" w:eastAsia="Times New Roman" w:hAnsi="Arial" w:cs="Arial"/>
                <w:i/>
                <w:color w:val="000000" w:themeColor="text1"/>
                <w:sz w:val="24"/>
                <w:szCs w:val="24"/>
              </w:rPr>
            </w:pPr>
            <w:r w:rsidRPr="002B3D8A">
              <w:rPr>
                <w:rFonts w:ascii="Arial" w:eastAsia="Times New Roman" w:hAnsi="Arial" w:cs="Arial"/>
                <w:i/>
                <w:color w:val="000000" w:themeColor="text1"/>
                <w:sz w:val="24"/>
                <w:szCs w:val="24"/>
              </w:rPr>
              <w:t xml:space="preserve">Brassica juncea </w:t>
            </w:r>
          </w:p>
        </w:tc>
        <w:tc>
          <w:tcPr>
            <w:tcW w:w="2830" w:type="dxa"/>
            <w:tcBorders>
              <w:left w:val="single" w:sz="4" w:space="0" w:color="auto"/>
              <w:right w:val="single" w:sz="4" w:space="0" w:color="auto"/>
            </w:tcBorders>
          </w:tcPr>
          <w:p w14:paraId="21997F7A" w14:textId="77777777" w:rsidR="00A07F2C" w:rsidRPr="002B3D8A" w:rsidRDefault="00A07F2C">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2-propenyl or allyl</w:t>
            </w:r>
          </w:p>
        </w:tc>
        <w:tc>
          <w:tcPr>
            <w:tcW w:w="2273" w:type="dxa"/>
            <w:tcBorders>
              <w:left w:val="single" w:sz="4" w:space="0" w:color="auto"/>
            </w:tcBorders>
          </w:tcPr>
          <w:p w14:paraId="18BC3594" w14:textId="77777777" w:rsidR="00A07F2C" w:rsidRPr="002B3D8A" w:rsidRDefault="00A07F2C">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 xml:space="preserve">SIN </w:t>
            </w:r>
          </w:p>
        </w:tc>
      </w:tr>
      <w:tr w:rsidR="00A07F2C" w:rsidRPr="002B3D8A" w14:paraId="27D7F920" w14:textId="77777777" w:rsidTr="00A70C3D">
        <w:tc>
          <w:tcPr>
            <w:tcW w:w="2547" w:type="dxa"/>
            <w:tcBorders>
              <w:right w:val="single" w:sz="4" w:space="0" w:color="auto"/>
            </w:tcBorders>
          </w:tcPr>
          <w:p w14:paraId="0E1715D0" w14:textId="77777777" w:rsidR="00A07F2C" w:rsidRPr="002B3D8A" w:rsidRDefault="00A07F2C" w:rsidP="005A4D3A">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 xml:space="preserve">Gluconapin </w:t>
            </w:r>
          </w:p>
        </w:tc>
        <w:tc>
          <w:tcPr>
            <w:tcW w:w="2273" w:type="dxa"/>
            <w:tcBorders>
              <w:left w:val="single" w:sz="4" w:space="0" w:color="auto"/>
              <w:right w:val="single" w:sz="4" w:space="0" w:color="auto"/>
            </w:tcBorders>
          </w:tcPr>
          <w:p w14:paraId="26AC733A" w14:textId="77777777" w:rsidR="00A07F2C" w:rsidRPr="002B3D8A" w:rsidRDefault="00A07F2C" w:rsidP="00A65A4C">
            <w:pPr>
              <w:spacing w:line="360" w:lineRule="auto"/>
              <w:jc w:val="both"/>
              <w:rPr>
                <w:rFonts w:ascii="Arial" w:eastAsia="Times New Roman" w:hAnsi="Arial" w:cs="Arial"/>
                <w:i/>
                <w:color w:val="000000" w:themeColor="text1"/>
                <w:sz w:val="24"/>
                <w:szCs w:val="24"/>
              </w:rPr>
            </w:pPr>
            <w:r w:rsidRPr="002B3D8A">
              <w:rPr>
                <w:rFonts w:ascii="Arial" w:eastAsia="Times New Roman" w:hAnsi="Arial" w:cs="Arial"/>
                <w:i/>
                <w:color w:val="000000" w:themeColor="text1"/>
                <w:sz w:val="24"/>
                <w:szCs w:val="24"/>
              </w:rPr>
              <w:t xml:space="preserve">Brassica rapa </w:t>
            </w:r>
          </w:p>
        </w:tc>
        <w:tc>
          <w:tcPr>
            <w:tcW w:w="2830" w:type="dxa"/>
            <w:tcBorders>
              <w:left w:val="single" w:sz="4" w:space="0" w:color="auto"/>
              <w:right w:val="single" w:sz="4" w:space="0" w:color="auto"/>
            </w:tcBorders>
          </w:tcPr>
          <w:p w14:paraId="40CD476B" w14:textId="77777777" w:rsidR="00A07F2C" w:rsidRPr="002B3D8A" w:rsidRDefault="00A07F2C">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 xml:space="preserve">3-butenyl </w:t>
            </w:r>
          </w:p>
        </w:tc>
        <w:tc>
          <w:tcPr>
            <w:tcW w:w="2273" w:type="dxa"/>
            <w:tcBorders>
              <w:left w:val="single" w:sz="4" w:space="0" w:color="auto"/>
            </w:tcBorders>
          </w:tcPr>
          <w:p w14:paraId="1E39BB6D" w14:textId="77777777" w:rsidR="00A07F2C" w:rsidRPr="002B3D8A" w:rsidRDefault="00A07F2C">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GNA</w:t>
            </w:r>
          </w:p>
        </w:tc>
      </w:tr>
      <w:tr w:rsidR="00A07F2C" w:rsidRPr="002B3D8A" w14:paraId="3FFC3B49" w14:textId="77777777" w:rsidTr="00A70C3D">
        <w:tc>
          <w:tcPr>
            <w:tcW w:w="2547" w:type="dxa"/>
            <w:tcBorders>
              <w:right w:val="single" w:sz="4" w:space="0" w:color="auto"/>
            </w:tcBorders>
          </w:tcPr>
          <w:p w14:paraId="237D00C4" w14:textId="77777777" w:rsidR="00A07F2C" w:rsidRPr="002B3D8A" w:rsidRDefault="00A07F2C" w:rsidP="005A4D3A">
            <w:pPr>
              <w:spacing w:line="360" w:lineRule="auto"/>
              <w:jc w:val="both"/>
              <w:rPr>
                <w:rFonts w:ascii="Arial" w:eastAsia="Times New Roman" w:hAnsi="Arial" w:cs="Arial"/>
                <w:color w:val="000000" w:themeColor="text1"/>
                <w:sz w:val="24"/>
                <w:szCs w:val="24"/>
              </w:rPr>
            </w:pPr>
            <w:proofErr w:type="spellStart"/>
            <w:r w:rsidRPr="002B3D8A">
              <w:rPr>
                <w:rFonts w:ascii="Arial" w:eastAsia="Times New Roman" w:hAnsi="Arial" w:cs="Arial"/>
                <w:color w:val="000000" w:themeColor="text1"/>
                <w:sz w:val="24"/>
                <w:szCs w:val="24"/>
              </w:rPr>
              <w:t>Glucocapparin</w:t>
            </w:r>
            <w:proofErr w:type="spellEnd"/>
            <w:r w:rsidRPr="002B3D8A">
              <w:rPr>
                <w:rFonts w:ascii="Arial" w:eastAsia="Times New Roman" w:hAnsi="Arial" w:cs="Arial"/>
                <w:color w:val="000000" w:themeColor="text1"/>
                <w:sz w:val="24"/>
                <w:szCs w:val="24"/>
              </w:rPr>
              <w:t xml:space="preserve"> </w:t>
            </w:r>
          </w:p>
        </w:tc>
        <w:tc>
          <w:tcPr>
            <w:tcW w:w="2273" w:type="dxa"/>
            <w:tcBorders>
              <w:left w:val="single" w:sz="4" w:space="0" w:color="auto"/>
              <w:right w:val="single" w:sz="4" w:space="0" w:color="auto"/>
            </w:tcBorders>
          </w:tcPr>
          <w:p w14:paraId="0D932544" w14:textId="77777777" w:rsidR="00A07F2C" w:rsidRPr="002B3D8A" w:rsidRDefault="00A07F2C" w:rsidP="00A65A4C">
            <w:pPr>
              <w:spacing w:line="360" w:lineRule="auto"/>
              <w:jc w:val="both"/>
              <w:rPr>
                <w:rFonts w:ascii="Arial" w:eastAsia="Times New Roman" w:hAnsi="Arial" w:cs="Arial"/>
                <w:i/>
                <w:color w:val="000000" w:themeColor="text1"/>
                <w:sz w:val="24"/>
                <w:szCs w:val="24"/>
              </w:rPr>
            </w:pPr>
            <w:r w:rsidRPr="002B3D8A">
              <w:rPr>
                <w:rFonts w:ascii="Arial" w:eastAsia="Times New Roman" w:hAnsi="Arial" w:cs="Arial"/>
                <w:i/>
                <w:color w:val="000000" w:themeColor="text1"/>
                <w:sz w:val="24"/>
                <w:szCs w:val="24"/>
              </w:rPr>
              <w:t xml:space="preserve">Capparis spinosa </w:t>
            </w:r>
          </w:p>
        </w:tc>
        <w:tc>
          <w:tcPr>
            <w:tcW w:w="2830" w:type="dxa"/>
            <w:tcBorders>
              <w:left w:val="single" w:sz="4" w:space="0" w:color="auto"/>
              <w:right w:val="single" w:sz="4" w:space="0" w:color="auto"/>
            </w:tcBorders>
          </w:tcPr>
          <w:p w14:paraId="61094ECF" w14:textId="77777777" w:rsidR="00A07F2C" w:rsidRPr="002B3D8A" w:rsidRDefault="00A07F2C">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Methyl</w:t>
            </w:r>
          </w:p>
        </w:tc>
        <w:tc>
          <w:tcPr>
            <w:tcW w:w="2273" w:type="dxa"/>
            <w:tcBorders>
              <w:left w:val="single" w:sz="4" w:space="0" w:color="auto"/>
            </w:tcBorders>
          </w:tcPr>
          <w:p w14:paraId="3D214260" w14:textId="77777777" w:rsidR="00A07F2C" w:rsidRPr="002B3D8A" w:rsidRDefault="00A07F2C">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GCA</w:t>
            </w:r>
          </w:p>
        </w:tc>
      </w:tr>
      <w:tr w:rsidR="00A07F2C" w:rsidRPr="002B3D8A" w14:paraId="39CBD196" w14:textId="77777777" w:rsidTr="00A70C3D">
        <w:tc>
          <w:tcPr>
            <w:tcW w:w="2547" w:type="dxa"/>
            <w:tcBorders>
              <w:right w:val="single" w:sz="4" w:space="0" w:color="auto"/>
            </w:tcBorders>
          </w:tcPr>
          <w:p w14:paraId="4A7B3443" w14:textId="77777777" w:rsidR="00A07F2C" w:rsidRPr="002B3D8A" w:rsidRDefault="00A07F2C" w:rsidP="005A4D3A">
            <w:pPr>
              <w:spacing w:line="360" w:lineRule="auto"/>
              <w:jc w:val="both"/>
              <w:rPr>
                <w:rFonts w:ascii="Arial" w:eastAsia="Times New Roman" w:hAnsi="Arial" w:cs="Arial"/>
                <w:color w:val="000000" w:themeColor="text1"/>
                <w:sz w:val="24"/>
                <w:szCs w:val="24"/>
              </w:rPr>
            </w:pPr>
            <w:proofErr w:type="spellStart"/>
            <w:r w:rsidRPr="002B3D8A">
              <w:rPr>
                <w:rFonts w:ascii="Arial" w:eastAsia="Times New Roman" w:hAnsi="Arial" w:cs="Arial"/>
                <w:color w:val="000000" w:themeColor="text1"/>
                <w:sz w:val="24"/>
                <w:szCs w:val="24"/>
              </w:rPr>
              <w:t>Glucobarbarin</w:t>
            </w:r>
            <w:proofErr w:type="spellEnd"/>
            <w:r w:rsidRPr="002B3D8A">
              <w:rPr>
                <w:rFonts w:ascii="Arial" w:eastAsia="Times New Roman" w:hAnsi="Arial" w:cs="Arial"/>
                <w:color w:val="000000" w:themeColor="text1"/>
                <w:sz w:val="24"/>
                <w:szCs w:val="24"/>
              </w:rPr>
              <w:t xml:space="preserve"> </w:t>
            </w:r>
          </w:p>
        </w:tc>
        <w:tc>
          <w:tcPr>
            <w:tcW w:w="2273" w:type="dxa"/>
            <w:tcBorders>
              <w:left w:val="single" w:sz="4" w:space="0" w:color="auto"/>
              <w:right w:val="single" w:sz="4" w:space="0" w:color="auto"/>
            </w:tcBorders>
          </w:tcPr>
          <w:p w14:paraId="7390D8E3" w14:textId="77777777" w:rsidR="00A07F2C" w:rsidRPr="002B3D8A" w:rsidRDefault="00A07F2C" w:rsidP="00A65A4C">
            <w:pPr>
              <w:spacing w:line="360" w:lineRule="auto"/>
              <w:jc w:val="both"/>
              <w:rPr>
                <w:rFonts w:ascii="Arial" w:eastAsia="Times New Roman" w:hAnsi="Arial" w:cs="Arial"/>
                <w:i/>
                <w:color w:val="000000" w:themeColor="text1"/>
                <w:sz w:val="24"/>
                <w:szCs w:val="24"/>
              </w:rPr>
            </w:pPr>
            <w:r w:rsidRPr="002B3D8A">
              <w:rPr>
                <w:rFonts w:ascii="Arial" w:eastAsia="Times New Roman" w:hAnsi="Arial" w:cs="Arial"/>
                <w:i/>
                <w:color w:val="000000" w:themeColor="text1"/>
                <w:sz w:val="24"/>
                <w:szCs w:val="24"/>
              </w:rPr>
              <w:t xml:space="preserve">Barbarea vulgaris </w:t>
            </w:r>
          </w:p>
        </w:tc>
        <w:tc>
          <w:tcPr>
            <w:tcW w:w="2830" w:type="dxa"/>
            <w:tcBorders>
              <w:left w:val="single" w:sz="4" w:space="0" w:color="auto"/>
              <w:right w:val="single" w:sz="4" w:space="0" w:color="auto"/>
            </w:tcBorders>
          </w:tcPr>
          <w:p w14:paraId="16DD618C" w14:textId="77777777" w:rsidR="00A07F2C" w:rsidRPr="002B3D8A" w:rsidRDefault="00A07F2C">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 xml:space="preserve">(R)-2-hydroxy-2-phenelethyl </w:t>
            </w:r>
          </w:p>
        </w:tc>
        <w:tc>
          <w:tcPr>
            <w:tcW w:w="2273" w:type="dxa"/>
            <w:tcBorders>
              <w:left w:val="single" w:sz="4" w:space="0" w:color="auto"/>
            </w:tcBorders>
          </w:tcPr>
          <w:p w14:paraId="45F3ECAF" w14:textId="77777777" w:rsidR="00A07F2C" w:rsidRPr="002B3D8A" w:rsidRDefault="00A07F2C">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GBB</w:t>
            </w:r>
          </w:p>
        </w:tc>
      </w:tr>
      <w:tr w:rsidR="00A07F2C" w:rsidRPr="002B3D8A" w14:paraId="2301465F" w14:textId="77777777" w:rsidTr="00A70C3D">
        <w:tc>
          <w:tcPr>
            <w:tcW w:w="2547" w:type="dxa"/>
            <w:tcBorders>
              <w:right w:val="single" w:sz="4" w:space="0" w:color="auto"/>
            </w:tcBorders>
          </w:tcPr>
          <w:p w14:paraId="5B34436E" w14:textId="77777777" w:rsidR="00A07F2C" w:rsidRPr="002B3D8A" w:rsidRDefault="00A07F2C" w:rsidP="005A4D3A">
            <w:pPr>
              <w:spacing w:line="360" w:lineRule="auto"/>
              <w:jc w:val="both"/>
              <w:rPr>
                <w:rFonts w:ascii="Arial" w:eastAsia="Times New Roman" w:hAnsi="Arial" w:cs="Arial"/>
                <w:color w:val="000000" w:themeColor="text1"/>
                <w:sz w:val="24"/>
                <w:szCs w:val="24"/>
              </w:rPr>
            </w:pPr>
            <w:proofErr w:type="spellStart"/>
            <w:r w:rsidRPr="002B3D8A">
              <w:rPr>
                <w:rFonts w:ascii="Arial" w:eastAsia="Times New Roman" w:hAnsi="Arial" w:cs="Arial"/>
                <w:color w:val="000000" w:themeColor="text1"/>
                <w:sz w:val="24"/>
                <w:szCs w:val="24"/>
              </w:rPr>
              <w:t>Gluconarsturtin</w:t>
            </w:r>
            <w:proofErr w:type="spellEnd"/>
            <w:r w:rsidRPr="002B3D8A">
              <w:rPr>
                <w:rFonts w:ascii="Arial" w:eastAsia="Times New Roman" w:hAnsi="Arial" w:cs="Arial"/>
                <w:color w:val="000000" w:themeColor="text1"/>
                <w:sz w:val="24"/>
                <w:szCs w:val="24"/>
              </w:rPr>
              <w:t xml:space="preserve"> </w:t>
            </w:r>
          </w:p>
        </w:tc>
        <w:tc>
          <w:tcPr>
            <w:tcW w:w="2273" w:type="dxa"/>
            <w:tcBorders>
              <w:left w:val="single" w:sz="4" w:space="0" w:color="auto"/>
              <w:right w:val="single" w:sz="4" w:space="0" w:color="auto"/>
            </w:tcBorders>
          </w:tcPr>
          <w:p w14:paraId="7F0BA7ED" w14:textId="77777777" w:rsidR="00A07F2C" w:rsidRPr="002B3D8A" w:rsidRDefault="00A07F2C" w:rsidP="00A65A4C">
            <w:pPr>
              <w:spacing w:line="360" w:lineRule="auto"/>
              <w:jc w:val="both"/>
              <w:rPr>
                <w:rFonts w:ascii="Arial" w:eastAsia="Times New Roman" w:hAnsi="Arial" w:cs="Arial"/>
                <w:i/>
                <w:color w:val="000000" w:themeColor="text1"/>
                <w:sz w:val="24"/>
                <w:szCs w:val="24"/>
              </w:rPr>
            </w:pPr>
            <w:r w:rsidRPr="002B3D8A">
              <w:rPr>
                <w:rFonts w:ascii="Arial" w:eastAsia="Times New Roman" w:hAnsi="Arial" w:cs="Arial"/>
                <w:i/>
                <w:color w:val="000000" w:themeColor="text1"/>
                <w:sz w:val="24"/>
                <w:szCs w:val="24"/>
              </w:rPr>
              <w:t xml:space="preserve">Barbarea verna </w:t>
            </w:r>
          </w:p>
        </w:tc>
        <w:tc>
          <w:tcPr>
            <w:tcW w:w="2830" w:type="dxa"/>
            <w:tcBorders>
              <w:left w:val="single" w:sz="4" w:space="0" w:color="auto"/>
              <w:right w:val="single" w:sz="4" w:space="0" w:color="auto"/>
            </w:tcBorders>
          </w:tcPr>
          <w:p w14:paraId="7D362E8C" w14:textId="77777777" w:rsidR="00A07F2C" w:rsidRPr="002B3D8A" w:rsidRDefault="00A07F2C">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2-phenylethyl</w:t>
            </w:r>
          </w:p>
        </w:tc>
        <w:tc>
          <w:tcPr>
            <w:tcW w:w="2273" w:type="dxa"/>
            <w:tcBorders>
              <w:left w:val="single" w:sz="4" w:space="0" w:color="auto"/>
            </w:tcBorders>
          </w:tcPr>
          <w:p w14:paraId="22A4B004" w14:textId="77777777" w:rsidR="00A07F2C" w:rsidRPr="002B3D8A" w:rsidRDefault="00A07F2C">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GST</w:t>
            </w:r>
          </w:p>
        </w:tc>
      </w:tr>
      <w:tr w:rsidR="00A07F2C" w:rsidRPr="002B3D8A" w14:paraId="2BCB8BDA" w14:textId="77777777" w:rsidTr="00A70C3D">
        <w:tc>
          <w:tcPr>
            <w:tcW w:w="2547" w:type="dxa"/>
            <w:tcBorders>
              <w:right w:val="single" w:sz="4" w:space="0" w:color="auto"/>
            </w:tcBorders>
          </w:tcPr>
          <w:p w14:paraId="02F577D7" w14:textId="77777777" w:rsidR="00A07F2C" w:rsidRPr="002B3D8A" w:rsidRDefault="00A07F2C" w:rsidP="005A4D3A">
            <w:pPr>
              <w:spacing w:line="360" w:lineRule="auto"/>
              <w:jc w:val="both"/>
              <w:rPr>
                <w:rFonts w:ascii="Arial" w:eastAsia="Times New Roman" w:hAnsi="Arial" w:cs="Arial"/>
                <w:color w:val="000000" w:themeColor="text1"/>
                <w:sz w:val="24"/>
                <w:szCs w:val="24"/>
              </w:rPr>
            </w:pPr>
            <w:proofErr w:type="spellStart"/>
            <w:r w:rsidRPr="002B3D8A">
              <w:rPr>
                <w:rFonts w:ascii="Arial" w:eastAsia="Times New Roman" w:hAnsi="Arial" w:cs="Arial"/>
                <w:color w:val="000000" w:themeColor="text1"/>
                <w:sz w:val="24"/>
                <w:szCs w:val="24"/>
              </w:rPr>
              <w:t>Glucolimnanthin</w:t>
            </w:r>
            <w:proofErr w:type="spellEnd"/>
            <w:r w:rsidRPr="002B3D8A">
              <w:rPr>
                <w:rFonts w:ascii="Arial" w:eastAsia="Times New Roman" w:hAnsi="Arial" w:cs="Arial"/>
                <w:color w:val="000000" w:themeColor="text1"/>
                <w:sz w:val="24"/>
                <w:szCs w:val="24"/>
              </w:rPr>
              <w:t xml:space="preserve"> </w:t>
            </w:r>
          </w:p>
        </w:tc>
        <w:tc>
          <w:tcPr>
            <w:tcW w:w="2273" w:type="dxa"/>
            <w:tcBorders>
              <w:left w:val="single" w:sz="4" w:space="0" w:color="auto"/>
              <w:right w:val="single" w:sz="4" w:space="0" w:color="auto"/>
            </w:tcBorders>
          </w:tcPr>
          <w:p w14:paraId="1E0337F8" w14:textId="77777777" w:rsidR="00A07F2C" w:rsidRPr="002B3D8A" w:rsidRDefault="00A07F2C" w:rsidP="00A65A4C">
            <w:pPr>
              <w:spacing w:line="360" w:lineRule="auto"/>
              <w:jc w:val="both"/>
              <w:rPr>
                <w:rFonts w:ascii="Arial" w:eastAsia="Times New Roman" w:hAnsi="Arial" w:cs="Arial"/>
                <w:i/>
                <w:color w:val="000000" w:themeColor="text1"/>
                <w:sz w:val="24"/>
                <w:szCs w:val="24"/>
              </w:rPr>
            </w:pPr>
            <w:r w:rsidRPr="002B3D8A">
              <w:rPr>
                <w:rFonts w:ascii="Arial" w:eastAsia="Times New Roman" w:hAnsi="Arial" w:cs="Arial"/>
                <w:i/>
                <w:color w:val="000000" w:themeColor="text1"/>
                <w:sz w:val="24"/>
                <w:szCs w:val="24"/>
              </w:rPr>
              <w:t xml:space="preserve">Limnanthes sativum </w:t>
            </w:r>
          </w:p>
        </w:tc>
        <w:tc>
          <w:tcPr>
            <w:tcW w:w="2830" w:type="dxa"/>
            <w:tcBorders>
              <w:left w:val="single" w:sz="4" w:space="0" w:color="auto"/>
              <w:right w:val="single" w:sz="4" w:space="0" w:color="auto"/>
            </w:tcBorders>
          </w:tcPr>
          <w:p w14:paraId="7C86D5CC" w14:textId="77777777" w:rsidR="00A07F2C" w:rsidRPr="002B3D8A" w:rsidRDefault="00A07F2C">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3-methoxybenzyl GLI</w:t>
            </w:r>
          </w:p>
        </w:tc>
        <w:tc>
          <w:tcPr>
            <w:tcW w:w="2273" w:type="dxa"/>
            <w:tcBorders>
              <w:left w:val="single" w:sz="4" w:space="0" w:color="auto"/>
            </w:tcBorders>
          </w:tcPr>
          <w:p w14:paraId="5BC4E67F" w14:textId="77777777" w:rsidR="00A07F2C" w:rsidRPr="002B3D8A" w:rsidRDefault="00A07F2C">
            <w:pPr>
              <w:spacing w:line="360" w:lineRule="auto"/>
              <w:jc w:val="both"/>
              <w:rPr>
                <w:rFonts w:ascii="Arial" w:eastAsia="Times New Roman" w:hAnsi="Arial" w:cs="Arial"/>
                <w:color w:val="000000" w:themeColor="text1"/>
                <w:sz w:val="24"/>
                <w:szCs w:val="24"/>
              </w:rPr>
            </w:pPr>
          </w:p>
        </w:tc>
      </w:tr>
      <w:tr w:rsidR="00A07F2C" w:rsidRPr="002B3D8A" w14:paraId="197370B9" w14:textId="77777777" w:rsidTr="00747B2E">
        <w:tc>
          <w:tcPr>
            <w:tcW w:w="2547" w:type="dxa"/>
            <w:tcBorders>
              <w:right w:val="single" w:sz="4" w:space="0" w:color="auto"/>
            </w:tcBorders>
          </w:tcPr>
          <w:p w14:paraId="3AC0EB62" w14:textId="77777777" w:rsidR="00A07F2C" w:rsidRPr="002B3D8A" w:rsidRDefault="00A07F2C" w:rsidP="005A4D3A">
            <w:pPr>
              <w:spacing w:line="360" w:lineRule="auto"/>
              <w:jc w:val="both"/>
              <w:rPr>
                <w:rFonts w:ascii="Arial" w:eastAsia="Times New Roman" w:hAnsi="Arial" w:cs="Arial"/>
                <w:color w:val="000000" w:themeColor="text1"/>
                <w:sz w:val="24"/>
                <w:szCs w:val="24"/>
              </w:rPr>
            </w:pPr>
            <w:proofErr w:type="spellStart"/>
            <w:r w:rsidRPr="002B3D8A">
              <w:rPr>
                <w:rFonts w:ascii="Arial" w:eastAsia="Times New Roman" w:hAnsi="Arial" w:cs="Arial"/>
                <w:color w:val="000000" w:themeColor="text1"/>
                <w:sz w:val="24"/>
                <w:szCs w:val="24"/>
              </w:rPr>
              <w:t>Glucotropaeolin</w:t>
            </w:r>
            <w:proofErr w:type="spellEnd"/>
            <w:r w:rsidRPr="002B3D8A">
              <w:rPr>
                <w:rFonts w:ascii="Arial" w:eastAsia="Times New Roman" w:hAnsi="Arial" w:cs="Arial"/>
                <w:color w:val="000000" w:themeColor="text1"/>
                <w:sz w:val="24"/>
                <w:szCs w:val="24"/>
              </w:rPr>
              <w:t xml:space="preserve"> </w:t>
            </w:r>
          </w:p>
        </w:tc>
        <w:tc>
          <w:tcPr>
            <w:tcW w:w="2273" w:type="dxa"/>
            <w:tcBorders>
              <w:left w:val="single" w:sz="4" w:space="0" w:color="auto"/>
              <w:right w:val="single" w:sz="4" w:space="0" w:color="auto"/>
            </w:tcBorders>
          </w:tcPr>
          <w:p w14:paraId="1612E97E" w14:textId="77777777" w:rsidR="00A07F2C" w:rsidRPr="002B3D8A" w:rsidRDefault="00A07F2C" w:rsidP="00A65A4C">
            <w:pPr>
              <w:spacing w:line="360" w:lineRule="auto"/>
              <w:jc w:val="both"/>
              <w:rPr>
                <w:rFonts w:ascii="Arial" w:eastAsia="Times New Roman" w:hAnsi="Arial" w:cs="Arial"/>
                <w:i/>
                <w:color w:val="000000" w:themeColor="text1"/>
                <w:sz w:val="24"/>
                <w:szCs w:val="24"/>
              </w:rPr>
            </w:pPr>
            <w:r w:rsidRPr="002B3D8A">
              <w:rPr>
                <w:rFonts w:ascii="Arial" w:eastAsia="Times New Roman" w:hAnsi="Arial" w:cs="Arial"/>
                <w:i/>
                <w:color w:val="000000" w:themeColor="text1"/>
                <w:sz w:val="24"/>
                <w:szCs w:val="24"/>
              </w:rPr>
              <w:t xml:space="preserve">Lepidium sativum </w:t>
            </w:r>
          </w:p>
        </w:tc>
        <w:tc>
          <w:tcPr>
            <w:tcW w:w="2830" w:type="dxa"/>
            <w:tcBorders>
              <w:left w:val="single" w:sz="4" w:space="0" w:color="auto"/>
              <w:right w:val="single" w:sz="4" w:space="0" w:color="auto"/>
            </w:tcBorders>
          </w:tcPr>
          <w:p w14:paraId="6E9446E9" w14:textId="77777777" w:rsidR="00A07F2C" w:rsidRPr="002B3D8A" w:rsidRDefault="00A07F2C">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 xml:space="preserve">Benzyl </w:t>
            </w:r>
          </w:p>
        </w:tc>
        <w:tc>
          <w:tcPr>
            <w:tcW w:w="2273" w:type="dxa"/>
            <w:tcBorders>
              <w:left w:val="single" w:sz="4" w:space="0" w:color="auto"/>
            </w:tcBorders>
          </w:tcPr>
          <w:p w14:paraId="49714511" w14:textId="77777777" w:rsidR="00A07F2C" w:rsidRPr="002B3D8A" w:rsidRDefault="00A07F2C">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GTL</w:t>
            </w:r>
          </w:p>
        </w:tc>
      </w:tr>
      <w:tr w:rsidR="00A07F2C" w:rsidRPr="002B3D8A" w14:paraId="4E188975" w14:textId="77777777" w:rsidTr="00747B2E">
        <w:trPr>
          <w:trHeight w:val="375"/>
        </w:trPr>
        <w:tc>
          <w:tcPr>
            <w:tcW w:w="2547" w:type="dxa"/>
            <w:tcBorders>
              <w:bottom w:val="single" w:sz="4" w:space="0" w:color="auto"/>
              <w:right w:val="single" w:sz="4" w:space="0" w:color="auto"/>
            </w:tcBorders>
          </w:tcPr>
          <w:p w14:paraId="7CB830FC" w14:textId="77777777" w:rsidR="00A07F2C" w:rsidRPr="002B3D8A" w:rsidRDefault="00A07F2C" w:rsidP="005A4D3A">
            <w:pPr>
              <w:spacing w:line="360" w:lineRule="auto"/>
              <w:jc w:val="both"/>
              <w:rPr>
                <w:rFonts w:ascii="Arial" w:eastAsia="Times New Roman" w:hAnsi="Arial" w:cs="Arial"/>
                <w:color w:val="000000" w:themeColor="text1"/>
                <w:sz w:val="24"/>
                <w:szCs w:val="24"/>
              </w:rPr>
            </w:pPr>
            <w:proofErr w:type="spellStart"/>
            <w:r w:rsidRPr="002B3D8A">
              <w:rPr>
                <w:rFonts w:ascii="Arial" w:eastAsia="Times New Roman" w:hAnsi="Arial" w:cs="Arial"/>
                <w:color w:val="000000" w:themeColor="text1"/>
                <w:sz w:val="24"/>
                <w:szCs w:val="24"/>
              </w:rPr>
              <w:t>Glucobrassicanapin</w:t>
            </w:r>
            <w:proofErr w:type="spellEnd"/>
            <w:r w:rsidRPr="002B3D8A">
              <w:rPr>
                <w:rFonts w:ascii="Arial" w:eastAsia="Times New Roman" w:hAnsi="Arial" w:cs="Arial"/>
                <w:color w:val="000000" w:themeColor="text1"/>
                <w:sz w:val="24"/>
                <w:szCs w:val="24"/>
              </w:rPr>
              <w:t xml:space="preserve"> </w:t>
            </w:r>
          </w:p>
        </w:tc>
        <w:tc>
          <w:tcPr>
            <w:tcW w:w="2273" w:type="dxa"/>
            <w:tcBorders>
              <w:left w:val="single" w:sz="4" w:space="0" w:color="auto"/>
              <w:bottom w:val="single" w:sz="4" w:space="0" w:color="auto"/>
              <w:right w:val="single" w:sz="4" w:space="0" w:color="auto"/>
            </w:tcBorders>
          </w:tcPr>
          <w:p w14:paraId="413C3433" w14:textId="77777777" w:rsidR="00A07F2C" w:rsidRPr="002B3D8A" w:rsidRDefault="00A07F2C" w:rsidP="00A65A4C">
            <w:pPr>
              <w:spacing w:line="360" w:lineRule="auto"/>
              <w:jc w:val="both"/>
              <w:rPr>
                <w:rFonts w:ascii="Arial" w:eastAsia="Times New Roman" w:hAnsi="Arial" w:cs="Arial"/>
                <w:i/>
                <w:color w:val="000000" w:themeColor="text1"/>
                <w:sz w:val="24"/>
                <w:szCs w:val="24"/>
              </w:rPr>
            </w:pPr>
            <w:r w:rsidRPr="002B3D8A">
              <w:rPr>
                <w:rFonts w:ascii="Arial" w:eastAsia="Times New Roman" w:hAnsi="Arial" w:cs="Arial"/>
                <w:i/>
                <w:color w:val="000000" w:themeColor="text1"/>
                <w:sz w:val="24"/>
                <w:szCs w:val="24"/>
              </w:rPr>
              <w:t xml:space="preserve">Brassica rapa </w:t>
            </w:r>
          </w:p>
        </w:tc>
        <w:tc>
          <w:tcPr>
            <w:tcW w:w="2830" w:type="dxa"/>
            <w:tcBorders>
              <w:left w:val="single" w:sz="4" w:space="0" w:color="auto"/>
              <w:bottom w:val="single" w:sz="4" w:space="0" w:color="auto"/>
              <w:right w:val="single" w:sz="4" w:space="0" w:color="auto"/>
            </w:tcBorders>
          </w:tcPr>
          <w:p w14:paraId="3DAB5DB9" w14:textId="77777777" w:rsidR="00A07F2C" w:rsidRPr="002B3D8A" w:rsidRDefault="00A07F2C">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 xml:space="preserve">4-pentenyl </w:t>
            </w:r>
          </w:p>
        </w:tc>
        <w:tc>
          <w:tcPr>
            <w:tcW w:w="2273" w:type="dxa"/>
            <w:tcBorders>
              <w:left w:val="single" w:sz="4" w:space="0" w:color="auto"/>
              <w:bottom w:val="single" w:sz="4" w:space="0" w:color="auto"/>
            </w:tcBorders>
          </w:tcPr>
          <w:p w14:paraId="723749D6" w14:textId="77777777" w:rsidR="00A07F2C" w:rsidRPr="002B3D8A" w:rsidRDefault="00A07F2C">
            <w:pPr>
              <w:spacing w:line="360" w:lineRule="auto"/>
              <w:jc w:val="both"/>
              <w:rPr>
                <w:rFonts w:ascii="Arial" w:eastAsia="Times New Roman" w:hAnsi="Arial" w:cs="Arial"/>
                <w:color w:val="000000" w:themeColor="text1"/>
                <w:sz w:val="24"/>
                <w:szCs w:val="24"/>
              </w:rPr>
            </w:pPr>
          </w:p>
        </w:tc>
      </w:tr>
    </w:tbl>
    <w:p w14:paraId="6F6E13FA" w14:textId="77777777" w:rsidR="008D5603" w:rsidRDefault="008D5603">
      <w:pPr>
        <w:spacing w:line="240" w:lineRule="auto"/>
        <w:rPr>
          <w:rFonts w:ascii="Arial" w:eastAsia="Times New Roman" w:hAnsi="Arial" w:cs="Arial"/>
          <w:b/>
          <w:color w:val="000000" w:themeColor="text1"/>
          <w:sz w:val="24"/>
          <w:szCs w:val="24"/>
        </w:rPr>
      </w:pPr>
    </w:p>
    <w:tbl>
      <w:tblPr>
        <w:tblW w:w="9923" w:type="dxa"/>
        <w:tblLook w:val="04A0" w:firstRow="1" w:lastRow="0" w:firstColumn="1" w:lastColumn="0" w:noHBand="0" w:noVBand="1"/>
      </w:tblPr>
      <w:tblGrid>
        <w:gridCol w:w="2547"/>
        <w:gridCol w:w="2273"/>
        <w:gridCol w:w="2830"/>
        <w:gridCol w:w="2273"/>
      </w:tblGrid>
      <w:tr w:rsidR="008D5603" w:rsidRPr="002B3D8A" w14:paraId="607C198A" w14:textId="77777777" w:rsidTr="00A36645">
        <w:tc>
          <w:tcPr>
            <w:tcW w:w="9923" w:type="dxa"/>
            <w:gridSpan w:val="4"/>
            <w:tcBorders>
              <w:top w:val="single" w:sz="4" w:space="0" w:color="auto"/>
              <w:bottom w:val="single" w:sz="4" w:space="0" w:color="auto"/>
            </w:tcBorders>
          </w:tcPr>
          <w:p w14:paraId="13813FDF" w14:textId="77777777" w:rsidR="008D5603" w:rsidRPr="002B3D8A" w:rsidRDefault="008D5603" w:rsidP="00646DDF">
            <w:pPr>
              <w:spacing w:line="360" w:lineRule="auto"/>
              <w:rPr>
                <w:rFonts w:ascii="Arial" w:eastAsia="Times New Roman" w:hAnsi="Arial" w:cs="Arial"/>
                <w:b/>
                <w:color w:val="000000" w:themeColor="text1"/>
                <w:sz w:val="24"/>
                <w:szCs w:val="24"/>
              </w:rPr>
            </w:pPr>
            <w:r w:rsidRPr="002B3D8A">
              <w:rPr>
                <w:rFonts w:ascii="Arial" w:eastAsia="Times New Roman" w:hAnsi="Arial" w:cs="Arial"/>
                <w:b/>
                <w:color w:val="000000" w:themeColor="text1"/>
                <w:sz w:val="24"/>
                <w:szCs w:val="24"/>
              </w:rPr>
              <w:t xml:space="preserve">Category 2: </w:t>
            </w:r>
            <w:proofErr w:type="spellStart"/>
            <w:r w:rsidRPr="002B3D8A">
              <w:rPr>
                <w:rFonts w:ascii="Arial" w:eastAsia="Times New Roman" w:hAnsi="Arial" w:cs="Arial"/>
                <w:b/>
                <w:color w:val="000000" w:themeColor="text1"/>
                <w:sz w:val="24"/>
                <w:szCs w:val="24"/>
              </w:rPr>
              <w:t>Hydoxylated</w:t>
            </w:r>
            <w:proofErr w:type="spellEnd"/>
            <w:r w:rsidRPr="002B3D8A">
              <w:rPr>
                <w:rFonts w:ascii="Arial" w:eastAsia="Times New Roman" w:hAnsi="Arial" w:cs="Arial"/>
                <w:b/>
                <w:color w:val="000000" w:themeColor="text1"/>
                <w:sz w:val="24"/>
                <w:szCs w:val="24"/>
              </w:rPr>
              <w:t xml:space="preserve"> aliphatic</w:t>
            </w:r>
          </w:p>
        </w:tc>
      </w:tr>
      <w:tr w:rsidR="008D5603" w:rsidRPr="002B3D8A" w14:paraId="4973E691" w14:textId="77777777" w:rsidTr="00A36645">
        <w:tc>
          <w:tcPr>
            <w:tcW w:w="2547" w:type="dxa"/>
            <w:tcBorders>
              <w:top w:val="single" w:sz="4" w:space="0" w:color="auto"/>
              <w:right w:val="single" w:sz="4" w:space="0" w:color="auto"/>
            </w:tcBorders>
          </w:tcPr>
          <w:p w14:paraId="13ECA092" w14:textId="77777777" w:rsidR="008D5603" w:rsidRPr="002B3D8A" w:rsidRDefault="008D5603" w:rsidP="00646DDF">
            <w:pPr>
              <w:spacing w:line="360" w:lineRule="auto"/>
              <w:jc w:val="both"/>
              <w:rPr>
                <w:rFonts w:ascii="Arial" w:eastAsia="Times New Roman" w:hAnsi="Arial" w:cs="Arial"/>
                <w:color w:val="000000" w:themeColor="text1"/>
                <w:sz w:val="24"/>
                <w:szCs w:val="24"/>
              </w:rPr>
            </w:pPr>
            <w:proofErr w:type="spellStart"/>
            <w:r w:rsidRPr="002B3D8A">
              <w:rPr>
                <w:rFonts w:ascii="Arial" w:eastAsia="Times New Roman" w:hAnsi="Arial" w:cs="Arial"/>
                <w:color w:val="000000" w:themeColor="text1"/>
                <w:sz w:val="24"/>
                <w:szCs w:val="24"/>
              </w:rPr>
              <w:t>Protogoitrin</w:t>
            </w:r>
            <w:proofErr w:type="spellEnd"/>
            <w:r w:rsidRPr="002B3D8A">
              <w:rPr>
                <w:rFonts w:ascii="Arial" w:eastAsia="Times New Roman" w:hAnsi="Arial" w:cs="Arial"/>
                <w:color w:val="000000" w:themeColor="text1"/>
                <w:sz w:val="24"/>
                <w:szCs w:val="24"/>
              </w:rPr>
              <w:t xml:space="preserve"> </w:t>
            </w:r>
          </w:p>
        </w:tc>
        <w:tc>
          <w:tcPr>
            <w:tcW w:w="2273" w:type="dxa"/>
            <w:tcBorders>
              <w:top w:val="single" w:sz="4" w:space="0" w:color="auto"/>
              <w:left w:val="single" w:sz="4" w:space="0" w:color="auto"/>
              <w:right w:val="single" w:sz="4" w:space="0" w:color="auto"/>
            </w:tcBorders>
          </w:tcPr>
          <w:p w14:paraId="77D8C7EB" w14:textId="77777777" w:rsidR="008D5603" w:rsidRPr="002B3D8A" w:rsidRDefault="008D5603" w:rsidP="00646DDF">
            <w:pPr>
              <w:spacing w:line="360" w:lineRule="auto"/>
              <w:jc w:val="both"/>
              <w:rPr>
                <w:rFonts w:ascii="Arial" w:eastAsia="Times New Roman" w:hAnsi="Arial" w:cs="Arial"/>
                <w:i/>
                <w:color w:val="000000" w:themeColor="text1"/>
                <w:sz w:val="24"/>
                <w:szCs w:val="24"/>
              </w:rPr>
            </w:pPr>
            <w:r w:rsidRPr="002B3D8A">
              <w:rPr>
                <w:rFonts w:ascii="Arial" w:eastAsia="Times New Roman" w:hAnsi="Arial" w:cs="Arial"/>
                <w:i/>
                <w:color w:val="000000" w:themeColor="text1"/>
                <w:sz w:val="24"/>
                <w:szCs w:val="24"/>
              </w:rPr>
              <w:t xml:space="preserve">Brassica napus </w:t>
            </w:r>
          </w:p>
        </w:tc>
        <w:tc>
          <w:tcPr>
            <w:tcW w:w="2830" w:type="dxa"/>
            <w:tcBorders>
              <w:top w:val="single" w:sz="4" w:space="0" w:color="auto"/>
              <w:left w:val="single" w:sz="4" w:space="0" w:color="auto"/>
              <w:right w:val="single" w:sz="4" w:space="0" w:color="auto"/>
            </w:tcBorders>
          </w:tcPr>
          <w:p w14:paraId="527A7C21" w14:textId="77777777" w:rsidR="008D5603" w:rsidRPr="002B3D8A" w:rsidRDefault="008D5603" w:rsidP="00646DDF">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 xml:space="preserve">(R)-2-hydroxy-3-butenyl </w:t>
            </w:r>
          </w:p>
        </w:tc>
        <w:tc>
          <w:tcPr>
            <w:tcW w:w="2273" w:type="dxa"/>
            <w:tcBorders>
              <w:top w:val="single" w:sz="4" w:space="0" w:color="auto"/>
              <w:left w:val="single" w:sz="4" w:space="0" w:color="auto"/>
            </w:tcBorders>
          </w:tcPr>
          <w:p w14:paraId="3FF8DE45" w14:textId="77777777" w:rsidR="008D5603" w:rsidRPr="002B3D8A" w:rsidRDefault="008D5603" w:rsidP="00646DDF">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PRO</w:t>
            </w:r>
          </w:p>
        </w:tc>
      </w:tr>
      <w:tr w:rsidR="008D5603" w:rsidRPr="002B3D8A" w14:paraId="61289CF5" w14:textId="77777777" w:rsidTr="00A36645">
        <w:tc>
          <w:tcPr>
            <w:tcW w:w="2547" w:type="dxa"/>
            <w:tcBorders>
              <w:right w:val="single" w:sz="4" w:space="0" w:color="auto"/>
            </w:tcBorders>
          </w:tcPr>
          <w:p w14:paraId="7E6118EC" w14:textId="77777777" w:rsidR="008D5603" w:rsidRPr="002B3D8A" w:rsidRDefault="008D5603" w:rsidP="00646DDF">
            <w:pPr>
              <w:spacing w:line="360" w:lineRule="auto"/>
              <w:jc w:val="both"/>
              <w:rPr>
                <w:rFonts w:ascii="Arial" w:eastAsia="Times New Roman" w:hAnsi="Arial" w:cs="Arial"/>
                <w:color w:val="000000" w:themeColor="text1"/>
                <w:sz w:val="24"/>
                <w:szCs w:val="24"/>
              </w:rPr>
            </w:pPr>
            <w:proofErr w:type="spellStart"/>
            <w:r w:rsidRPr="002B3D8A">
              <w:rPr>
                <w:rFonts w:ascii="Arial" w:eastAsia="Times New Roman" w:hAnsi="Arial" w:cs="Arial"/>
                <w:color w:val="000000" w:themeColor="text1"/>
                <w:sz w:val="24"/>
                <w:szCs w:val="24"/>
              </w:rPr>
              <w:t>Glucosisymbrin</w:t>
            </w:r>
            <w:proofErr w:type="spellEnd"/>
            <w:r w:rsidRPr="002B3D8A">
              <w:rPr>
                <w:rFonts w:ascii="Arial" w:eastAsia="Times New Roman" w:hAnsi="Arial" w:cs="Arial"/>
                <w:color w:val="000000" w:themeColor="text1"/>
                <w:sz w:val="24"/>
                <w:szCs w:val="24"/>
              </w:rPr>
              <w:t xml:space="preserve"> </w:t>
            </w:r>
          </w:p>
        </w:tc>
        <w:tc>
          <w:tcPr>
            <w:tcW w:w="2273" w:type="dxa"/>
            <w:tcBorders>
              <w:left w:val="single" w:sz="4" w:space="0" w:color="auto"/>
              <w:right w:val="single" w:sz="4" w:space="0" w:color="auto"/>
            </w:tcBorders>
          </w:tcPr>
          <w:p w14:paraId="6E06042D" w14:textId="77777777" w:rsidR="008D5603" w:rsidRPr="002B3D8A" w:rsidRDefault="008D5603" w:rsidP="00646DDF">
            <w:pPr>
              <w:spacing w:line="360" w:lineRule="auto"/>
              <w:jc w:val="both"/>
              <w:rPr>
                <w:rFonts w:ascii="Arial" w:eastAsia="Times New Roman" w:hAnsi="Arial" w:cs="Arial"/>
                <w:i/>
                <w:color w:val="000000" w:themeColor="text1"/>
                <w:sz w:val="24"/>
                <w:szCs w:val="24"/>
              </w:rPr>
            </w:pPr>
            <w:r w:rsidRPr="002B3D8A">
              <w:rPr>
                <w:rFonts w:ascii="Arial" w:eastAsia="Times New Roman" w:hAnsi="Arial" w:cs="Arial"/>
                <w:i/>
                <w:color w:val="000000" w:themeColor="text1"/>
                <w:sz w:val="24"/>
                <w:szCs w:val="24"/>
              </w:rPr>
              <w:t xml:space="preserve">Sisymbrium </w:t>
            </w:r>
            <w:proofErr w:type="spellStart"/>
            <w:r w:rsidRPr="002B3D8A">
              <w:rPr>
                <w:rFonts w:ascii="Arial" w:eastAsia="Times New Roman" w:hAnsi="Arial" w:cs="Arial"/>
                <w:i/>
                <w:color w:val="000000" w:themeColor="text1"/>
                <w:sz w:val="24"/>
                <w:szCs w:val="24"/>
              </w:rPr>
              <w:t>loesilii</w:t>
            </w:r>
            <w:proofErr w:type="spellEnd"/>
          </w:p>
        </w:tc>
        <w:tc>
          <w:tcPr>
            <w:tcW w:w="2830" w:type="dxa"/>
            <w:tcBorders>
              <w:left w:val="single" w:sz="4" w:space="0" w:color="auto"/>
              <w:right w:val="single" w:sz="4" w:space="0" w:color="auto"/>
            </w:tcBorders>
          </w:tcPr>
          <w:p w14:paraId="77DB28A8" w14:textId="77777777" w:rsidR="008D5603" w:rsidRPr="002B3D8A" w:rsidRDefault="008D5603" w:rsidP="00646DDF">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2-hydroxy-1-methylethyl</w:t>
            </w:r>
          </w:p>
        </w:tc>
        <w:tc>
          <w:tcPr>
            <w:tcW w:w="2273" w:type="dxa"/>
            <w:tcBorders>
              <w:left w:val="single" w:sz="4" w:space="0" w:color="auto"/>
            </w:tcBorders>
          </w:tcPr>
          <w:p w14:paraId="2DB3AE0B" w14:textId="77777777" w:rsidR="008D5603" w:rsidRPr="002B3D8A" w:rsidRDefault="008D5603" w:rsidP="00646DDF">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GSY</w:t>
            </w:r>
          </w:p>
        </w:tc>
      </w:tr>
      <w:tr w:rsidR="008D5603" w:rsidRPr="002B3D8A" w14:paraId="2CB13014" w14:textId="77777777" w:rsidTr="00A36645">
        <w:tc>
          <w:tcPr>
            <w:tcW w:w="2547" w:type="dxa"/>
            <w:tcBorders>
              <w:right w:val="single" w:sz="4" w:space="0" w:color="auto"/>
            </w:tcBorders>
          </w:tcPr>
          <w:p w14:paraId="6E1A4F59" w14:textId="77777777" w:rsidR="008D5603" w:rsidRPr="002B3D8A" w:rsidRDefault="008D5603" w:rsidP="00646DDF">
            <w:pPr>
              <w:spacing w:line="360" w:lineRule="auto"/>
              <w:jc w:val="both"/>
              <w:rPr>
                <w:rFonts w:ascii="Arial" w:eastAsia="Times New Roman" w:hAnsi="Arial" w:cs="Arial"/>
                <w:color w:val="000000" w:themeColor="text1"/>
                <w:sz w:val="24"/>
                <w:szCs w:val="24"/>
              </w:rPr>
            </w:pPr>
            <w:proofErr w:type="spellStart"/>
            <w:r w:rsidRPr="002B3D8A">
              <w:rPr>
                <w:rFonts w:ascii="Arial" w:eastAsia="Times New Roman" w:hAnsi="Arial" w:cs="Arial"/>
                <w:color w:val="000000" w:themeColor="text1"/>
                <w:sz w:val="24"/>
                <w:szCs w:val="24"/>
              </w:rPr>
              <w:t>Glucoringiin</w:t>
            </w:r>
            <w:proofErr w:type="spellEnd"/>
            <w:r w:rsidRPr="002B3D8A">
              <w:rPr>
                <w:rFonts w:ascii="Arial" w:eastAsia="Times New Roman" w:hAnsi="Arial" w:cs="Arial"/>
                <w:color w:val="000000" w:themeColor="text1"/>
                <w:sz w:val="24"/>
                <w:szCs w:val="24"/>
              </w:rPr>
              <w:t xml:space="preserve"> </w:t>
            </w:r>
          </w:p>
        </w:tc>
        <w:tc>
          <w:tcPr>
            <w:tcW w:w="2273" w:type="dxa"/>
            <w:tcBorders>
              <w:left w:val="single" w:sz="4" w:space="0" w:color="auto"/>
              <w:right w:val="single" w:sz="4" w:space="0" w:color="auto"/>
            </w:tcBorders>
          </w:tcPr>
          <w:p w14:paraId="0262FC34" w14:textId="77777777" w:rsidR="008D5603" w:rsidRPr="002B3D8A" w:rsidRDefault="008D5603" w:rsidP="00646DDF">
            <w:pPr>
              <w:spacing w:line="360" w:lineRule="auto"/>
              <w:jc w:val="both"/>
              <w:rPr>
                <w:rFonts w:ascii="Arial" w:eastAsia="Times New Roman" w:hAnsi="Arial" w:cs="Arial"/>
                <w:i/>
                <w:color w:val="000000" w:themeColor="text1"/>
                <w:sz w:val="24"/>
                <w:szCs w:val="24"/>
              </w:rPr>
            </w:pPr>
            <w:proofErr w:type="spellStart"/>
            <w:r w:rsidRPr="002B3D8A">
              <w:rPr>
                <w:rFonts w:ascii="Arial" w:eastAsia="Times New Roman" w:hAnsi="Arial" w:cs="Arial"/>
                <w:i/>
                <w:color w:val="000000" w:themeColor="text1"/>
                <w:sz w:val="24"/>
                <w:szCs w:val="24"/>
              </w:rPr>
              <w:t>Conringia</w:t>
            </w:r>
            <w:proofErr w:type="spellEnd"/>
            <w:r w:rsidRPr="002B3D8A">
              <w:rPr>
                <w:rFonts w:ascii="Arial" w:eastAsia="Times New Roman" w:hAnsi="Arial" w:cs="Arial"/>
                <w:i/>
                <w:color w:val="000000" w:themeColor="text1"/>
                <w:sz w:val="24"/>
                <w:szCs w:val="24"/>
              </w:rPr>
              <w:t xml:space="preserve"> </w:t>
            </w:r>
            <w:proofErr w:type="spellStart"/>
            <w:r w:rsidRPr="002B3D8A">
              <w:rPr>
                <w:rFonts w:ascii="Arial" w:eastAsia="Times New Roman" w:hAnsi="Arial" w:cs="Arial"/>
                <w:i/>
                <w:color w:val="000000" w:themeColor="text1"/>
                <w:sz w:val="24"/>
                <w:szCs w:val="24"/>
              </w:rPr>
              <w:t>orientalis</w:t>
            </w:r>
            <w:proofErr w:type="spellEnd"/>
            <w:r w:rsidRPr="002B3D8A">
              <w:rPr>
                <w:rFonts w:ascii="Arial" w:eastAsia="Times New Roman" w:hAnsi="Arial" w:cs="Arial"/>
                <w:i/>
                <w:color w:val="000000" w:themeColor="text1"/>
                <w:sz w:val="24"/>
                <w:szCs w:val="24"/>
              </w:rPr>
              <w:t xml:space="preserve"> </w:t>
            </w:r>
          </w:p>
        </w:tc>
        <w:tc>
          <w:tcPr>
            <w:tcW w:w="2830" w:type="dxa"/>
            <w:tcBorders>
              <w:left w:val="single" w:sz="4" w:space="0" w:color="auto"/>
              <w:right w:val="single" w:sz="4" w:space="0" w:color="auto"/>
            </w:tcBorders>
          </w:tcPr>
          <w:p w14:paraId="2A71F58A" w14:textId="77777777" w:rsidR="008D5603" w:rsidRPr="002B3D8A" w:rsidRDefault="008D5603" w:rsidP="00646DDF">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2-hydroxy-2-methylpropyl</w:t>
            </w:r>
          </w:p>
        </w:tc>
        <w:tc>
          <w:tcPr>
            <w:tcW w:w="2273" w:type="dxa"/>
            <w:tcBorders>
              <w:left w:val="single" w:sz="4" w:space="0" w:color="auto"/>
            </w:tcBorders>
          </w:tcPr>
          <w:p w14:paraId="70E56DC6" w14:textId="77777777" w:rsidR="008D5603" w:rsidRPr="002B3D8A" w:rsidRDefault="008D5603" w:rsidP="00646DDF">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GCN</w:t>
            </w:r>
          </w:p>
        </w:tc>
      </w:tr>
      <w:tr w:rsidR="008D5603" w:rsidRPr="002B3D8A" w14:paraId="205C39E2" w14:textId="77777777" w:rsidTr="00A36645">
        <w:tc>
          <w:tcPr>
            <w:tcW w:w="2547" w:type="dxa"/>
            <w:tcBorders>
              <w:right w:val="single" w:sz="4" w:space="0" w:color="auto"/>
            </w:tcBorders>
          </w:tcPr>
          <w:p w14:paraId="248E3F84" w14:textId="77777777" w:rsidR="008D5603" w:rsidRPr="002B3D8A" w:rsidRDefault="008D5603" w:rsidP="00646DDF">
            <w:pPr>
              <w:spacing w:line="360" w:lineRule="auto"/>
              <w:jc w:val="both"/>
              <w:rPr>
                <w:rFonts w:ascii="Arial" w:eastAsia="Times New Roman" w:hAnsi="Arial" w:cs="Arial"/>
                <w:color w:val="000000" w:themeColor="text1"/>
                <w:sz w:val="24"/>
                <w:szCs w:val="24"/>
              </w:rPr>
            </w:pPr>
            <w:proofErr w:type="spellStart"/>
            <w:r w:rsidRPr="002B3D8A">
              <w:rPr>
                <w:rFonts w:ascii="Arial" w:eastAsia="Times New Roman" w:hAnsi="Arial" w:cs="Arial"/>
                <w:color w:val="000000" w:themeColor="text1"/>
                <w:sz w:val="24"/>
                <w:szCs w:val="24"/>
              </w:rPr>
              <w:t>Glucoceomin</w:t>
            </w:r>
            <w:proofErr w:type="spellEnd"/>
            <w:r w:rsidRPr="002B3D8A">
              <w:rPr>
                <w:rFonts w:ascii="Arial" w:eastAsia="Times New Roman" w:hAnsi="Arial" w:cs="Arial"/>
                <w:color w:val="000000" w:themeColor="text1"/>
                <w:sz w:val="24"/>
                <w:szCs w:val="24"/>
              </w:rPr>
              <w:t xml:space="preserve"> </w:t>
            </w:r>
          </w:p>
        </w:tc>
        <w:tc>
          <w:tcPr>
            <w:tcW w:w="2273" w:type="dxa"/>
            <w:tcBorders>
              <w:left w:val="single" w:sz="4" w:space="0" w:color="auto"/>
              <w:right w:val="single" w:sz="4" w:space="0" w:color="auto"/>
            </w:tcBorders>
          </w:tcPr>
          <w:p w14:paraId="0027730A" w14:textId="77777777" w:rsidR="008D5603" w:rsidRPr="002B3D8A" w:rsidRDefault="008D5603" w:rsidP="00646DDF">
            <w:pPr>
              <w:spacing w:line="360" w:lineRule="auto"/>
              <w:jc w:val="both"/>
              <w:rPr>
                <w:rFonts w:ascii="Arial" w:eastAsia="Times New Roman" w:hAnsi="Arial" w:cs="Arial"/>
                <w:i/>
                <w:color w:val="000000" w:themeColor="text1"/>
                <w:sz w:val="24"/>
                <w:szCs w:val="24"/>
              </w:rPr>
            </w:pPr>
            <w:proofErr w:type="spellStart"/>
            <w:r w:rsidRPr="002B3D8A">
              <w:rPr>
                <w:rFonts w:ascii="Arial" w:eastAsia="Times New Roman" w:hAnsi="Arial" w:cs="Arial"/>
                <w:i/>
                <w:color w:val="000000" w:themeColor="text1"/>
                <w:sz w:val="24"/>
                <w:szCs w:val="24"/>
              </w:rPr>
              <w:t>Conringia</w:t>
            </w:r>
            <w:proofErr w:type="spellEnd"/>
            <w:r w:rsidRPr="002B3D8A">
              <w:rPr>
                <w:rFonts w:ascii="Arial" w:eastAsia="Times New Roman" w:hAnsi="Arial" w:cs="Arial"/>
                <w:i/>
                <w:color w:val="000000" w:themeColor="text1"/>
                <w:sz w:val="24"/>
                <w:szCs w:val="24"/>
              </w:rPr>
              <w:t xml:space="preserve"> </w:t>
            </w:r>
            <w:proofErr w:type="spellStart"/>
            <w:r w:rsidRPr="002B3D8A">
              <w:rPr>
                <w:rFonts w:ascii="Arial" w:eastAsia="Times New Roman" w:hAnsi="Arial" w:cs="Arial"/>
                <w:i/>
                <w:color w:val="000000" w:themeColor="text1"/>
                <w:sz w:val="24"/>
                <w:szCs w:val="24"/>
              </w:rPr>
              <w:t>orientalis</w:t>
            </w:r>
            <w:proofErr w:type="spellEnd"/>
            <w:r w:rsidRPr="002B3D8A">
              <w:rPr>
                <w:rFonts w:ascii="Arial" w:eastAsia="Times New Roman" w:hAnsi="Arial" w:cs="Arial"/>
                <w:i/>
                <w:color w:val="000000" w:themeColor="text1"/>
                <w:sz w:val="24"/>
                <w:szCs w:val="24"/>
              </w:rPr>
              <w:t xml:space="preserve"> </w:t>
            </w:r>
          </w:p>
        </w:tc>
        <w:tc>
          <w:tcPr>
            <w:tcW w:w="2830" w:type="dxa"/>
            <w:tcBorders>
              <w:left w:val="single" w:sz="4" w:space="0" w:color="auto"/>
              <w:right w:val="single" w:sz="4" w:space="0" w:color="auto"/>
            </w:tcBorders>
          </w:tcPr>
          <w:p w14:paraId="0474F012" w14:textId="77777777" w:rsidR="008D5603" w:rsidRPr="002B3D8A" w:rsidRDefault="008D5603" w:rsidP="00646DDF">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2-hydroxy-2-methylbutyl</w:t>
            </w:r>
          </w:p>
        </w:tc>
        <w:tc>
          <w:tcPr>
            <w:tcW w:w="2273" w:type="dxa"/>
            <w:tcBorders>
              <w:left w:val="single" w:sz="4" w:space="0" w:color="auto"/>
            </w:tcBorders>
          </w:tcPr>
          <w:p w14:paraId="152AA72E" w14:textId="77777777" w:rsidR="008D5603" w:rsidRPr="002B3D8A" w:rsidRDefault="008D5603" w:rsidP="00646DDF">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GCL</w:t>
            </w:r>
          </w:p>
        </w:tc>
      </w:tr>
      <w:tr w:rsidR="008D5603" w:rsidRPr="002B3D8A" w14:paraId="2F3C15D8" w14:textId="77777777" w:rsidTr="00A36645">
        <w:tc>
          <w:tcPr>
            <w:tcW w:w="2547" w:type="dxa"/>
            <w:tcBorders>
              <w:right w:val="single" w:sz="4" w:space="0" w:color="auto"/>
            </w:tcBorders>
          </w:tcPr>
          <w:p w14:paraId="0D25602B" w14:textId="77777777" w:rsidR="008D5603" w:rsidRPr="002B3D8A" w:rsidRDefault="008D5603" w:rsidP="00646DDF">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 xml:space="preserve">Epi-progoitrin </w:t>
            </w:r>
          </w:p>
        </w:tc>
        <w:tc>
          <w:tcPr>
            <w:tcW w:w="2273" w:type="dxa"/>
            <w:tcBorders>
              <w:left w:val="single" w:sz="4" w:space="0" w:color="auto"/>
              <w:right w:val="single" w:sz="4" w:space="0" w:color="auto"/>
            </w:tcBorders>
          </w:tcPr>
          <w:p w14:paraId="6DE71145" w14:textId="77777777" w:rsidR="008D5603" w:rsidRPr="002B3D8A" w:rsidRDefault="008D5603" w:rsidP="00646DDF">
            <w:pPr>
              <w:spacing w:line="360" w:lineRule="auto"/>
              <w:jc w:val="both"/>
              <w:rPr>
                <w:rFonts w:ascii="Arial" w:eastAsia="Times New Roman" w:hAnsi="Arial" w:cs="Arial"/>
                <w:i/>
                <w:color w:val="000000" w:themeColor="text1"/>
                <w:sz w:val="24"/>
                <w:szCs w:val="24"/>
              </w:rPr>
            </w:pPr>
            <w:proofErr w:type="spellStart"/>
            <w:r w:rsidRPr="002B3D8A">
              <w:rPr>
                <w:rFonts w:ascii="Arial" w:eastAsia="Times New Roman" w:hAnsi="Arial" w:cs="Arial"/>
                <w:i/>
                <w:color w:val="000000" w:themeColor="text1"/>
                <w:sz w:val="24"/>
                <w:szCs w:val="24"/>
              </w:rPr>
              <w:t>Crambe</w:t>
            </w:r>
            <w:proofErr w:type="spellEnd"/>
            <w:r w:rsidRPr="002B3D8A">
              <w:rPr>
                <w:rFonts w:ascii="Arial" w:eastAsia="Times New Roman" w:hAnsi="Arial" w:cs="Arial"/>
                <w:i/>
                <w:color w:val="000000" w:themeColor="text1"/>
                <w:sz w:val="24"/>
                <w:szCs w:val="24"/>
              </w:rPr>
              <w:t xml:space="preserve"> </w:t>
            </w:r>
            <w:proofErr w:type="spellStart"/>
            <w:r w:rsidRPr="002B3D8A">
              <w:rPr>
                <w:rFonts w:ascii="Arial" w:eastAsia="Times New Roman" w:hAnsi="Arial" w:cs="Arial"/>
                <w:i/>
                <w:color w:val="000000" w:themeColor="text1"/>
                <w:sz w:val="24"/>
                <w:szCs w:val="24"/>
              </w:rPr>
              <w:t>abyssinica</w:t>
            </w:r>
            <w:proofErr w:type="spellEnd"/>
            <w:r w:rsidRPr="002B3D8A">
              <w:rPr>
                <w:rFonts w:ascii="Arial" w:eastAsia="Times New Roman" w:hAnsi="Arial" w:cs="Arial"/>
                <w:i/>
                <w:color w:val="000000" w:themeColor="text1"/>
                <w:sz w:val="24"/>
                <w:szCs w:val="24"/>
              </w:rPr>
              <w:t xml:space="preserve"> </w:t>
            </w:r>
          </w:p>
        </w:tc>
        <w:tc>
          <w:tcPr>
            <w:tcW w:w="2830" w:type="dxa"/>
            <w:tcBorders>
              <w:left w:val="single" w:sz="4" w:space="0" w:color="auto"/>
              <w:right w:val="single" w:sz="4" w:space="0" w:color="auto"/>
            </w:tcBorders>
          </w:tcPr>
          <w:p w14:paraId="548E7CBD" w14:textId="77777777" w:rsidR="008D5603" w:rsidRPr="002B3D8A" w:rsidRDefault="008D5603" w:rsidP="00646DDF">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2-hydroxy-3-butenyl</w:t>
            </w:r>
          </w:p>
        </w:tc>
        <w:tc>
          <w:tcPr>
            <w:tcW w:w="2273" w:type="dxa"/>
            <w:tcBorders>
              <w:left w:val="single" w:sz="4" w:space="0" w:color="auto"/>
            </w:tcBorders>
          </w:tcPr>
          <w:p w14:paraId="795439D8" w14:textId="77777777" w:rsidR="008D5603" w:rsidRPr="002B3D8A" w:rsidRDefault="008D5603" w:rsidP="00646DDF">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ePRO</w:t>
            </w:r>
          </w:p>
        </w:tc>
      </w:tr>
      <w:tr w:rsidR="008D5603" w:rsidRPr="002B3D8A" w14:paraId="74EA0F86" w14:textId="77777777" w:rsidTr="00A36645">
        <w:trPr>
          <w:trHeight w:val="142"/>
        </w:trPr>
        <w:tc>
          <w:tcPr>
            <w:tcW w:w="2547" w:type="dxa"/>
            <w:tcBorders>
              <w:bottom w:val="single" w:sz="4" w:space="0" w:color="auto"/>
              <w:right w:val="single" w:sz="4" w:space="0" w:color="auto"/>
            </w:tcBorders>
          </w:tcPr>
          <w:p w14:paraId="2F1EDB68" w14:textId="77777777" w:rsidR="008D5603" w:rsidRPr="002B3D8A" w:rsidRDefault="008D5603" w:rsidP="00646DDF">
            <w:pPr>
              <w:spacing w:line="360" w:lineRule="auto"/>
              <w:jc w:val="both"/>
              <w:rPr>
                <w:rFonts w:ascii="Arial" w:eastAsia="Times New Roman" w:hAnsi="Arial" w:cs="Arial"/>
                <w:color w:val="000000" w:themeColor="text1"/>
                <w:sz w:val="24"/>
                <w:szCs w:val="24"/>
              </w:rPr>
            </w:pPr>
            <w:proofErr w:type="spellStart"/>
            <w:r w:rsidRPr="002B3D8A">
              <w:rPr>
                <w:rFonts w:ascii="Arial" w:eastAsia="Times New Roman" w:hAnsi="Arial" w:cs="Arial"/>
                <w:color w:val="000000" w:themeColor="text1"/>
                <w:sz w:val="24"/>
                <w:szCs w:val="24"/>
              </w:rPr>
              <w:t>Gluconapoleiferin</w:t>
            </w:r>
            <w:proofErr w:type="spellEnd"/>
            <w:r w:rsidRPr="002B3D8A">
              <w:rPr>
                <w:rFonts w:ascii="Arial" w:eastAsia="Times New Roman" w:hAnsi="Arial" w:cs="Arial"/>
                <w:color w:val="000000" w:themeColor="text1"/>
                <w:sz w:val="24"/>
                <w:szCs w:val="24"/>
              </w:rPr>
              <w:t xml:space="preserve"> </w:t>
            </w:r>
          </w:p>
        </w:tc>
        <w:tc>
          <w:tcPr>
            <w:tcW w:w="2273" w:type="dxa"/>
            <w:tcBorders>
              <w:left w:val="single" w:sz="4" w:space="0" w:color="auto"/>
              <w:bottom w:val="single" w:sz="4" w:space="0" w:color="auto"/>
              <w:right w:val="single" w:sz="4" w:space="0" w:color="auto"/>
            </w:tcBorders>
          </w:tcPr>
          <w:p w14:paraId="4DD3F9C0" w14:textId="77777777" w:rsidR="008D5603" w:rsidRPr="002B3D8A" w:rsidRDefault="008D5603" w:rsidP="00646DDF">
            <w:pPr>
              <w:spacing w:line="360" w:lineRule="auto"/>
              <w:jc w:val="both"/>
              <w:rPr>
                <w:rFonts w:ascii="Arial" w:eastAsia="Times New Roman" w:hAnsi="Arial" w:cs="Arial"/>
                <w:i/>
                <w:color w:val="000000" w:themeColor="text1"/>
                <w:sz w:val="24"/>
                <w:szCs w:val="24"/>
              </w:rPr>
            </w:pPr>
          </w:p>
        </w:tc>
        <w:tc>
          <w:tcPr>
            <w:tcW w:w="2830" w:type="dxa"/>
            <w:tcBorders>
              <w:left w:val="single" w:sz="4" w:space="0" w:color="auto"/>
              <w:bottom w:val="single" w:sz="4" w:space="0" w:color="auto"/>
              <w:right w:val="single" w:sz="4" w:space="0" w:color="auto"/>
            </w:tcBorders>
          </w:tcPr>
          <w:p w14:paraId="582113D7" w14:textId="77777777" w:rsidR="008D5603" w:rsidRPr="002B3D8A" w:rsidRDefault="008D5603" w:rsidP="00646DDF">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 xml:space="preserve">(R)-2-hydroxy-3-pentenyl </w:t>
            </w:r>
          </w:p>
        </w:tc>
        <w:tc>
          <w:tcPr>
            <w:tcW w:w="2273" w:type="dxa"/>
            <w:tcBorders>
              <w:left w:val="single" w:sz="4" w:space="0" w:color="auto"/>
              <w:bottom w:val="single" w:sz="4" w:space="0" w:color="auto"/>
            </w:tcBorders>
          </w:tcPr>
          <w:p w14:paraId="0802F7D3" w14:textId="77777777" w:rsidR="008D5603" w:rsidRPr="002B3D8A" w:rsidRDefault="008D5603" w:rsidP="00646DDF">
            <w:pPr>
              <w:spacing w:line="360" w:lineRule="auto"/>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GNL</w:t>
            </w:r>
          </w:p>
        </w:tc>
      </w:tr>
    </w:tbl>
    <w:p w14:paraId="5B25D42C" w14:textId="63057094" w:rsidR="00A858EC" w:rsidRDefault="00A858EC">
      <w:pPr>
        <w:spacing w:line="240" w:lineRule="auto"/>
        <w:rPr>
          <w:rFonts w:ascii="Arial" w:eastAsia="Times New Roman" w:hAnsi="Arial" w:cs="Arial"/>
          <w:b/>
          <w:color w:val="000000" w:themeColor="text1"/>
          <w:sz w:val="24"/>
          <w:szCs w:val="24"/>
        </w:rPr>
        <w:sectPr w:rsidR="00A858EC" w:rsidSect="00B27D90">
          <w:pgSz w:w="11906" w:h="16838"/>
          <w:pgMar w:top="1440" w:right="1440" w:bottom="1440" w:left="1440" w:header="708" w:footer="708" w:gutter="0"/>
          <w:cols w:space="708"/>
          <w:docGrid w:linePitch="360"/>
        </w:sectPr>
      </w:pPr>
    </w:p>
    <w:p w14:paraId="1B73E99E" w14:textId="77777777" w:rsidR="00D11516" w:rsidRDefault="00D11516" w:rsidP="001716B4">
      <w:pPr>
        <w:spacing w:line="240" w:lineRule="auto"/>
        <w:rPr>
          <w:rFonts w:ascii="Arial" w:eastAsia="Times New Roman" w:hAnsi="Arial" w:cs="Arial"/>
          <w:b/>
          <w:color w:val="000000" w:themeColor="text1"/>
          <w:sz w:val="24"/>
          <w:szCs w:val="24"/>
        </w:rPr>
      </w:pPr>
    </w:p>
    <w:tbl>
      <w:tblPr>
        <w:tblW w:w="9923" w:type="dxa"/>
        <w:tblLook w:val="04A0" w:firstRow="1" w:lastRow="0" w:firstColumn="1" w:lastColumn="0" w:noHBand="0" w:noVBand="1"/>
      </w:tblPr>
      <w:tblGrid>
        <w:gridCol w:w="2547"/>
        <w:gridCol w:w="2273"/>
        <w:gridCol w:w="2830"/>
        <w:gridCol w:w="2273"/>
      </w:tblGrid>
      <w:tr w:rsidR="00D11516" w:rsidRPr="008D5603" w14:paraId="30E2EBFB" w14:textId="77777777" w:rsidTr="00240F03">
        <w:tc>
          <w:tcPr>
            <w:tcW w:w="9923" w:type="dxa"/>
            <w:gridSpan w:val="4"/>
            <w:tcBorders>
              <w:top w:val="single" w:sz="4" w:space="0" w:color="auto"/>
              <w:bottom w:val="single" w:sz="4" w:space="0" w:color="auto"/>
            </w:tcBorders>
          </w:tcPr>
          <w:p w14:paraId="50FDBA5A" w14:textId="77777777" w:rsidR="00D11516" w:rsidRPr="008D5603" w:rsidRDefault="00D11516" w:rsidP="00646DDF">
            <w:pPr>
              <w:spacing w:line="360" w:lineRule="auto"/>
              <w:rPr>
                <w:rFonts w:ascii="Arial" w:eastAsia="Times New Roman" w:hAnsi="Arial" w:cs="Arial"/>
                <w:b/>
                <w:color w:val="000000" w:themeColor="text1"/>
                <w:sz w:val="24"/>
                <w:szCs w:val="24"/>
              </w:rPr>
            </w:pPr>
            <w:r w:rsidRPr="008D5603">
              <w:rPr>
                <w:rFonts w:ascii="Arial" w:eastAsia="Times New Roman" w:hAnsi="Arial" w:cs="Arial"/>
                <w:b/>
                <w:color w:val="000000" w:themeColor="text1"/>
                <w:sz w:val="24"/>
                <w:szCs w:val="24"/>
              </w:rPr>
              <w:t xml:space="preserve">Category 3: </w:t>
            </w:r>
            <w:proofErr w:type="spellStart"/>
            <w:r w:rsidRPr="008D5603">
              <w:rPr>
                <w:rFonts w:ascii="Arial" w:eastAsia="Times New Roman" w:hAnsi="Arial" w:cs="Arial"/>
                <w:b/>
                <w:color w:val="000000" w:themeColor="text1"/>
                <w:sz w:val="24"/>
                <w:szCs w:val="24"/>
              </w:rPr>
              <w:t>thiofunctionalised</w:t>
            </w:r>
            <w:proofErr w:type="spellEnd"/>
          </w:p>
        </w:tc>
      </w:tr>
      <w:tr w:rsidR="00D11516" w:rsidRPr="008D5603" w14:paraId="1AAFDD89" w14:textId="77777777" w:rsidTr="00240F03">
        <w:tc>
          <w:tcPr>
            <w:tcW w:w="2547" w:type="dxa"/>
            <w:tcBorders>
              <w:top w:val="single" w:sz="4" w:space="0" w:color="auto"/>
              <w:right w:val="single" w:sz="4" w:space="0" w:color="auto"/>
            </w:tcBorders>
          </w:tcPr>
          <w:p w14:paraId="0C83DB7F" w14:textId="77777777" w:rsidR="00D11516" w:rsidRPr="008D5603" w:rsidRDefault="00D11516" w:rsidP="00646DDF">
            <w:pPr>
              <w:spacing w:line="360" w:lineRule="auto"/>
              <w:jc w:val="both"/>
              <w:rPr>
                <w:rFonts w:ascii="Arial" w:eastAsia="Times New Roman" w:hAnsi="Arial" w:cs="Arial"/>
                <w:color w:val="000000" w:themeColor="text1"/>
                <w:sz w:val="24"/>
                <w:szCs w:val="24"/>
              </w:rPr>
            </w:pPr>
            <w:proofErr w:type="spellStart"/>
            <w:r w:rsidRPr="008D5603">
              <w:rPr>
                <w:rFonts w:ascii="Arial" w:eastAsia="Times New Roman" w:hAnsi="Arial" w:cs="Arial"/>
                <w:color w:val="000000" w:themeColor="text1"/>
                <w:sz w:val="24"/>
                <w:szCs w:val="24"/>
              </w:rPr>
              <w:t>Glucobervirin</w:t>
            </w:r>
            <w:proofErr w:type="spellEnd"/>
            <w:r w:rsidRPr="008D5603">
              <w:rPr>
                <w:rFonts w:ascii="Arial" w:eastAsia="Times New Roman" w:hAnsi="Arial" w:cs="Arial"/>
                <w:color w:val="000000" w:themeColor="text1"/>
                <w:sz w:val="24"/>
                <w:szCs w:val="24"/>
              </w:rPr>
              <w:t xml:space="preserve"> </w:t>
            </w:r>
          </w:p>
        </w:tc>
        <w:tc>
          <w:tcPr>
            <w:tcW w:w="2273" w:type="dxa"/>
            <w:tcBorders>
              <w:top w:val="single" w:sz="4" w:space="0" w:color="auto"/>
              <w:left w:val="single" w:sz="4" w:space="0" w:color="auto"/>
              <w:right w:val="single" w:sz="4" w:space="0" w:color="auto"/>
            </w:tcBorders>
          </w:tcPr>
          <w:p w14:paraId="39884C69" w14:textId="77777777" w:rsidR="00D11516" w:rsidRPr="008D5603" w:rsidRDefault="00D11516" w:rsidP="00646DDF">
            <w:pPr>
              <w:spacing w:line="360" w:lineRule="auto"/>
              <w:jc w:val="both"/>
              <w:rPr>
                <w:rFonts w:ascii="Arial" w:eastAsia="Times New Roman" w:hAnsi="Arial" w:cs="Arial"/>
                <w:i/>
                <w:color w:val="000000" w:themeColor="text1"/>
                <w:sz w:val="24"/>
                <w:szCs w:val="24"/>
              </w:rPr>
            </w:pPr>
            <w:proofErr w:type="spellStart"/>
            <w:r w:rsidRPr="008D5603">
              <w:rPr>
                <w:rFonts w:ascii="Arial" w:eastAsia="Times New Roman" w:hAnsi="Arial" w:cs="Arial"/>
                <w:i/>
                <w:color w:val="000000" w:themeColor="text1"/>
                <w:sz w:val="24"/>
                <w:szCs w:val="24"/>
              </w:rPr>
              <w:t>Thlaspi</w:t>
            </w:r>
            <w:proofErr w:type="spellEnd"/>
            <w:r w:rsidRPr="008D5603">
              <w:rPr>
                <w:rFonts w:ascii="Arial" w:eastAsia="Times New Roman" w:hAnsi="Arial" w:cs="Arial"/>
                <w:i/>
                <w:color w:val="000000" w:themeColor="text1"/>
                <w:sz w:val="24"/>
                <w:szCs w:val="24"/>
              </w:rPr>
              <w:t xml:space="preserve"> </w:t>
            </w:r>
            <w:proofErr w:type="spellStart"/>
            <w:r w:rsidRPr="008D5603">
              <w:rPr>
                <w:rFonts w:ascii="Arial" w:eastAsia="Times New Roman" w:hAnsi="Arial" w:cs="Arial"/>
                <w:i/>
                <w:color w:val="000000" w:themeColor="text1"/>
                <w:sz w:val="24"/>
                <w:szCs w:val="24"/>
              </w:rPr>
              <w:t>sempevirens</w:t>
            </w:r>
            <w:proofErr w:type="spellEnd"/>
            <w:r w:rsidRPr="008D5603">
              <w:rPr>
                <w:rFonts w:ascii="Arial" w:eastAsia="Times New Roman" w:hAnsi="Arial" w:cs="Arial"/>
                <w:i/>
                <w:color w:val="000000" w:themeColor="text1"/>
                <w:sz w:val="24"/>
                <w:szCs w:val="24"/>
              </w:rPr>
              <w:t xml:space="preserve"> </w:t>
            </w:r>
          </w:p>
        </w:tc>
        <w:tc>
          <w:tcPr>
            <w:tcW w:w="2830" w:type="dxa"/>
            <w:tcBorders>
              <w:top w:val="single" w:sz="4" w:space="0" w:color="auto"/>
              <w:left w:val="single" w:sz="4" w:space="0" w:color="auto"/>
              <w:right w:val="single" w:sz="4" w:space="0" w:color="auto"/>
            </w:tcBorders>
          </w:tcPr>
          <w:p w14:paraId="3CE8379B" w14:textId="77777777" w:rsidR="00D11516" w:rsidRPr="005A4D3A" w:rsidRDefault="00D11516" w:rsidP="00646DDF">
            <w:pPr>
              <w:spacing w:line="360" w:lineRule="auto"/>
              <w:jc w:val="both"/>
              <w:rPr>
                <w:rFonts w:ascii="Arial" w:eastAsia="Times New Roman" w:hAnsi="Arial" w:cs="Arial"/>
                <w:color w:val="000000" w:themeColor="text1"/>
                <w:sz w:val="24"/>
                <w:szCs w:val="24"/>
              </w:rPr>
            </w:pPr>
            <w:r w:rsidRPr="005A4D3A">
              <w:rPr>
                <w:rFonts w:ascii="Arial" w:eastAsia="Times New Roman" w:hAnsi="Arial" w:cs="Arial"/>
                <w:color w:val="000000" w:themeColor="text1"/>
                <w:sz w:val="24"/>
                <w:szCs w:val="24"/>
              </w:rPr>
              <w:t>3-methiopropyl</w:t>
            </w:r>
          </w:p>
        </w:tc>
        <w:tc>
          <w:tcPr>
            <w:tcW w:w="2273" w:type="dxa"/>
            <w:tcBorders>
              <w:top w:val="single" w:sz="4" w:space="0" w:color="auto"/>
              <w:left w:val="single" w:sz="4" w:space="0" w:color="auto"/>
            </w:tcBorders>
          </w:tcPr>
          <w:p w14:paraId="33A9F885" w14:textId="77777777" w:rsidR="00D11516" w:rsidRPr="00A65A4C" w:rsidRDefault="00D11516" w:rsidP="00646DDF">
            <w:pPr>
              <w:spacing w:line="360" w:lineRule="auto"/>
              <w:jc w:val="both"/>
              <w:rPr>
                <w:rFonts w:ascii="Arial" w:eastAsia="Times New Roman" w:hAnsi="Arial" w:cs="Arial"/>
                <w:color w:val="000000" w:themeColor="text1"/>
                <w:sz w:val="24"/>
                <w:szCs w:val="24"/>
              </w:rPr>
            </w:pPr>
            <w:r w:rsidRPr="00A65A4C">
              <w:rPr>
                <w:rFonts w:ascii="Arial" w:eastAsia="Times New Roman" w:hAnsi="Arial" w:cs="Arial"/>
                <w:color w:val="000000" w:themeColor="text1"/>
                <w:sz w:val="24"/>
                <w:szCs w:val="24"/>
              </w:rPr>
              <w:t>GIV</w:t>
            </w:r>
          </w:p>
        </w:tc>
      </w:tr>
      <w:tr w:rsidR="00D11516" w:rsidRPr="008D5603" w14:paraId="5800B44F" w14:textId="77777777" w:rsidTr="00240F03">
        <w:tc>
          <w:tcPr>
            <w:tcW w:w="2547" w:type="dxa"/>
            <w:tcBorders>
              <w:right w:val="single" w:sz="4" w:space="0" w:color="auto"/>
            </w:tcBorders>
          </w:tcPr>
          <w:p w14:paraId="67D294BA" w14:textId="77777777" w:rsidR="00D11516" w:rsidRPr="008D5603" w:rsidRDefault="00D11516" w:rsidP="00646DDF">
            <w:pPr>
              <w:spacing w:line="360" w:lineRule="auto"/>
              <w:jc w:val="both"/>
              <w:rPr>
                <w:rFonts w:ascii="Arial" w:eastAsia="Times New Roman" w:hAnsi="Arial" w:cs="Arial"/>
                <w:color w:val="000000" w:themeColor="text1"/>
                <w:sz w:val="24"/>
                <w:szCs w:val="24"/>
              </w:rPr>
            </w:pPr>
            <w:proofErr w:type="spellStart"/>
            <w:r w:rsidRPr="008D5603">
              <w:rPr>
                <w:rFonts w:ascii="Arial" w:eastAsia="Times New Roman" w:hAnsi="Arial" w:cs="Arial"/>
                <w:color w:val="000000" w:themeColor="text1"/>
                <w:sz w:val="24"/>
                <w:szCs w:val="24"/>
              </w:rPr>
              <w:t>Glucoiberin</w:t>
            </w:r>
            <w:proofErr w:type="spellEnd"/>
            <w:r w:rsidRPr="008D5603">
              <w:rPr>
                <w:rFonts w:ascii="Arial" w:eastAsia="Times New Roman" w:hAnsi="Arial" w:cs="Arial"/>
                <w:color w:val="000000" w:themeColor="text1"/>
                <w:sz w:val="24"/>
                <w:szCs w:val="24"/>
              </w:rPr>
              <w:t xml:space="preserve"> </w:t>
            </w:r>
          </w:p>
        </w:tc>
        <w:tc>
          <w:tcPr>
            <w:tcW w:w="2273" w:type="dxa"/>
            <w:tcBorders>
              <w:left w:val="single" w:sz="4" w:space="0" w:color="auto"/>
              <w:right w:val="single" w:sz="4" w:space="0" w:color="auto"/>
            </w:tcBorders>
          </w:tcPr>
          <w:p w14:paraId="14A09A1C" w14:textId="77777777" w:rsidR="00D11516" w:rsidRPr="008D5603" w:rsidRDefault="00D11516" w:rsidP="00646DDF">
            <w:pPr>
              <w:spacing w:line="360" w:lineRule="auto"/>
              <w:jc w:val="both"/>
              <w:rPr>
                <w:rFonts w:ascii="Arial" w:eastAsia="Times New Roman" w:hAnsi="Arial" w:cs="Arial"/>
                <w:i/>
                <w:color w:val="000000" w:themeColor="text1"/>
                <w:sz w:val="24"/>
                <w:szCs w:val="24"/>
              </w:rPr>
            </w:pPr>
            <w:r w:rsidRPr="008D5603">
              <w:rPr>
                <w:rFonts w:ascii="Arial" w:eastAsia="Times New Roman" w:hAnsi="Arial" w:cs="Arial"/>
                <w:i/>
                <w:color w:val="000000" w:themeColor="text1"/>
                <w:sz w:val="24"/>
                <w:szCs w:val="24"/>
              </w:rPr>
              <w:t xml:space="preserve">Iberis </w:t>
            </w:r>
            <w:proofErr w:type="spellStart"/>
            <w:r w:rsidRPr="008D5603">
              <w:rPr>
                <w:rFonts w:ascii="Arial" w:eastAsia="Times New Roman" w:hAnsi="Arial" w:cs="Arial"/>
                <w:i/>
                <w:color w:val="000000" w:themeColor="text1"/>
                <w:sz w:val="24"/>
                <w:szCs w:val="24"/>
              </w:rPr>
              <w:t>amara</w:t>
            </w:r>
            <w:proofErr w:type="spellEnd"/>
            <w:r w:rsidRPr="008D5603">
              <w:rPr>
                <w:rFonts w:ascii="Arial" w:eastAsia="Times New Roman" w:hAnsi="Arial" w:cs="Arial"/>
                <w:i/>
                <w:color w:val="000000" w:themeColor="text1"/>
                <w:sz w:val="24"/>
                <w:szCs w:val="24"/>
              </w:rPr>
              <w:t xml:space="preserve"> </w:t>
            </w:r>
          </w:p>
        </w:tc>
        <w:tc>
          <w:tcPr>
            <w:tcW w:w="2830" w:type="dxa"/>
            <w:tcBorders>
              <w:left w:val="single" w:sz="4" w:space="0" w:color="auto"/>
              <w:right w:val="single" w:sz="4" w:space="0" w:color="auto"/>
            </w:tcBorders>
          </w:tcPr>
          <w:p w14:paraId="7044E548" w14:textId="77777777" w:rsidR="00D11516" w:rsidRPr="005A4D3A" w:rsidRDefault="00D11516" w:rsidP="00646DDF">
            <w:pPr>
              <w:spacing w:line="360" w:lineRule="auto"/>
              <w:jc w:val="both"/>
              <w:rPr>
                <w:rFonts w:ascii="Arial" w:eastAsia="Times New Roman" w:hAnsi="Arial" w:cs="Arial"/>
                <w:color w:val="000000" w:themeColor="text1"/>
                <w:sz w:val="24"/>
                <w:szCs w:val="24"/>
              </w:rPr>
            </w:pPr>
            <w:r w:rsidRPr="005A4D3A">
              <w:rPr>
                <w:rFonts w:ascii="Arial" w:eastAsia="Times New Roman" w:hAnsi="Arial" w:cs="Arial"/>
                <w:color w:val="000000" w:themeColor="text1"/>
                <w:sz w:val="24"/>
                <w:szCs w:val="24"/>
              </w:rPr>
              <w:t>3-methylsulfinylpropyl</w:t>
            </w:r>
          </w:p>
        </w:tc>
        <w:tc>
          <w:tcPr>
            <w:tcW w:w="2273" w:type="dxa"/>
            <w:tcBorders>
              <w:left w:val="single" w:sz="4" w:space="0" w:color="auto"/>
            </w:tcBorders>
          </w:tcPr>
          <w:p w14:paraId="1E1CF571" w14:textId="77777777" w:rsidR="00D11516" w:rsidRPr="00A65A4C" w:rsidRDefault="00D11516" w:rsidP="00646DDF">
            <w:pPr>
              <w:spacing w:line="360" w:lineRule="auto"/>
              <w:jc w:val="both"/>
              <w:rPr>
                <w:rFonts w:ascii="Arial" w:eastAsia="Times New Roman" w:hAnsi="Arial" w:cs="Arial"/>
                <w:color w:val="000000" w:themeColor="text1"/>
                <w:sz w:val="24"/>
                <w:szCs w:val="24"/>
              </w:rPr>
            </w:pPr>
            <w:r w:rsidRPr="00A65A4C">
              <w:rPr>
                <w:rFonts w:ascii="Arial" w:eastAsia="Times New Roman" w:hAnsi="Arial" w:cs="Arial"/>
                <w:color w:val="000000" w:themeColor="text1"/>
                <w:sz w:val="24"/>
                <w:szCs w:val="24"/>
              </w:rPr>
              <w:t>GIB</w:t>
            </w:r>
          </w:p>
        </w:tc>
      </w:tr>
      <w:tr w:rsidR="00D11516" w:rsidRPr="008D5603" w14:paraId="14470808" w14:textId="77777777" w:rsidTr="00240F03">
        <w:tc>
          <w:tcPr>
            <w:tcW w:w="2547" w:type="dxa"/>
            <w:tcBorders>
              <w:right w:val="single" w:sz="4" w:space="0" w:color="auto"/>
            </w:tcBorders>
          </w:tcPr>
          <w:p w14:paraId="2E1226BF" w14:textId="77777777" w:rsidR="00D11516" w:rsidRPr="008D5603" w:rsidRDefault="00D11516" w:rsidP="00646DDF">
            <w:pPr>
              <w:spacing w:line="360" w:lineRule="auto"/>
              <w:jc w:val="both"/>
              <w:rPr>
                <w:rFonts w:ascii="Arial" w:eastAsia="Times New Roman" w:hAnsi="Arial" w:cs="Arial"/>
                <w:color w:val="000000" w:themeColor="text1"/>
                <w:sz w:val="24"/>
                <w:szCs w:val="24"/>
              </w:rPr>
            </w:pPr>
            <w:proofErr w:type="spellStart"/>
            <w:r w:rsidRPr="008D5603">
              <w:rPr>
                <w:rFonts w:ascii="Arial" w:eastAsia="Times New Roman" w:hAnsi="Arial" w:cs="Arial"/>
                <w:color w:val="000000" w:themeColor="text1"/>
                <w:sz w:val="24"/>
                <w:szCs w:val="24"/>
              </w:rPr>
              <w:t>Glucocheirolin</w:t>
            </w:r>
            <w:proofErr w:type="spellEnd"/>
            <w:r w:rsidRPr="008D5603">
              <w:rPr>
                <w:rFonts w:ascii="Arial" w:eastAsia="Times New Roman" w:hAnsi="Arial" w:cs="Arial"/>
                <w:color w:val="000000" w:themeColor="text1"/>
                <w:sz w:val="24"/>
                <w:szCs w:val="24"/>
              </w:rPr>
              <w:t xml:space="preserve"> </w:t>
            </w:r>
          </w:p>
        </w:tc>
        <w:tc>
          <w:tcPr>
            <w:tcW w:w="2273" w:type="dxa"/>
            <w:tcBorders>
              <w:left w:val="single" w:sz="4" w:space="0" w:color="auto"/>
              <w:right w:val="single" w:sz="4" w:space="0" w:color="auto"/>
            </w:tcBorders>
          </w:tcPr>
          <w:p w14:paraId="09654462" w14:textId="77777777" w:rsidR="00D11516" w:rsidRPr="008D5603" w:rsidRDefault="00D11516" w:rsidP="00646DDF">
            <w:pPr>
              <w:spacing w:line="360" w:lineRule="auto"/>
              <w:jc w:val="both"/>
              <w:rPr>
                <w:rFonts w:ascii="Arial" w:eastAsia="Times New Roman" w:hAnsi="Arial" w:cs="Arial"/>
                <w:i/>
                <w:color w:val="000000" w:themeColor="text1"/>
                <w:sz w:val="24"/>
                <w:szCs w:val="24"/>
              </w:rPr>
            </w:pPr>
            <w:proofErr w:type="spellStart"/>
            <w:r w:rsidRPr="008D5603">
              <w:rPr>
                <w:rFonts w:ascii="Arial" w:eastAsia="Times New Roman" w:hAnsi="Arial" w:cs="Arial"/>
                <w:i/>
                <w:color w:val="000000" w:themeColor="text1"/>
                <w:sz w:val="24"/>
                <w:szCs w:val="24"/>
              </w:rPr>
              <w:t>Cheirantus</w:t>
            </w:r>
            <w:proofErr w:type="spellEnd"/>
            <w:r w:rsidRPr="008D5603">
              <w:rPr>
                <w:rFonts w:ascii="Arial" w:eastAsia="Times New Roman" w:hAnsi="Arial" w:cs="Arial"/>
                <w:i/>
                <w:color w:val="000000" w:themeColor="text1"/>
                <w:sz w:val="24"/>
                <w:szCs w:val="24"/>
              </w:rPr>
              <w:t xml:space="preserve"> annus </w:t>
            </w:r>
          </w:p>
        </w:tc>
        <w:tc>
          <w:tcPr>
            <w:tcW w:w="2830" w:type="dxa"/>
            <w:tcBorders>
              <w:left w:val="single" w:sz="4" w:space="0" w:color="auto"/>
              <w:right w:val="single" w:sz="4" w:space="0" w:color="auto"/>
            </w:tcBorders>
          </w:tcPr>
          <w:p w14:paraId="0CFD12A9" w14:textId="77777777" w:rsidR="00D11516" w:rsidRPr="005A4D3A" w:rsidRDefault="00D11516" w:rsidP="00646DDF">
            <w:pPr>
              <w:spacing w:line="360" w:lineRule="auto"/>
              <w:jc w:val="both"/>
              <w:rPr>
                <w:rFonts w:ascii="Arial" w:eastAsia="Times New Roman" w:hAnsi="Arial" w:cs="Arial"/>
                <w:color w:val="000000" w:themeColor="text1"/>
                <w:sz w:val="24"/>
                <w:szCs w:val="24"/>
              </w:rPr>
            </w:pPr>
            <w:r w:rsidRPr="005A4D3A">
              <w:rPr>
                <w:rFonts w:ascii="Arial" w:eastAsia="Times New Roman" w:hAnsi="Arial" w:cs="Arial"/>
                <w:color w:val="000000" w:themeColor="text1"/>
                <w:sz w:val="24"/>
                <w:szCs w:val="24"/>
              </w:rPr>
              <w:t>3-methylsulfonylpropyl</w:t>
            </w:r>
          </w:p>
        </w:tc>
        <w:tc>
          <w:tcPr>
            <w:tcW w:w="2273" w:type="dxa"/>
            <w:tcBorders>
              <w:left w:val="single" w:sz="4" w:space="0" w:color="auto"/>
            </w:tcBorders>
          </w:tcPr>
          <w:p w14:paraId="63C19391" w14:textId="77777777" w:rsidR="00D11516" w:rsidRPr="00A65A4C" w:rsidRDefault="00D11516" w:rsidP="00646DDF">
            <w:pPr>
              <w:spacing w:line="360" w:lineRule="auto"/>
              <w:jc w:val="both"/>
              <w:rPr>
                <w:rFonts w:ascii="Arial" w:eastAsia="Times New Roman" w:hAnsi="Arial" w:cs="Arial"/>
                <w:color w:val="000000" w:themeColor="text1"/>
                <w:sz w:val="24"/>
                <w:szCs w:val="24"/>
              </w:rPr>
            </w:pPr>
            <w:r w:rsidRPr="00A65A4C">
              <w:rPr>
                <w:rFonts w:ascii="Arial" w:eastAsia="Times New Roman" w:hAnsi="Arial" w:cs="Arial"/>
                <w:color w:val="000000" w:themeColor="text1"/>
                <w:sz w:val="24"/>
                <w:szCs w:val="24"/>
              </w:rPr>
              <w:t>GCH</w:t>
            </w:r>
          </w:p>
        </w:tc>
      </w:tr>
      <w:tr w:rsidR="00D11516" w:rsidRPr="008D5603" w14:paraId="76356395" w14:textId="77777777" w:rsidTr="00240F03">
        <w:tc>
          <w:tcPr>
            <w:tcW w:w="2547" w:type="dxa"/>
            <w:tcBorders>
              <w:right w:val="single" w:sz="4" w:space="0" w:color="auto"/>
            </w:tcBorders>
          </w:tcPr>
          <w:p w14:paraId="040BD308" w14:textId="77777777" w:rsidR="00D11516" w:rsidRPr="008D5603" w:rsidRDefault="00D11516" w:rsidP="00646DDF">
            <w:pPr>
              <w:spacing w:line="360" w:lineRule="auto"/>
              <w:jc w:val="both"/>
              <w:rPr>
                <w:rFonts w:ascii="Arial" w:eastAsia="Times New Roman" w:hAnsi="Arial" w:cs="Arial"/>
                <w:color w:val="000000" w:themeColor="text1"/>
                <w:sz w:val="24"/>
                <w:szCs w:val="24"/>
              </w:rPr>
            </w:pPr>
            <w:r w:rsidRPr="008D5603">
              <w:rPr>
                <w:rFonts w:ascii="Arial" w:eastAsia="Times New Roman" w:hAnsi="Arial" w:cs="Arial"/>
                <w:color w:val="000000" w:themeColor="text1"/>
                <w:sz w:val="24"/>
                <w:szCs w:val="24"/>
              </w:rPr>
              <w:t xml:space="preserve">Glucoerucin </w:t>
            </w:r>
          </w:p>
        </w:tc>
        <w:tc>
          <w:tcPr>
            <w:tcW w:w="2273" w:type="dxa"/>
            <w:tcBorders>
              <w:left w:val="single" w:sz="4" w:space="0" w:color="auto"/>
              <w:right w:val="single" w:sz="4" w:space="0" w:color="auto"/>
            </w:tcBorders>
          </w:tcPr>
          <w:p w14:paraId="54AB8F41" w14:textId="77777777" w:rsidR="00D11516" w:rsidRPr="008D5603" w:rsidRDefault="00D11516" w:rsidP="00646DDF">
            <w:pPr>
              <w:spacing w:line="360" w:lineRule="auto"/>
              <w:jc w:val="both"/>
              <w:rPr>
                <w:rFonts w:ascii="Arial" w:eastAsia="Times New Roman" w:hAnsi="Arial" w:cs="Arial"/>
                <w:i/>
                <w:color w:val="000000" w:themeColor="text1"/>
                <w:sz w:val="24"/>
                <w:szCs w:val="24"/>
              </w:rPr>
            </w:pPr>
            <w:r w:rsidRPr="008D5603">
              <w:rPr>
                <w:rFonts w:ascii="Arial" w:eastAsia="Times New Roman" w:hAnsi="Arial" w:cs="Arial"/>
                <w:i/>
                <w:color w:val="000000" w:themeColor="text1"/>
                <w:sz w:val="24"/>
                <w:szCs w:val="24"/>
              </w:rPr>
              <w:t xml:space="preserve">Eruca sativa </w:t>
            </w:r>
          </w:p>
        </w:tc>
        <w:tc>
          <w:tcPr>
            <w:tcW w:w="2830" w:type="dxa"/>
            <w:tcBorders>
              <w:left w:val="single" w:sz="4" w:space="0" w:color="auto"/>
              <w:right w:val="single" w:sz="4" w:space="0" w:color="auto"/>
            </w:tcBorders>
          </w:tcPr>
          <w:p w14:paraId="54A3970A" w14:textId="77777777" w:rsidR="00D11516" w:rsidRPr="005A4D3A" w:rsidRDefault="00D11516" w:rsidP="00646DDF">
            <w:pPr>
              <w:spacing w:line="360" w:lineRule="auto"/>
              <w:jc w:val="both"/>
              <w:rPr>
                <w:rFonts w:ascii="Arial" w:eastAsia="Times New Roman" w:hAnsi="Arial" w:cs="Arial"/>
                <w:color w:val="000000" w:themeColor="text1"/>
                <w:sz w:val="24"/>
                <w:szCs w:val="24"/>
              </w:rPr>
            </w:pPr>
            <w:r w:rsidRPr="005A4D3A">
              <w:rPr>
                <w:rFonts w:ascii="Arial" w:eastAsia="Times New Roman" w:hAnsi="Arial" w:cs="Arial"/>
                <w:color w:val="000000" w:themeColor="text1"/>
                <w:sz w:val="24"/>
                <w:szCs w:val="24"/>
              </w:rPr>
              <w:t xml:space="preserve">4-methiobutyl </w:t>
            </w:r>
          </w:p>
        </w:tc>
        <w:tc>
          <w:tcPr>
            <w:tcW w:w="2273" w:type="dxa"/>
            <w:tcBorders>
              <w:left w:val="single" w:sz="4" w:space="0" w:color="auto"/>
            </w:tcBorders>
          </w:tcPr>
          <w:p w14:paraId="22E64016" w14:textId="77777777" w:rsidR="00D11516" w:rsidRPr="00A65A4C" w:rsidRDefault="00D11516" w:rsidP="00646DDF">
            <w:pPr>
              <w:spacing w:line="360" w:lineRule="auto"/>
              <w:jc w:val="both"/>
              <w:rPr>
                <w:rFonts w:ascii="Arial" w:eastAsia="Times New Roman" w:hAnsi="Arial" w:cs="Arial"/>
                <w:color w:val="000000" w:themeColor="text1"/>
                <w:sz w:val="24"/>
                <w:szCs w:val="24"/>
              </w:rPr>
            </w:pPr>
            <w:r w:rsidRPr="00A65A4C">
              <w:rPr>
                <w:rFonts w:ascii="Arial" w:eastAsia="Times New Roman" w:hAnsi="Arial" w:cs="Arial"/>
                <w:color w:val="000000" w:themeColor="text1"/>
                <w:sz w:val="24"/>
                <w:szCs w:val="24"/>
              </w:rPr>
              <w:t>GER</w:t>
            </w:r>
          </w:p>
        </w:tc>
      </w:tr>
      <w:tr w:rsidR="00D11516" w:rsidRPr="008D5603" w14:paraId="41A439E5" w14:textId="77777777" w:rsidTr="00240F03">
        <w:tc>
          <w:tcPr>
            <w:tcW w:w="2547" w:type="dxa"/>
            <w:tcBorders>
              <w:right w:val="single" w:sz="4" w:space="0" w:color="auto"/>
            </w:tcBorders>
          </w:tcPr>
          <w:p w14:paraId="793A31ED" w14:textId="77777777" w:rsidR="00D11516" w:rsidRPr="008D5603" w:rsidRDefault="00D11516" w:rsidP="00646DDF">
            <w:pPr>
              <w:spacing w:line="360" w:lineRule="auto"/>
              <w:jc w:val="both"/>
              <w:rPr>
                <w:rFonts w:ascii="Arial" w:eastAsia="Times New Roman" w:hAnsi="Arial" w:cs="Arial"/>
                <w:color w:val="000000" w:themeColor="text1"/>
                <w:sz w:val="24"/>
                <w:szCs w:val="24"/>
              </w:rPr>
            </w:pPr>
            <w:r w:rsidRPr="008D5603">
              <w:rPr>
                <w:rFonts w:ascii="Arial" w:eastAsia="Times New Roman" w:hAnsi="Arial" w:cs="Arial"/>
                <w:color w:val="000000" w:themeColor="text1"/>
                <w:sz w:val="24"/>
                <w:szCs w:val="24"/>
              </w:rPr>
              <w:t xml:space="preserve">Glucoraphanin </w:t>
            </w:r>
          </w:p>
        </w:tc>
        <w:tc>
          <w:tcPr>
            <w:tcW w:w="2273" w:type="dxa"/>
            <w:tcBorders>
              <w:left w:val="single" w:sz="4" w:space="0" w:color="auto"/>
              <w:right w:val="single" w:sz="4" w:space="0" w:color="auto"/>
            </w:tcBorders>
          </w:tcPr>
          <w:p w14:paraId="489A5964" w14:textId="77777777" w:rsidR="00D11516" w:rsidRPr="008D5603" w:rsidRDefault="00D11516" w:rsidP="00646DDF">
            <w:pPr>
              <w:spacing w:line="360" w:lineRule="auto"/>
              <w:jc w:val="both"/>
              <w:rPr>
                <w:rFonts w:ascii="Arial" w:eastAsia="Times New Roman" w:hAnsi="Arial" w:cs="Arial"/>
                <w:i/>
                <w:color w:val="000000" w:themeColor="text1"/>
                <w:sz w:val="24"/>
                <w:szCs w:val="24"/>
              </w:rPr>
            </w:pPr>
            <w:r w:rsidRPr="008D5603">
              <w:rPr>
                <w:rFonts w:ascii="Arial" w:eastAsia="Times New Roman" w:hAnsi="Arial" w:cs="Arial"/>
                <w:i/>
                <w:color w:val="000000" w:themeColor="text1"/>
                <w:sz w:val="24"/>
                <w:szCs w:val="24"/>
              </w:rPr>
              <w:t xml:space="preserve">Broccoli </w:t>
            </w:r>
          </w:p>
        </w:tc>
        <w:tc>
          <w:tcPr>
            <w:tcW w:w="2830" w:type="dxa"/>
            <w:tcBorders>
              <w:left w:val="single" w:sz="4" w:space="0" w:color="auto"/>
              <w:right w:val="single" w:sz="4" w:space="0" w:color="auto"/>
            </w:tcBorders>
          </w:tcPr>
          <w:p w14:paraId="64643AC0" w14:textId="77777777" w:rsidR="00D11516" w:rsidRPr="005A4D3A" w:rsidRDefault="00D11516" w:rsidP="00646DDF">
            <w:pPr>
              <w:spacing w:line="360" w:lineRule="auto"/>
              <w:jc w:val="both"/>
              <w:rPr>
                <w:rFonts w:ascii="Arial" w:eastAsia="Times New Roman" w:hAnsi="Arial" w:cs="Arial"/>
                <w:color w:val="000000" w:themeColor="text1"/>
                <w:sz w:val="24"/>
                <w:szCs w:val="24"/>
              </w:rPr>
            </w:pPr>
            <w:r w:rsidRPr="005A4D3A">
              <w:rPr>
                <w:rFonts w:ascii="Arial" w:eastAsia="Times New Roman" w:hAnsi="Arial" w:cs="Arial"/>
                <w:color w:val="000000" w:themeColor="text1"/>
                <w:sz w:val="24"/>
                <w:szCs w:val="24"/>
              </w:rPr>
              <w:t>4-methylsulfinylbutyl</w:t>
            </w:r>
          </w:p>
        </w:tc>
        <w:tc>
          <w:tcPr>
            <w:tcW w:w="2273" w:type="dxa"/>
            <w:tcBorders>
              <w:left w:val="single" w:sz="4" w:space="0" w:color="auto"/>
            </w:tcBorders>
          </w:tcPr>
          <w:p w14:paraId="742EC764" w14:textId="77777777" w:rsidR="00D11516" w:rsidRPr="00A65A4C" w:rsidRDefault="00D11516" w:rsidP="00646DDF">
            <w:pPr>
              <w:spacing w:line="360" w:lineRule="auto"/>
              <w:jc w:val="both"/>
              <w:rPr>
                <w:rFonts w:ascii="Arial" w:eastAsia="Times New Roman" w:hAnsi="Arial" w:cs="Arial"/>
                <w:color w:val="000000" w:themeColor="text1"/>
                <w:sz w:val="24"/>
                <w:szCs w:val="24"/>
              </w:rPr>
            </w:pPr>
            <w:r w:rsidRPr="00A65A4C">
              <w:rPr>
                <w:rFonts w:ascii="Arial" w:eastAsia="Times New Roman" w:hAnsi="Arial" w:cs="Arial"/>
                <w:color w:val="000000" w:themeColor="text1"/>
                <w:sz w:val="24"/>
                <w:szCs w:val="24"/>
              </w:rPr>
              <w:t>GRA</w:t>
            </w:r>
          </w:p>
        </w:tc>
      </w:tr>
      <w:tr w:rsidR="00D11516" w:rsidRPr="008D5603" w14:paraId="7B57544E" w14:textId="77777777" w:rsidTr="001716B4">
        <w:trPr>
          <w:trHeight w:val="458"/>
        </w:trPr>
        <w:tc>
          <w:tcPr>
            <w:tcW w:w="2547" w:type="dxa"/>
            <w:tcBorders>
              <w:right w:val="single" w:sz="4" w:space="0" w:color="auto"/>
            </w:tcBorders>
          </w:tcPr>
          <w:p w14:paraId="544DD5B0" w14:textId="77777777" w:rsidR="00D11516" w:rsidRPr="008D5603" w:rsidRDefault="00D11516" w:rsidP="00646DDF">
            <w:pPr>
              <w:spacing w:line="360" w:lineRule="auto"/>
              <w:jc w:val="both"/>
              <w:rPr>
                <w:rFonts w:ascii="Arial" w:eastAsia="Times New Roman" w:hAnsi="Arial" w:cs="Arial"/>
                <w:color w:val="000000" w:themeColor="text1"/>
                <w:sz w:val="24"/>
                <w:szCs w:val="24"/>
              </w:rPr>
            </w:pPr>
            <w:proofErr w:type="spellStart"/>
            <w:r w:rsidRPr="008D5603">
              <w:rPr>
                <w:rFonts w:ascii="Arial" w:eastAsia="Times New Roman" w:hAnsi="Arial" w:cs="Arial"/>
                <w:color w:val="000000" w:themeColor="text1"/>
                <w:sz w:val="24"/>
                <w:szCs w:val="24"/>
              </w:rPr>
              <w:t>Glucoraphasatin</w:t>
            </w:r>
            <w:proofErr w:type="spellEnd"/>
            <w:r w:rsidRPr="008D5603">
              <w:rPr>
                <w:rFonts w:ascii="Arial" w:eastAsia="Times New Roman" w:hAnsi="Arial" w:cs="Arial"/>
                <w:color w:val="000000" w:themeColor="text1"/>
                <w:sz w:val="24"/>
                <w:szCs w:val="24"/>
              </w:rPr>
              <w:t xml:space="preserve"> </w:t>
            </w:r>
          </w:p>
        </w:tc>
        <w:tc>
          <w:tcPr>
            <w:tcW w:w="2273" w:type="dxa"/>
            <w:tcBorders>
              <w:left w:val="single" w:sz="4" w:space="0" w:color="auto"/>
              <w:right w:val="single" w:sz="4" w:space="0" w:color="auto"/>
            </w:tcBorders>
          </w:tcPr>
          <w:p w14:paraId="490BB66D" w14:textId="77777777" w:rsidR="00D11516" w:rsidRPr="008D5603" w:rsidRDefault="00D11516" w:rsidP="00646DDF">
            <w:pPr>
              <w:spacing w:line="360" w:lineRule="auto"/>
              <w:jc w:val="both"/>
              <w:rPr>
                <w:rFonts w:ascii="Arial" w:eastAsia="Times New Roman" w:hAnsi="Arial" w:cs="Arial"/>
                <w:i/>
                <w:color w:val="000000" w:themeColor="text1"/>
                <w:sz w:val="24"/>
                <w:szCs w:val="24"/>
              </w:rPr>
            </w:pPr>
            <w:r w:rsidRPr="008D5603">
              <w:rPr>
                <w:rFonts w:ascii="Arial" w:eastAsia="Times New Roman" w:hAnsi="Arial" w:cs="Arial"/>
                <w:i/>
                <w:color w:val="000000" w:themeColor="text1"/>
                <w:sz w:val="24"/>
                <w:szCs w:val="24"/>
              </w:rPr>
              <w:t xml:space="preserve">Raphanus sativus </w:t>
            </w:r>
          </w:p>
        </w:tc>
        <w:tc>
          <w:tcPr>
            <w:tcW w:w="2830" w:type="dxa"/>
            <w:tcBorders>
              <w:left w:val="single" w:sz="4" w:space="0" w:color="auto"/>
              <w:right w:val="single" w:sz="4" w:space="0" w:color="auto"/>
            </w:tcBorders>
          </w:tcPr>
          <w:p w14:paraId="6162463E" w14:textId="77777777" w:rsidR="00D11516" w:rsidRPr="005A4D3A" w:rsidRDefault="00D11516" w:rsidP="00646DDF">
            <w:pPr>
              <w:spacing w:line="360" w:lineRule="auto"/>
              <w:jc w:val="both"/>
              <w:rPr>
                <w:rFonts w:ascii="Arial" w:eastAsia="Times New Roman" w:hAnsi="Arial" w:cs="Arial"/>
                <w:color w:val="000000" w:themeColor="text1"/>
                <w:sz w:val="24"/>
                <w:szCs w:val="24"/>
              </w:rPr>
            </w:pPr>
            <w:r w:rsidRPr="005A4D3A">
              <w:rPr>
                <w:rFonts w:ascii="Arial" w:eastAsia="Times New Roman" w:hAnsi="Arial" w:cs="Arial"/>
                <w:color w:val="000000" w:themeColor="text1"/>
                <w:sz w:val="24"/>
                <w:szCs w:val="24"/>
              </w:rPr>
              <w:t xml:space="preserve">4-methylthio-3-butenyl </w:t>
            </w:r>
          </w:p>
        </w:tc>
        <w:tc>
          <w:tcPr>
            <w:tcW w:w="2273" w:type="dxa"/>
            <w:tcBorders>
              <w:left w:val="single" w:sz="4" w:space="0" w:color="auto"/>
            </w:tcBorders>
          </w:tcPr>
          <w:p w14:paraId="122D9FC7" w14:textId="77777777" w:rsidR="00D11516" w:rsidRPr="00A65A4C" w:rsidRDefault="00D11516" w:rsidP="00646DDF">
            <w:pPr>
              <w:spacing w:line="360" w:lineRule="auto"/>
              <w:jc w:val="both"/>
              <w:rPr>
                <w:rFonts w:ascii="Arial" w:eastAsia="Times New Roman" w:hAnsi="Arial" w:cs="Arial"/>
                <w:color w:val="000000" w:themeColor="text1"/>
                <w:sz w:val="24"/>
                <w:szCs w:val="24"/>
              </w:rPr>
            </w:pPr>
            <w:r w:rsidRPr="00A65A4C">
              <w:rPr>
                <w:rFonts w:ascii="Arial" w:eastAsia="Times New Roman" w:hAnsi="Arial" w:cs="Arial"/>
                <w:color w:val="000000" w:themeColor="text1"/>
                <w:sz w:val="24"/>
                <w:szCs w:val="24"/>
              </w:rPr>
              <w:t>GRH</w:t>
            </w:r>
          </w:p>
        </w:tc>
      </w:tr>
      <w:tr w:rsidR="00D11516" w:rsidRPr="008D5603" w14:paraId="2F053EFA" w14:textId="77777777" w:rsidTr="00240F03">
        <w:tc>
          <w:tcPr>
            <w:tcW w:w="2547" w:type="dxa"/>
            <w:tcBorders>
              <w:right w:val="single" w:sz="4" w:space="0" w:color="auto"/>
            </w:tcBorders>
          </w:tcPr>
          <w:p w14:paraId="604A2B52" w14:textId="77777777" w:rsidR="00D11516" w:rsidRPr="008D5603" w:rsidRDefault="00D11516" w:rsidP="00646DDF">
            <w:pPr>
              <w:spacing w:line="360" w:lineRule="auto"/>
              <w:jc w:val="both"/>
              <w:rPr>
                <w:rFonts w:ascii="Arial" w:eastAsia="Times New Roman" w:hAnsi="Arial" w:cs="Arial"/>
                <w:color w:val="000000" w:themeColor="text1"/>
                <w:sz w:val="24"/>
                <w:szCs w:val="24"/>
              </w:rPr>
            </w:pPr>
            <w:proofErr w:type="spellStart"/>
            <w:r w:rsidRPr="008D5603">
              <w:rPr>
                <w:rFonts w:ascii="Arial" w:eastAsia="Times New Roman" w:hAnsi="Arial" w:cs="Arial"/>
                <w:color w:val="000000" w:themeColor="text1"/>
                <w:sz w:val="24"/>
                <w:szCs w:val="24"/>
              </w:rPr>
              <w:t>Glucoraphenin</w:t>
            </w:r>
            <w:proofErr w:type="spellEnd"/>
            <w:r w:rsidRPr="008D5603">
              <w:rPr>
                <w:rFonts w:ascii="Arial" w:eastAsia="Times New Roman" w:hAnsi="Arial" w:cs="Arial"/>
                <w:color w:val="000000" w:themeColor="text1"/>
                <w:sz w:val="24"/>
                <w:szCs w:val="24"/>
              </w:rPr>
              <w:t xml:space="preserve"> </w:t>
            </w:r>
          </w:p>
        </w:tc>
        <w:tc>
          <w:tcPr>
            <w:tcW w:w="2273" w:type="dxa"/>
            <w:tcBorders>
              <w:left w:val="single" w:sz="4" w:space="0" w:color="auto"/>
              <w:right w:val="single" w:sz="4" w:space="0" w:color="auto"/>
            </w:tcBorders>
          </w:tcPr>
          <w:p w14:paraId="186CD3B7" w14:textId="77777777" w:rsidR="00D11516" w:rsidRPr="008D5603" w:rsidRDefault="00D11516" w:rsidP="00646DDF">
            <w:pPr>
              <w:spacing w:line="360" w:lineRule="auto"/>
              <w:jc w:val="both"/>
              <w:rPr>
                <w:rFonts w:ascii="Arial" w:eastAsia="Times New Roman" w:hAnsi="Arial" w:cs="Arial"/>
                <w:i/>
                <w:color w:val="000000" w:themeColor="text1"/>
                <w:sz w:val="24"/>
                <w:szCs w:val="24"/>
              </w:rPr>
            </w:pPr>
            <w:r w:rsidRPr="008D5603">
              <w:rPr>
                <w:rFonts w:ascii="Arial" w:eastAsia="Times New Roman" w:hAnsi="Arial" w:cs="Arial"/>
                <w:i/>
                <w:color w:val="000000" w:themeColor="text1"/>
                <w:sz w:val="24"/>
                <w:szCs w:val="24"/>
              </w:rPr>
              <w:t xml:space="preserve">Raphanus sativus </w:t>
            </w:r>
          </w:p>
        </w:tc>
        <w:tc>
          <w:tcPr>
            <w:tcW w:w="2830" w:type="dxa"/>
            <w:tcBorders>
              <w:left w:val="single" w:sz="4" w:space="0" w:color="auto"/>
              <w:right w:val="single" w:sz="4" w:space="0" w:color="auto"/>
            </w:tcBorders>
          </w:tcPr>
          <w:p w14:paraId="2202CEAD" w14:textId="77777777" w:rsidR="00D11516" w:rsidRPr="005A4D3A" w:rsidRDefault="00D11516" w:rsidP="00646DDF">
            <w:pPr>
              <w:spacing w:line="360" w:lineRule="auto"/>
              <w:jc w:val="both"/>
              <w:rPr>
                <w:rFonts w:ascii="Arial" w:eastAsia="Times New Roman" w:hAnsi="Arial" w:cs="Arial"/>
                <w:color w:val="000000" w:themeColor="text1"/>
                <w:sz w:val="24"/>
                <w:szCs w:val="24"/>
              </w:rPr>
            </w:pPr>
            <w:r w:rsidRPr="005A4D3A">
              <w:rPr>
                <w:rFonts w:ascii="Arial" w:eastAsia="Times New Roman" w:hAnsi="Arial" w:cs="Arial"/>
                <w:color w:val="000000" w:themeColor="text1"/>
                <w:sz w:val="24"/>
                <w:szCs w:val="24"/>
              </w:rPr>
              <w:t xml:space="preserve">4-methylsufunyl-3-butenyl </w:t>
            </w:r>
          </w:p>
        </w:tc>
        <w:tc>
          <w:tcPr>
            <w:tcW w:w="2273" w:type="dxa"/>
            <w:tcBorders>
              <w:left w:val="single" w:sz="4" w:space="0" w:color="auto"/>
            </w:tcBorders>
          </w:tcPr>
          <w:p w14:paraId="60BF895A" w14:textId="77777777" w:rsidR="00D11516" w:rsidRPr="00A65A4C" w:rsidRDefault="00D11516" w:rsidP="00646DDF">
            <w:pPr>
              <w:spacing w:line="360" w:lineRule="auto"/>
              <w:jc w:val="both"/>
              <w:rPr>
                <w:rFonts w:ascii="Arial" w:eastAsia="Times New Roman" w:hAnsi="Arial" w:cs="Arial"/>
                <w:color w:val="000000" w:themeColor="text1"/>
                <w:sz w:val="24"/>
                <w:szCs w:val="24"/>
              </w:rPr>
            </w:pPr>
            <w:r w:rsidRPr="00A65A4C">
              <w:rPr>
                <w:rFonts w:ascii="Arial" w:eastAsia="Times New Roman" w:hAnsi="Arial" w:cs="Arial"/>
                <w:color w:val="000000" w:themeColor="text1"/>
                <w:sz w:val="24"/>
                <w:szCs w:val="24"/>
              </w:rPr>
              <w:t>GRE</w:t>
            </w:r>
          </w:p>
        </w:tc>
      </w:tr>
      <w:tr w:rsidR="00D11516" w:rsidRPr="008D5603" w14:paraId="46EE614F" w14:textId="77777777" w:rsidTr="00240F03">
        <w:tc>
          <w:tcPr>
            <w:tcW w:w="2547" w:type="dxa"/>
            <w:tcBorders>
              <w:bottom w:val="single" w:sz="4" w:space="0" w:color="auto"/>
              <w:right w:val="single" w:sz="4" w:space="0" w:color="auto"/>
            </w:tcBorders>
          </w:tcPr>
          <w:p w14:paraId="774DCB44" w14:textId="77777777" w:rsidR="00D11516" w:rsidRPr="008D5603" w:rsidRDefault="00D11516" w:rsidP="00646DDF">
            <w:pPr>
              <w:spacing w:line="360" w:lineRule="auto"/>
              <w:jc w:val="both"/>
              <w:rPr>
                <w:rFonts w:ascii="Arial" w:eastAsia="Times New Roman" w:hAnsi="Arial" w:cs="Arial"/>
                <w:color w:val="000000" w:themeColor="text1"/>
                <w:sz w:val="24"/>
                <w:szCs w:val="24"/>
              </w:rPr>
            </w:pPr>
            <w:proofErr w:type="spellStart"/>
            <w:r w:rsidRPr="008D5603">
              <w:rPr>
                <w:rFonts w:ascii="Arial" w:eastAsia="Times New Roman" w:hAnsi="Arial" w:cs="Arial"/>
                <w:color w:val="000000" w:themeColor="text1"/>
                <w:sz w:val="24"/>
                <w:szCs w:val="24"/>
              </w:rPr>
              <w:t>Glucoalyssin</w:t>
            </w:r>
            <w:proofErr w:type="spellEnd"/>
            <w:r w:rsidRPr="008D5603">
              <w:rPr>
                <w:rFonts w:ascii="Arial" w:eastAsia="Times New Roman" w:hAnsi="Arial" w:cs="Arial"/>
                <w:color w:val="000000" w:themeColor="text1"/>
                <w:sz w:val="24"/>
                <w:szCs w:val="24"/>
              </w:rPr>
              <w:t xml:space="preserve"> </w:t>
            </w:r>
          </w:p>
        </w:tc>
        <w:tc>
          <w:tcPr>
            <w:tcW w:w="2273" w:type="dxa"/>
            <w:tcBorders>
              <w:left w:val="single" w:sz="4" w:space="0" w:color="auto"/>
              <w:bottom w:val="single" w:sz="4" w:space="0" w:color="auto"/>
              <w:right w:val="single" w:sz="4" w:space="0" w:color="auto"/>
            </w:tcBorders>
          </w:tcPr>
          <w:p w14:paraId="7E7BF6B8" w14:textId="77777777" w:rsidR="00D11516" w:rsidRPr="008D5603" w:rsidRDefault="00D11516" w:rsidP="00646DDF">
            <w:pPr>
              <w:spacing w:line="360" w:lineRule="auto"/>
              <w:jc w:val="both"/>
              <w:rPr>
                <w:rFonts w:ascii="Arial" w:eastAsia="Times New Roman" w:hAnsi="Arial" w:cs="Arial"/>
                <w:i/>
                <w:color w:val="000000" w:themeColor="text1"/>
                <w:sz w:val="24"/>
                <w:szCs w:val="24"/>
              </w:rPr>
            </w:pPr>
          </w:p>
        </w:tc>
        <w:tc>
          <w:tcPr>
            <w:tcW w:w="2830" w:type="dxa"/>
            <w:tcBorders>
              <w:left w:val="single" w:sz="4" w:space="0" w:color="auto"/>
              <w:bottom w:val="single" w:sz="4" w:space="0" w:color="auto"/>
              <w:right w:val="single" w:sz="4" w:space="0" w:color="auto"/>
            </w:tcBorders>
          </w:tcPr>
          <w:p w14:paraId="74B4FD55" w14:textId="77777777" w:rsidR="00D11516" w:rsidRPr="005A4D3A" w:rsidRDefault="00D11516" w:rsidP="00646DDF">
            <w:pPr>
              <w:spacing w:line="360" w:lineRule="auto"/>
              <w:jc w:val="both"/>
              <w:rPr>
                <w:rFonts w:ascii="Arial" w:eastAsia="Times New Roman" w:hAnsi="Arial" w:cs="Arial"/>
                <w:color w:val="000000" w:themeColor="text1"/>
                <w:sz w:val="24"/>
                <w:szCs w:val="24"/>
              </w:rPr>
            </w:pPr>
            <w:r w:rsidRPr="005A4D3A">
              <w:rPr>
                <w:rFonts w:ascii="Arial" w:eastAsia="Times New Roman" w:hAnsi="Arial" w:cs="Arial"/>
                <w:color w:val="000000" w:themeColor="text1"/>
                <w:sz w:val="24"/>
                <w:szCs w:val="24"/>
              </w:rPr>
              <w:t xml:space="preserve">5-methylsufunylpentyl </w:t>
            </w:r>
          </w:p>
        </w:tc>
        <w:tc>
          <w:tcPr>
            <w:tcW w:w="2273" w:type="dxa"/>
            <w:tcBorders>
              <w:left w:val="single" w:sz="4" w:space="0" w:color="auto"/>
              <w:bottom w:val="single" w:sz="4" w:space="0" w:color="auto"/>
            </w:tcBorders>
          </w:tcPr>
          <w:p w14:paraId="5E6795E5" w14:textId="77777777" w:rsidR="00D11516" w:rsidRPr="00A65A4C" w:rsidRDefault="00D11516" w:rsidP="00646DDF">
            <w:pPr>
              <w:spacing w:line="360" w:lineRule="auto"/>
              <w:jc w:val="both"/>
              <w:rPr>
                <w:rFonts w:ascii="Arial" w:eastAsia="Times New Roman" w:hAnsi="Arial" w:cs="Arial"/>
                <w:color w:val="000000" w:themeColor="text1"/>
                <w:sz w:val="24"/>
                <w:szCs w:val="24"/>
              </w:rPr>
            </w:pPr>
            <w:r w:rsidRPr="00A65A4C">
              <w:rPr>
                <w:rFonts w:ascii="Arial" w:eastAsia="Times New Roman" w:hAnsi="Arial" w:cs="Arial"/>
                <w:color w:val="000000" w:themeColor="text1"/>
                <w:sz w:val="24"/>
                <w:szCs w:val="24"/>
              </w:rPr>
              <w:t>GAL</w:t>
            </w:r>
          </w:p>
        </w:tc>
      </w:tr>
      <w:tr w:rsidR="001F6587" w:rsidRPr="008D5603" w14:paraId="78D37D39" w14:textId="77777777" w:rsidTr="00240F03">
        <w:tc>
          <w:tcPr>
            <w:tcW w:w="2547" w:type="dxa"/>
            <w:tcBorders>
              <w:bottom w:val="single" w:sz="4" w:space="0" w:color="auto"/>
              <w:right w:val="single" w:sz="4" w:space="0" w:color="auto"/>
            </w:tcBorders>
          </w:tcPr>
          <w:p w14:paraId="464579AC" w14:textId="77777777" w:rsidR="001F6587" w:rsidRPr="008D5603" w:rsidRDefault="001F6587" w:rsidP="00646DDF">
            <w:pPr>
              <w:spacing w:line="360" w:lineRule="auto"/>
              <w:jc w:val="both"/>
              <w:rPr>
                <w:rFonts w:ascii="Arial" w:eastAsia="Times New Roman" w:hAnsi="Arial" w:cs="Arial"/>
                <w:color w:val="000000" w:themeColor="text1"/>
                <w:sz w:val="24"/>
                <w:szCs w:val="24"/>
              </w:rPr>
            </w:pPr>
          </w:p>
        </w:tc>
        <w:tc>
          <w:tcPr>
            <w:tcW w:w="2273" w:type="dxa"/>
            <w:tcBorders>
              <w:left w:val="single" w:sz="4" w:space="0" w:color="auto"/>
              <w:bottom w:val="single" w:sz="4" w:space="0" w:color="auto"/>
              <w:right w:val="single" w:sz="4" w:space="0" w:color="auto"/>
            </w:tcBorders>
          </w:tcPr>
          <w:p w14:paraId="72599505" w14:textId="77777777" w:rsidR="001F6587" w:rsidRPr="008D5603" w:rsidRDefault="001F6587" w:rsidP="00646DDF">
            <w:pPr>
              <w:spacing w:line="360" w:lineRule="auto"/>
              <w:jc w:val="both"/>
              <w:rPr>
                <w:rFonts w:ascii="Arial" w:eastAsia="Times New Roman" w:hAnsi="Arial" w:cs="Arial"/>
                <w:i/>
                <w:color w:val="000000" w:themeColor="text1"/>
                <w:sz w:val="24"/>
                <w:szCs w:val="24"/>
              </w:rPr>
            </w:pPr>
          </w:p>
        </w:tc>
        <w:tc>
          <w:tcPr>
            <w:tcW w:w="2830" w:type="dxa"/>
            <w:tcBorders>
              <w:left w:val="single" w:sz="4" w:space="0" w:color="auto"/>
              <w:bottom w:val="single" w:sz="4" w:space="0" w:color="auto"/>
              <w:right w:val="single" w:sz="4" w:space="0" w:color="auto"/>
            </w:tcBorders>
          </w:tcPr>
          <w:p w14:paraId="71B6E357" w14:textId="77777777" w:rsidR="001F6587" w:rsidRPr="005A4D3A" w:rsidRDefault="001F6587" w:rsidP="00646DDF">
            <w:pPr>
              <w:spacing w:line="360" w:lineRule="auto"/>
              <w:jc w:val="both"/>
              <w:rPr>
                <w:rFonts w:ascii="Arial" w:eastAsia="Times New Roman" w:hAnsi="Arial" w:cs="Arial"/>
                <w:color w:val="000000" w:themeColor="text1"/>
                <w:sz w:val="24"/>
                <w:szCs w:val="24"/>
              </w:rPr>
            </w:pPr>
          </w:p>
        </w:tc>
        <w:tc>
          <w:tcPr>
            <w:tcW w:w="2273" w:type="dxa"/>
            <w:tcBorders>
              <w:left w:val="single" w:sz="4" w:space="0" w:color="auto"/>
              <w:bottom w:val="single" w:sz="4" w:space="0" w:color="auto"/>
            </w:tcBorders>
          </w:tcPr>
          <w:p w14:paraId="103C6AA2" w14:textId="77777777" w:rsidR="001F6587" w:rsidRPr="00A65A4C" w:rsidRDefault="001F6587" w:rsidP="00646DDF">
            <w:pPr>
              <w:spacing w:line="360" w:lineRule="auto"/>
              <w:jc w:val="both"/>
              <w:rPr>
                <w:rFonts w:ascii="Arial" w:eastAsia="Times New Roman" w:hAnsi="Arial" w:cs="Arial"/>
                <w:color w:val="000000" w:themeColor="text1"/>
                <w:sz w:val="24"/>
                <w:szCs w:val="24"/>
              </w:rPr>
            </w:pPr>
          </w:p>
        </w:tc>
      </w:tr>
      <w:tr w:rsidR="00D11516" w:rsidRPr="008D5603" w14:paraId="2D25A01B" w14:textId="77777777" w:rsidTr="00240F03">
        <w:tc>
          <w:tcPr>
            <w:tcW w:w="9923" w:type="dxa"/>
            <w:gridSpan w:val="4"/>
            <w:tcBorders>
              <w:top w:val="single" w:sz="4" w:space="0" w:color="auto"/>
              <w:bottom w:val="single" w:sz="4" w:space="0" w:color="auto"/>
            </w:tcBorders>
          </w:tcPr>
          <w:p w14:paraId="4217FBDA" w14:textId="2149E250" w:rsidR="00D11516" w:rsidRPr="008D5603" w:rsidRDefault="00D11516" w:rsidP="00646DDF">
            <w:pPr>
              <w:spacing w:line="360" w:lineRule="auto"/>
              <w:rPr>
                <w:rFonts w:ascii="Arial" w:eastAsia="Times New Roman" w:hAnsi="Arial" w:cs="Arial"/>
                <w:b/>
                <w:color w:val="000000" w:themeColor="text1"/>
                <w:sz w:val="24"/>
                <w:szCs w:val="24"/>
              </w:rPr>
            </w:pPr>
          </w:p>
        </w:tc>
      </w:tr>
      <w:tr w:rsidR="001F6587" w:rsidRPr="008D5603" w14:paraId="7C45CB69" w14:textId="77777777" w:rsidTr="00240F03">
        <w:tc>
          <w:tcPr>
            <w:tcW w:w="9923" w:type="dxa"/>
            <w:gridSpan w:val="4"/>
            <w:tcBorders>
              <w:top w:val="single" w:sz="4" w:space="0" w:color="auto"/>
              <w:bottom w:val="single" w:sz="4" w:space="0" w:color="auto"/>
            </w:tcBorders>
          </w:tcPr>
          <w:p w14:paraId="68A425AA" w14:textId="5EF76B56" w:rsidR="001F6587" w:rsidRPr="008D5603" w:rsidRDefault="001F6587" w:rsidP="00646DDF">
            <w:pPr>
              <w:spacing w:line="360" w:lineRule="auto"/>
              <w:rPr>
                <w:rFonts w:ascii="Arial" w:eastAsia="Times New Roman" w:hAnsi="Arial" w:cs="Arial"/>
                <w:b/>
                <w:color w:val="000000" w:themeColor="text1"/>
                <w:sz w:val="24"/>
                <w:szCs w:val="24"/>
              </w:rPr>
            </w:pPr>
            <w:r w:rsidRPr="008D5603">
              <w:rPr>
                <w:rFonts w:ascii="Arial" w:eastAsia="Times New Roman" w:hAnsi="Arial" w:cs="Arial"/>
                <w:b/>
                <w:color w:val="000000" w:themeColor="text1"/>
                <w:sz w:val="24"/>
                <w:szCs w:val="24"/>
              </w:rPr>
              <w:t>Category 4: Indole type</w:t>
            </w:r>
          </w:p>
        </w:tc>
      </w:tr>
      <w:tr w:rsidR="00D11516" w:rsidRPr="008D5603" w14:paraId="4656B839" w14:textId="77777777" w:rsidTr="00240F03">
        <w:tc>
          <w:tcPr>
            <w:tcW w:w="2547" w:type="dxa"/>
            <w:tcBorders>
              <w:top w:val="single" w:sz="4" w:space="0" w:color="auto"/>
              <w:right w:val="single" w:sz="4" w:space="0" w:color="auto"/>
            </w:tcBorders>
          </w:tcPr>
          <w:p w14:paraId="177BF158" w14:textId="77777777" w:rsidR="00D11516" w:rsidRPr="008D5603" w:rsidRDefault="00D11516" w:rsidP="00646DDF">
            <w:pPr>
              <w:spacing w:line="360" w:lineRule="auto"/>
              <w:jc w:val="both"/>
              <w:rPr>
                <w:rFonts w:ascii="Arial" w:eastAsia="Times New Roman" w:hAnsi="Arial" w:cs="Arial"/>
                <w:color w:val="000000" w:themeColor="text1"/>
                <w:sz w:val="24"/>
                <w:szCs w:val="24"/>
              </w:rPr>
            </w:pPr>
            <w:proofErr w:type="spellStart"/>
            <w:r w:rsidRPr="008D5603">
              <w:rPr>
                <w:rFonts w:ascii="Arial" w:eastAsia="Times New Roman" w:hAnsi="Arial" w:cs="Arial"/>
                <w:color w:val="000000" w:themeColor="text1"/>
                <w:sz w:val="24"/>
                <w:szCs w:val="24"/>
              </w:rPr>
              <w:t>Glucobrassicin</w:t>
            </w:r>
            <w:proofErr w:type="spellEnd"/>
            <w:r w:rsidRPr="008D5603">
              <w:rPr>
                <w:rFonts w:ascii="Arial" w:eastAsia="Times New Roman" w:hAnsi="Arial" w:cs="Arial"/>
                <w:color w:val="000000" w:themeColor="text1"/>
                <w:sz w:val="24"/>
                <w:szCs w:val="24"/>
              </w:rPr>
              <w:t xml:space="preserve"> </w:t>
            </w:r>
          </w:p>
        </w:tc>
        <w:tc>
          <w:tcPr>
            <w:tcW w:w="2273" w:type="dxa"/>
            <w:tcBorders>
              <w:top w:val="single" w:sz="4" w:space="0" w:color="auto"/>
              <w:left w:val="single" w:sz="4" w:space="0" w:color="auto"/>
              <w:right w:val="single" w:sz="4" w:space="0" w:color="auto"/>
            </w:tcBorders>
          </w:tcPr>
          <w:p w14:paraId="08E68607" w14:textId="77777777" w:rsidR="00D11516" w:rsidRPr="008D5603" w:rsidRDefault="00D11516" w:rsidP="00646DDF">
            <w:pPr>
              <w:spacing w:line="360" w:lineRule="auto"/>
              <w:jc w:val="both"/>
              <w:rPr>
                <w:rFonts w:ascii="Arial" w:eastAsia="Times New Roman" w:hAnsi="Arial" w:cs="Arial"/>
                <w:i/>
                <w:color w:val="000000" w:themeColor="text1"/>
                <w:sz w:val="24"/>
                <w:szCs w:val="24"/>
              </w:rPr>
            </w:pPr>
            <w:proofErr w:type="spellStart"/>
            <w:r w:rsidRPr="008D5603">
              <w:rPr>
                <w:rFonts w:ascii="Arial" w:eastAsia="Times New Roman" w:hAnsi="Arial" w:cs="Arial"/>
                <w:i/>
                <w:color w:val="000000" w:themeColor="text1"/>
                <w:sz w:val="24"/>
                <w:szCs w:val="24"/>
              </w:rPr>
              <w:t>Isatis</w:t>
            </w:r>
            <w:proofErr w:type="spellEnd"/>
            <w:r w:rsidRPr="008D5603">
              <w:rPr>
                <w:rFonts w:ascii="Arial" w:eastAsia="Times New Roman" w:hAnsi="Arial" w:cs="Arial"/>
                <w:i/>
                <w:color w:val="000000" w:themeColor="text1"/>
                <w:sz w:val="24"/>
                <w:szCs w:val="24"/>
              </w:rPr>
              <w:t xml:space="preserve"> tinctoria </w:t>
            </w:r>
          </w:p>
        </w:tc>
        <w:tc>
          <w:tcPr>
            <w:tcW w:w="2830" w:type="dxa"/>
            <w:tcBorders>
              <w:top w:val="single" w:sz="4" w:space="0" w:color="auto"/>
              <w:left w:val="single" w:sz="4" w:space="0" w:color="auto"/>
              <w:right w:val="single" w:sz="4" w:space="0" w:color="auto"/>
            </w:tcBorders>
          </w:tcPr>
          <w:p w14:paraId="0EB071D8" w14:textId="77777777" w:rsidR="00D11516" w:rsidRPr="005A4D3A" w:rsidRDefault="00D11516" w:rsidP="00646DDF">
            <w:pPr>
              <w:spacing w:line="360" w:lineRule="auto"/>
              <w:jc w:val="both"/>
              <w:rPr>
                <w:rFonts w:ascii="Arial" w:eastAsia="Times New Roman" w:hAnsi="Arial" w:cs="Arial"/>
                <w:color w:val="000000" w:themeColor="text1"/>
                <w:sz w:val="24"/>
                <w:szCs w:val="24"/>
              </w:rPr>
            </w:pPr>
            <w:r w:rsidRPr="005A4D3A">
              <w:rPr>
                <w:rFonts w:ascii="Arial" w:eastAsia="Times New Roman" w:hAnsi="Arial" w:cs="Arial"/>
                <w:color w:val="000000" w:themeColor="text1"/>
                <w:sz w:val="24"/>
                <w:szCs w:val="24"/>
              </w:rPr>
              <w:t xml:space="preserve">3-indolylemethyl </w:t>
            </w:r>
          </w:p>
        </w:tc>
        <w:tc>
          <w:tcPr>
            <w:tcW w:w="2273" w:type="dxa"/>
            <w:tcBorders>
              <w:top w:val="single" w:sz="4" w:space="0" w:color="auto"/>
              <w:left w:val="single" w:sz="4" w:space="0" w:color="auto"/>
            </w:tcBorders>
          </w:tcPr>
          <w:p w14:paraId="220C20E5" w14:textId="77777777" w:rsidR="00D11516" w:rsidRPr="005A4D3A" w:rsidRDefault="00D11516" w:rsidP="00646DDF">
            <w:pPr>
              <w:spacing w:line="360" w:lineRule="auto"/>
              <w:jc w:val="both"/>
              <w:rPr>
                <w:rFonts w:ascii="Arial" w:eastAsia="Times New Roman" w:hAnsi="Arial" w:cs="Arial"/>
                <w:color w:val="000000" w:themeColor="text1"/>
                <w:sz w:val="24"/>
                <w:szCs w:val="24"/>
              </w:rPr>
            </w:pPr>
            <w:r w:rsidRPr="005A4D3A">
              <w:rPr>
                <w:rFonts w:ascii="Arial" w:eastAsia="Times New Roman" w:hAnsi="Arial" w:cs="Arial"/>
                <w:color w:val="000000" w:themeColor="text1"/>
                <w:sz w:val="24"/>
                <w:szCs w:val="24"/>
              </w:rPr>
              <w:t xml:space="preserve">GBS </w:t>
            </w:r>
          </w:p>
        </w:tc>
      </w:tr>
      <w:tr w:rsidR="00D11516" w:rsidRPr="008D5603" w14:paraId="43FC31E5" w14:textId="77777777" w:rsidTr="00240F03">
        <w:tc>
          <w:tcPr>
            <w:tcW w:w="2547" w:type="dxa"/>
            <w:tcBorders>
              <w:right w:val="single" w:sz="4" w:space="0" w:color="auto"/>
            </w:tcBorders>
          </w:tcPr>
          <w:p w14:paraId="07E6440B" w14:textId="77777777" w:rsidR="00D11516" w:rsidRPr="008D5603" w:rsidRDefault="00D11516" w:rsidP="00646DDF">
            <w:pPr>
              <w:spacing w:line="360" w:lineRule="auto"/>
              <w:jc w:val="both"/>
              <w:rPr>
                <w:rFonts w:ascii="Arial" w:eastAsia="Times New Roman" w:hAnsi="Arial" w:cs="Arial"/>
                <w:color w:val="000000" w:themeColor="text1"/>
                <w:sz w:val="24"/>
                <w:szCs w:val="24"/>
              </w:rPr>
            </w:pPr>
            <w:r w:rsidRPr="008D5603">
              <w:rPr>
                <w:rFonts w:ascii="Arial" w:eastAsia="Times New Roman" w:hAnsi="Arial" w:cs="Arial"/>
                <w:color w:val="000000" w:themeColor="text1"/>
                <w:sz w:val="24"/>
                <w:szCs w:val="24"/>
              </w:rPr>
              <w:t xml:space="preserve">4-OH-Glucobrassicin </w:t>
            </w:r>
          </w:p>
        </w:tc>
        <w:tc>
          <w:tcPr>
            <w:tcW w:w="2273" w:type="dxa"/>
            <w:tcBorders>
              <w:left w:val="single" w:sz="4" w:space="0" w:color="auto"/>
              <w:right w:val="single" w:sz="4" w:space="0" w:color="auto"/>
            </w:tcBorders>
          </w:tcPr>
          <w:p w14:paraId="27CD0B9A" w14:textId="77777777" w:rsidR="00D11516" w:rsidRPr="008D5603" w:rsidRDefault="00D11516" w:rsidP="00646DDF">
            <w:pPr>
              <w:spacing w:line="360" w:lineRule="auto"/>
              <w:jc w:val="both"/>
              <w:rPr>
                <w:rFonts w:ascii="Arial" w:eastAsia="Times New Roman" w:hAnsi="Arial" w:cs="Arial"/>
                <w:i/>
                <w:color w:val="000000" w:themeColor="text1"/>
                <w:sz w:val="24"/>
                <w:szCs w:val="24"/>
              </w:rPr>
            </w:pPr>
          </w:p>
        </w:tc>
        <w:tc>
          <w:tcPr>
            <w:tcW w:w="2830" w:type="dxa"/>
            <w:tcBorders>
              <w:left w:val="single" w:sz="4" w:space="0" w:color="auto"/>
              <w:right w:val="single" w:sz="4" w:space="0" w:color="auto"/>
            </w:tcBorders>
          </w:tcPr>
          <w:p w14:paraId="0042CFDE" w14:textId="77777777" w:rsidR="00D11516" w:rsidRPr="005A4D3A" w:rsidRDefault="00D11516" w:rsidP="00646DDF">
            <w:pPr>
              <w:spacing w:line="360" w:lineRule="auto"/>
              <w:jc w:val="both"/>
              <w:rPr>
                <w:rFonts w:ascii="Arial" w:eastAsia="Times New Roman" w:hAnsi="Arial" w:cs="Arial"/>
                <w:color w:val="000000" w:themeColor="text1"/>
                <w:sz w:val="24"/>
                <w:szCs w:val="24"/>
              </w:rPr>
            </w:pPr>
            <w:r w:rsidRPr="005A4D3A">
              <w:rPr>
                <w:rFonts w:ascii="Arial" w:eastAsia="Times New Roman" w:hAnsi="Arial" w:cs="Arial"/>
                <w:color w:val="000000" w:themeColor="text1"/>
                <w:sz w:val="24"/>
                <w:szCs w:val="24"/>
              </w:rPr>
              <w:t xml:space="preserve">4-hydroxy-3- </w:t>
            </w:r>
            <w:proofErr w:type="spellStart"/>
            <w:r w:rsidRPr="005A4D3A">
              <w:rPr>
                <w:rFonts w:ascii="Arial" w:eastAsia="Times New Roman" w:hAnsi="Arial" w:cs="Arial"/>
                <w:color w:val="000000" w:themeColor="text1"/>
                <w:sz w:val="24"/>
                <w:szCs w:val="24"/>
              </w:rPr>
              <w:t>indolylemethyl</w:t>
            </w:r>
            <w:proofErr w:type="spellEnd"/>
          </w:p>
        </w:tc>
        <w:tc>
          <w:tcPr>
            <w:tcW w:w="2273" w:type="dxa"/>
            <w:tcBorders>
              <w:left w:val="single" w:sz="4" w:space="0" w:color="auto"/>
            </w:tcBorders>
          </w:tcPr>
          <w:p w14:paraId="1E2D1E9D" w14:textId="77777777" w:rsidR="00D11516" w:rsidRPr="005A4D3A" w:rsidRDefault="00D11516" w:rsidP="00646DDF">
            <w:pPr>
              <w:spacing w:line="360" w:lineRule="auto"/>
              <w:jc w:val="both"/>
              <w:rPr>
                <w:rFonts w:ascii="Arial" w:eastAsia="Times New Roman" w:hAnsi="Arial" w:cs="Arial"/>
                <w:color w:val="000000" w:themeColor="text1"/>
                <w:sz w:val="24"/>
                <w:szCs w:val="24"/>
              </w:rPr>
            </w:pPr>
            <w:r w:rsidRPr="005A4D3A">
              <w:rPr>
                <w:rFonts w:ascii="Arial" w:eastAsia="Times New Roman" w:hAnsi="Arial" w:cs="Arial"/>
                <w:color w:val="000000" w:themeColor="text1"/>
                <w:sz w:val="24"/>
                <w:szCs w:val="24"/>
              </w:rPr>
              <w:t>4-OHGBS</w:t>
            </w:r>
          </w:p>
        </w:tc>
      </w:tr>
      <w:tr w:rsidR="00D11516" w:rsidRPr="008D5603" w14:paraId="66FE6B6C" w14:textId="77777777" w:rsidTr="00240F03">
        <w:tc>
          <w:tcPr>
            <w:tcW w:w="2547" w:type="dxa"/>
            <w:tcBorders>
              <w:right w:val="single" w:sz="4" w:space="0" w:color="auto"/>
            </w:tcBorders>
          </w:tcPr>
          <w:p w14:paraId="3D1303A5" w14:textId="77777777" w:rsidR="00D11516" w:rsidRPr="008D5603" w:rsidRDefault="00D11516" w:rsidP="00646DDF">
            <w:pPr>
              <w:spacing w:line="360" w:lineRule="auto"/>
              <w:jc w:val="both"/>
              <w:rPr>
                <w:rFonts w:ascii="Arial" w:eastAsia="Times New Roman" w:hAnsi="Arial" w:cs="Arial"/>
                <w:color w:val="000000" w:themeColor="text1"/>
                <w:sz w:val="24"/>
                <w:szCs w:val="24"/>
              </w:rPr>
            </w:pPr>
            <w:r w:rsidRPr="008D5603">
              <w:rPr>
                <w:rFonts w:ascii="Arial" w:eastAsia="Times New Roman" w:hAnsi="Arial" w:cs="Arial"/>
                <w:color w:val="000000" w:themeColor="text1"/>
                <w:sz w:val="24"/>
                <w:szCs w:val="24"/>
              </w:rPr>
              <w:t xml:space="preserve">4-OMe </w:t>
            </w:r>
            <w:proofErr w:type="spellStart"/>
            <w:r w:rsidRPr="008D5603">
              <w:rPr>
                <w:rFonts w:ascii="Arial" w:eastAsia="Times New Roman" w:hAnsi="Arial" w:cs="Arial"/>
                <w:color w:val="000000" w:themeColor="text1"/>
                <w:sz w:val="24"/>
                <w:szCs w:val="24"/>
              </w:rPr>
              <w:t>Glucobrassicin</w:t>
            </w:r>
            <w:proofErr w:type="spellEnd"/>
          </w:p>
        </w:tc>
        <w:tc>
          <w:tcPr>
            <w:tcW w:w="2273" w:type="dxa"/>
            <w:tcBorders>
              <w:left w:val="single" w:sz="4" w:space="0" w:color="auto"/>
              <w:right w:val="single" w:sz="4" w:space="0" w:color="auto"/>
            </w:tcBorders>
          </w:tcPr>
          <w:p w14:paraId="1D7FA889" w14:textId="77777777" w:rsidR="00D11516" w:rsidRPr="008D5603" w:rsidRDefault="00D11516" w:rsidP="00646DDF">
            <w:pPr>
              <w:spacing w:line="360" w:lineRule="auto"/>
              <w:jc w:val="both"/>
              <w:rPr>
                <w:rFonts w:ascii="Arial" w:eastAsia="Times New Roman" w:hAnsi="Arial" w:cs="Arial"/>
                <w:i/>
                <w:color w:val="000000" w:themeColor="text1"/>
                <w:sz w:val="24"/>
                <w:szCs w:val="24"/>
              </w:rPr>
            </w:pPr>
          </w:p>
        </w:tc>
        <w:tc>
          <w:tcPr>
            <w:tcW w:w="2830" w:type="dxa"/>
            <w:tcBorders>
              <w:left w:val="single" w:sz="4" w:space="0" w:color="auto"/>
              <w:right w:val="single" w:sz="4" w:space="0" w:color="auto"/>
            </w:tcBorders>
          </w:tcPr>
          <w:p w14:paraId="45715035" w14:textId="77777777" w:rsidR="00D11516" w:rsidRPr="005A4D3A" w:rsidRDefault="00D11516" w:rsidP="00646DDF">
            <w:pPr>
              <w:spacing w:line="360" w:lineRule="auto"/>
              <w:jc w:val="both"/>
              <w:rPr>
                <w:rFonts w:ascii="Arial" w:eastAsia="Times New Roman" w:hAnsi="Arial" w:cs="Arial"/>
                <w:color w:val="000000" w:themeColor="text1"/>
                <w:sz w:val="24"/>
                <w:szCs w:val="24"/>
              </w:rPr>
            </w:pPr>
            <w:r w:rsidRPr="005A4D3A">
              <w:rPr>
                <w:rFonts w:ascii="Arial" w:eastAsia="Times New Roman" w:hAnsi="Arial" w:cs="Arial"/>
                <w:color w:val="000000" w:themeColor="text1"/>
                <w:sz w:val="24"/>
                <w:szCs w:val="24"/>
              </w:rPr>
              <w:t xml:space="preserve">4-methoxy-3-indolylmethyl </w:t>
            </w:r>
          </w:p>
        </w:tc>
        <w:tc>
          <w:tcPr>
            <w:tcW w:w="2273" w:type="dxa"/>
            <w:tcBorders>
              <w:left w:val="single" w:sz="4" w:space="0" w:color="auto"/>
            </w:tcBorders>
          </w:tcPr>
          <w:p w14:paraId="271EE330" w14:textId="77777777" w:rsidR="00D11516" w:rsidRPr="005A4D3A" w:rsidRDefault="00D11516" w:rsidP="00646DDF">
            <w:pPr>
              <w:spacing w:line="360" w:lineRule="auto"/>
              <w:jc w:val="both"/>
              <w:rPr>
                <w:rFonts w:ascii="Arial" w:eastAsia="Times New Roman" w:hAnsi="Arial" w:cs="Arial"/>
                <w:color w:val="000000" w:themeColor="text1"/>
                <w:sz w:val="24"/>
                <w:szCs w:val="24"/>
              </w:rPr>
            </w:pPr>
            <w:r w:rsidRPr="005A4D3A">
              <w:rPr>
                <w:rFonts w:ascii="Arial" w:eastAsia="Times New Roman" w:hAnsi="Arial" w:cs="Arial"/>
                <w:color w:val="000000" w:themeColor="text1"/>
                <w:sz w:val="24"/>
                <w:szCs w:val="24"/>
              </w:rPr>
              <w:t>4-OMeGBS</w:t>
            </w:r>
          </w:p>
        </w:tc>
      </w:tr>
      <w:tr w:rsidR="00D11516" w:rsidRPr="008D5603" w14:paraId="7012FE6B" w14:textId="77777777" w:rsidTr="00240F03">
        <w:tc>
          <w:tcPr>
            <w:tcW w:w="2547" w:type="dxa"/>
            <w:tcBorders>
              <w:bottom w:val="single" w:sz="4" w:space="0" w:color="auto"/>
              <w:right w:val="single" w:sz="4" w:space="0" w:color="auto"/>
            </w:tcBorders>
          </w:tcPr>
          <w:p w14:paraId="496BF6E9" w14:textId="77777777" w:rsidR="00D11516" w:rsidRPr="008D5603" w:rsidRDefault="00D11516" w:rsidP="00646DDF">
            <w:pPr>
              <w:spacing w:line="360" w:lineRule="auto"/>
              <w:jc w:val="both"/>
              <w:rPr>
                <w:rFonts w:ascii="Arial" w:eastAsia="Times New Roman" w:hAnsi="Arial" w:cs="Arial"/>
                <w:color w:val="000000" w:themeColor="text1"/>
                <w:sz w:val="24"/>
                <w:szCs w:val="24"/>
              </w:rPr>
            </w:pPr>
            <w:r w:rsidRPr="008D5603">
              <w:rPr>
                <w:rFonts w:ascii="Arial" w:eastAsia="Times New Roman" w:hAnsi="Arial" w:cs="Arial"/>
                <w:color w:val="000000" w:themeColor="text1"/>
                <w:sz w:val="24"/>
                <w:szCs w:val="24"/>
              </w:rPr>
              <w:t>Neo-</w:t>
            </w:r>
            <w:proofErr w:type="spellStart"/>
            <w:r w:rsidRPr="008D5603">
              <w:rPr>
                <w:rFonts w:ascii="Arial" w:eastAsia="Times New Roman" w:hAnsi="Arial" w:cs="Arial"/>
                <w:color w:val="000000" w:themeColor="text1"/>
                <w:sz w:val="24"/>
                <w:szCs w:val="24"/>
              </w:rPr>
              <w:t>glucobrassicin</w:t>
            </w:r>
            <w:proofErr w:type="spellEnd"/>
            <w:r w:rsidRPr="008D5603">
              <w:rPr>
                <w:rFonts w:ascii="Arial" w:eastAsia="Times New Roman" w:hAnsi="Arial" w:cs="Arial"/>
                <w:color w:val="000000" w:themeColor="text1"/>
                <w:sz w:val="24"/>
                <w:szCs w:val="24"/>
              </w:rPr>
              <w:t xml:space="preserve"> </w:t>
            </w:r>
          </w:p>
        </w:tc>
        <w:tc>
          <w:tcPr>
            <w:tcW w:w="2273" w:type="dxa"/>
            <w:tcBorders>
              <w:left w:val="single" w:sz="4" w:space="0" w:color="auto"/>
              <w:bottom w:val="single" w:sz="4" w:space="0" w:color="auto"/>
              <w:right w:val="single" w:sz="4" w:space="0" w:color="auto"/>
            </w:tcBorders>
          </w:tcPr>
          <w:p w14:paraId="4DEC18F8" w14:textId="77777777" w:rsidR="00D11516" w:rsidRPr="008D5603" w:rsidRDefault="00D11516" w:rsidP="00646DDF">
            <w:pPr>
              <w:spacing w:line="360" w:lineRule="auto"/>
              <w:jc w:val="both"/>
              <w:rPr>
                <w:rFonts w:ascii="Arial" w:eastAsia="Times New Roman" w:hAnsi="Arial" w:cs="Arial"/>
                <w:i/>
                <w:color w:val="000000" w:themeColor="text1"/>
                <w:sz w:val="24"/>
                <w:szCs w:val="24"/>
              </w:rPr>
            </w:pPr>
          </w:p>
        </w:tc>
        <w:tc>
          <w:tcPr>
            <w:tcW w:w="2830" w:type="dxa"/>
            <w:tcBorders>
              <w:left w:val="single" w:sz="4" w:space="0" w:color="auto"/>
              <w:bottom w:val="single" w:sz="4" w:space="0" w:color="auto"/>
              <w:right w:val="single" w:sz="4" w:space="0" w:color="auto"/>
            </w:tcBorders>
          </w:tcPr>
          <w:p w14:paraId="7586B124" w14:textId="77777777" w:rsidR="00D11516" w:rsidRPr="005A4D3A" w:rsidRDefault="00D11516" w:rsidP="00646DDF">
            <w:pPr>
              <w:spacing w:line="360" w:lineRule="auto"/>
              <w:jc w:val="both"/>
              <w:rPr>
                <w:rFonts w:ascii="Arial" w:eastAsia="Times New Roman" w:hAnsi="Arial" w:cs="Arial"/>
                <w:color w:val="000000" w:themeColor="text1"/>
                <w:sz w:val="24"/>
                <w:szCs w:val="24"/>
              </w:rPr>
            </w:pPr>
            <w:r w:rsidRPr="005A4D3A">
              <w:rPr>
                <w:rFonts w:ascii="Arial" w:eastAsia="Times New Roman" w:hAnsi="Arial" w:cs="Arial"/>
                <w:color w:val="000000" w:themeColor="text1"/>
                <w:sz w:val="24"/>
                <w:szCs w:val="24"/>
              </w:rPr>
              <w:t xml:space="preserve">1-methoxy-3-indolylmethyl </w:t>
            </w:r>
          </w:p>
        </w:tc>
        <w:tc>
          <w:tcPr>
            <w:tcW w:w="2273" w:type="dxa"/>
            <w:tcBorders>
              <w:left w:val="single" w:sz="4" w:space="0" w:color="auto"/>
              <w:bottom w:val="single" w:sz="4" w:space="0" w:color="auto"/>
            </w:tcBorders>
          </w:tcPr>
          <w:p w14:paraId="4B46A41E" w14:textId="77777777" w:rsidR="00D11516" w:rsidRPr="005A4D3A" w:rsidRDefault="00D11516" w:rsidP="00646DDF">
            <w:pPr>
              <w:spacing w:line="360" w:lineRule="auto"/>
              <w:jc w:val="both"/>
              <w:rPr>
                <w:rFonts w:ascii="Arial" w:eastAsia="Times New Roman" w:hAnsi="Arial" w:cs="Arial"/>
                <w:color w:val="000000" w:themeColor="text1"/>
                <w:sz w:val="24"/>
                <w:szCs w:val="24"/>
              </w:rPr>
            </w:pPr>
            <w:r w:rsidRPr="005A4D3A">
              <w:rPr>
                <w:rFonts w:ascii="Arial" w:eastAsia="Times New Roman" w:hAnsi="Arial" w:cs="Arial"/>
                <w:color w:val="000000" w:themeColor="text1"/>
                <w:sz w:val="24"/>
                <w:szCs w:val="24"/>
              </w:rPr>
              <w:t xml:space="preserve">neo-GBS </w:t>
            </w:r>
          </w:p>
        </w:tc>
      </w:tr>
    </w:tbl>
    <w:p w14:paraId="0B4EF438" w14:textId="77777777" w:rsidR="00A858EC" w:rsidRDefault="00A858EC" w:rsidP="007375EA">
      <w:pPr>
        <w:spacing w:line="360" w:lineRule="auto"/>
        <w:rPr>
          <w:rFonts w:ascii="Arial" w:eastAsia="Times New Roman" w:hAnsi="Arial" w:cs="Arial"/>
          <w:b/>
          <w:color w:val="000000" w:themeColor="text1"/>
          <w:sz w:val="24"/>
          <w:szCs w:val="24"/>
        </w:rPr>
        <w:sectPr w:rsidR="00A858EC" w:rsidSect="0001359F">
          <w:pgSz w:w="12240" w:h="15840" w:code="1"/>
          <w:pgMar w:top="1440" w:right="1440" w:bottom="1440" w:left="1440" w:header="708" w:footer="708" w:gutter="0"/>
          <w:cols w:space="708"/>
          <w:docGrid w:linePitch="360"/>
        </w:sectPr>
      </w:pPr>
    </w:p>
    <w:p w14:paraId="48D4E3BC" w14:textId="2BE60A89" w:rsidR="00A26479" w:rsidRPr="00DD3BE0" w:rsidRDefault="00F011C1" w:rsidP="00C10D2B">
      <w:pPr>
        <w:pStyle w:val="Heading4"/>
        <w:numPr>
          <w:ilvl w:val="0"/>
          <w:numId w:val="50"/>
        </w:numPr>
        <w:spacing w:line="360" w:lineRule="auto"/>
        <w:rPr>
          <w:rFonts w:ascii="Arial" w:hAnsi="Arial" w:cs="Arial"/>
          <w:b/>
          <w:color w:val="000000" w:themeColor="text1"/>
        </w:rPr>
      </w:pPr>
      <w:r w:rsidRPr="00DD3BE0">
        <w:rPr>
          <w:rFonts w:ascii="Arial" w:hAnsi="Arial" w:cs="Arial"/>
          <w:b/>
          <w:color w:val="000000" w:themeColor="text1"/>
        </w:rPr>
        <w:lastRenderedPageBreak/>
        <w:t xml:space="preserve">Degradation of </w:t>
      </w:r>
      <w:r w:rsidR="00265552" w:rsidRPr="00DD3BE0">
        <w:rPr>
          <w:rFonts w:ascii="Arial" w:hAnsi="Arial" w:cs="Arial"/>
          <w:b/>
          <w:color w:val="000000" w:themeColor="text1"/>
        </w:rPr>
        <w:t>g</w:t>
      </w:r>
      <w:r w:rsidRPr="00DD3BE0">
        <w:rPr>
          <w:rFonts w:ascii="Arial" w:hAnsi="Arial" w:cs="Arial"/>
          <w:b/>
          <w:color w:val="000000" w:themeColor="text1"/>
        </w:rPr>
        <w:t xml:space="preserve">lucosinolates </w:t>
      </w:r>
    </w:p>
    <w:p w14:paraId="77CB8CB0" w14:textId="62C5D68A" w:rsidR="00A26479" w:rsidRPr="002B3D8A" w:rsidRDefault="00F011C1" w:rsidP="0040026F">
      <w:pPr>
        <w:spacing w:line="360" w:lineRule="auto"/>
        <w:ind w:left="-284"/>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Physical damage of brassica plant tissues such as maceration, slow freezing, thawing, chopping or chewing, causes release of the glucosinolates which </w:t>
      </w:r>
      <w:r w:rsidR="000775C9">
        <w:rPr>
          <w:rFonts w:ascii="Arial" w:eastAsia="Times New Roman" w:hAnsi="Arial" w:cs="Arial"/>
          <w:color w:val="000000" w:themeColor="text1"/>
          <w:sz w:val="24"/>
          <w:szCs w:val="24"/>
        </w:rPr>
        <w:t>are</w:t>
      </w:r>
      <w:r>
        <w:rPr>
          <w:rFonts w:ascii="Arial" w:eastAsia="Times New Roman" w:hAnsi="Arial" w:cs="Arial"/>
          <w:color w:val="000000" w:themeColor="text1"/>
          <w:sz w:val="24"/>
          <w:szCs w:val="24"/>
        </w:rPr>
        <w:t xml:space="preserve"> localised in vacuoles by cell organelles into the cell cytoplasm </w:t>
      </w:r>
      <w:r w:rsidR="000775C9">
        <w:rPr>
          <w:rFonts w:ascii="Arial" w:eastAsia="Times New Roman" w:hAnsi="Arial" w:cs="Arial"/>
          <w:color w:val="000000" w:themeColor="text1"/>
          <w:sz w:val="24"/>
          <w:szCs w:val="24"/>
        </w:rPr>
        <w:t xml:space="preserve">where it is comes </w:t>
      </w:r>
      <w:r w:rsidR="000775C9" w:rsidRPr="002B3D8A">
        <w:rPr>
          <w:rFonts w:ascii="Arial" w:eastAsia="Times New Roman" w:hAnsi="Arial" w:cs="Arial"/>
          <w:color w:val="000000" w:themeColor="text1"/>
          <w:sz w:val="24"/>
          <w:szCs w:val="24"/>
        </w:rPr>
        <w:t>into contact with endogenous thioglucosidases (myrosinases), located in the cell cytoplasm of separate cells (myrosin cells)</w:t>
      </w:r>
      <w:r w:rsidR="000775C9">
        <w:rPr>
          <w:rFonts w:ascii="Arial" w:eastAsia="Times New Roman" w:hAnsi="Arial" w:cs="Arial"/>
          <w:color w:val="000000" w:themeColor="text1"/>
          <w:sz w:val="24"/>
          <w:szCs w:val="24"/>
        </w:rPr>
        <w:t xml:space="preserve"> and is hydrolysed</w:t>
      </w:r>
      <w:r w:rsidR="00455DD6">
        <w:rPr>
          <w:rFonts w:ascii="Arial" w:eastAsia="Times New Roman" w:hAnsi="Arial" w:cs="Arial"/>
          <w:color w:val="000000" w:themeColor="text1"/>
          <w:sz w:val="24"/>
          <w:szCs w:val="24"/>
        </w:rPr>
        <w:t xml:space="preserve"> </w:t>
      </w:r>
      <w:r w:rsidR="00455DD6">
        <w:rPr>
          <w:rFonts w:ascii="Arial" w:eastAsia="Times New Roman" w:hAnsi="Arial" w:cs="Arial"/>
          <w:color w:val="000000" w:themeColor="text1"/>
          <w:sz w:val="24"/>
          <w:szCs w:val="24"/>
        </w:rPr>
        <w:fldChar w:fldCharType="begin" w:fldLock="1"/>
      </w:r>
      <w:r w:rsidR="001B2A7F">
        <w:rPr>
          <w:rFonts w:ascii="Arial" w:eastAsia="Times New Roman" w:hAnsi="Arial" w:cs="Arial"/>
          <w:color w:val="000000" w:themeColor="text1"/>
          <w:sz w:val="24"/>
          <w:szCs w:val="24"/>
        </w:rPr>
        <w:instrText>ADDIN CSL_CITATION {"citationItems":[{"id":"ITEM-1","itemData":{"DOI":"10.1016/S0031-9422(02)00549-6","ISSN":"0031-9422","abstract":"The glucosinolate content of various organs of the model plant Arabidopsis thaliana (L.) Heynh., Columbia (Col-0) ecotype, was analyzed at different stages during its life cycle. Significant differences were noted among organs in both glucosinolate concentration and composition. Dormant and germinating seeds had the highest concentration (2.5-3.3% by dry weight), followed by inflorescences, siliques (fruits), leaves and roots. While aliphatic glucosinolates predominated in most organs, indole glucosinolates made up nearly half of the total composition in roots and late-stage rosette leaves. Seeds had a very distinctive glucosinolate composition. They possessed much higher concentrations of several types of aliphatic glucosinolates than other organs, including methylthioalkyl and, hydroxyalkyl glucosinolates and compounds with benzoate esters than other organs. From a developmental perspective, older leaves had lower glucosinolate concentrations than younger leaves, but this was not due to decreasing concentrations in individual leaves with age (glucosinolate concentration was stable during leaf expansion). Rather, leaves initiated earlier in development simply had much lower rates of glucosinolate accumulation per dry weight gain throughout their lifetimes. During seed germination and leaf senescence, there were significant declines in glucosinolate concentration. The physiological and ecological significance of these findings is briefly discussed. © 2003 Elsevier Science Ltd. All rights reserved.","author":[{"dropping-particle":"","family":"Brown","given":"Paul D.","non-dropping-particle":"","parse-names":false,"suffix":""},{"dropping-particle":"","family":"Tokuhisa","given":"Jim G.","non-dropping-particle":"","parse-names":false,"suffix":""},{"dropping-particle":"","family":"Reichelt","given":"Michael","non-dropping-particle":"","parse-names":false,"suffix":""},{"dropping-particle":"","family":"Gershenzon","given":"Jonathan","non-dropping-particle":"","parse-names":false,"suffix":""}],"container-title":"Phytochemistry","id":"ITEM-1","issue":"3","issued":{"date-parts":[["2003","2","1"]]},"page":"471-481","publisher":"Pergamon","title":"Variation of glucosinolate accumulation among different organs and developmental stages of Arabidopsis thaliana","type":"article-journal","volume":"62"},"uris":["http://www.mendeley.com/documents/?uuid=4bcbfd64-8612-3b78-a196-e1e15b527cd2"]}],"mendeley":{"formattedCitation":"(Brown &lt;i&gt;et al.&lt;/i&gt;, 2003)","plainTextFormattedCitation":"(Brown et al., 2003)","previouslyFormattedCitation":"(Brown &lt;i&gt;et al.&lt;/i&gt;, 2003)"},"properties":{"noteIndex":0},"schema":"https://github.com/citation-style-language/schema/raw/master/csl-citation.json"}</w:instrText>
      </w:r>
      <w:r w:rsidR="00455DD6">
        <w:rPr>
          <w:rFonts w:ascii="Arial" w:eastAsia="Times New Roman" w:hAnsi="Arial" w:cs="Arial"/>
          <w:color w:val="000000" w:themeColor="text1"/>
          <w:sz w:val="24"/>
          <w:szCs w:val="24"/>
        </w:rPr>
        <w:fldChar w:fldCharType="separate"/>
      </w:r>
      <w:r w:rsidR="00455DD6" w:rsidRPr="00455DD6">
        <w:rPr>
          <w:rFonts w:ascii="Arial" w:eastAsia="Times New Roman" w:hAnsi="Arial" w:cs="Arial"/>
          <w:noProof/>
          <w:color w:val="000000" w:themeColor="text1"/>
          <w:sz w:val="24"/>
          <w:szCs w:val="24"/>
        </w:rPr>
        <w:t xml:space="preserve">(Brown </w:t>
      </w:r>
      <w:r w:rsidR="00455DD6" w:rsidRPr="00455DD6">
        <w:rPr>
          <w:rFonts w:ascii="Arial" w:eastAsia="Times New Roman" w:hAnsi="Arial" w:cs="Arial"/>
          <w:i/>
          <w:noProof/>
          <w:color w:val="000000" w:themeColor="text1"/>
          <w:sz w:val="24"/>
          <w:szCs w:val="24"/>
        </w:rPr>
        <w:t>et al.</w:t>
      </w:r>
      <w:r w:rsidR="00455DD6" w:rsidRPr="00455DD6">
        <w:rPr>
          <w:rFonts w:ascii="Arial" w:eastAsia="Times New Roman" w:hAnsi="Arial" w:cs="Arial"/>
          <w:noProof/>
          <w:color w:val="000000" w:themeColor="text1"/>
          <w:sz w:val="24"/>
          <w:szCs w:val="24"/>
        </w:rPr>
        <w:t>, 2003)</w:t>
      </w:r>
      <w:r w:rsidR="00455DD6">
        <w:rPr>
          <w:rFonts w:ascii="Arial" w:eastAsia="Times New Roman" w:hAnsi="Arial" w:cs="Arial"/>
          <w:color w:val="000000" w:themeColor="text1"/>
          <w:sz w:val="24"/>
          <w:szCs w:val="24"/>
        </w:rPr>
        <w:fldChar w:fldCharType="end"/>
      </w:r>
      <w:r w:rsidR="00747B2E">
        <w:rPr>
          <w:rFonts w:ascii="Arial" w:eastAsia="Times New Roman" w:hAnsi="Arial" w:cs="Arial"/>
          <w:color w:val="000000" w:themeColor="text1"/>
          <w:sz w:val="24"/>
          <w:szCs w:val="24"/>
        </w:rPr>
        <w:t>.</w:t>
      </w:r>
      <w:r w:rsidR="000775C9">
        <w:rPr>
          <w:rFonts w:ascii="Arial" w:eastAsia="Times New Roman" w:hAnsi="Arial" w:cs="Arial"/>
          <w:color w:val="000000" w:themeColor="text1"/>
          <w:sz w:val="24"/>
          <w:szCs w:val="24"/>
        </w:rPr>
        <w:t>T</w:t>
      </w:r>
      <w:r w:rsidR="000775C9" w:rsidRPr="002B3D8A">
        <w:rPr>
          <w:rFonts w:ascii="Arial" w:eastAsia="Times New Roman" w:hAnsi="Arial" w:cs="Arial"/>
          <w:color w:val="000000" w:themeColor="text1"/>
          <w:sz w:val="24"/>
          <w:szCs w:val="24"/>
        </w:rPr>
        <w:t xml:space="preserve">he hydrolysis </w:t>
      </w:r>
      <w:r w:rsidR="000775C9">
        <w:rPr>
          <w:rFonts w:ascii="Arial" w:eastAsia="Times New Roman" w:hAnsi="Arial" w:cs="Arial"/>
          <w:color w:val="000000" w:themeColor="text1"/>
          <w:sz w:val="24"/>
          <w:szCs w:val="24"/>
        </w:rPr>
        <w:t xml:space="preserve">results </w:t>
      </w:r>
      <w:r w:rsidR="000775C9" w:rsidRPr="002B3D8A">
        <w:rPr>
          <w:rFonts w:ascii="Arial" w:eastAsia="Times New Roman" w:hAnsi="Arial" w:cs="Arial"/>
          <w:color w:val="000000" w:themeColor="text1"/>
          <w:sz w:val="24"/>
          <w:szCs w:val="24"/>
        </w:rPr>
        <w:t xml:space="preserve">to conversion of the compounds to corresponding aglycons which then decompose to release of bioactive compounds such as nitriles, thiocyanates, and isothiocyanates depending on the R-group and prevailing chemical conditions in a process known as GLS-MYR system </w:t>
      </w:r>
      <w:r w:rsidR="000775C9" w:rsidRPr="002B3D8A">
        <w:rPr>
          <w:rFonts w:ascii="Arial" w:eastAsia="Times New Roman" w:hAnsi="Arial" w:cs="Arial"/>
          <w:color w:val="000000" w:themeColor="text1"/>
          <w:sz w:val="24"/>
          <w:szCs w:val="24"/>
        </w:rPr>
        <w:fldChar w:fldCharType="begin" w:fldLock="1"/>
      </w:r>
      <w:r w:rsidR="00D36042">
        <w:rPr>
          <w:rFonts w:ascii="Arial" w:eastAsia="Times New Roman" w:hAnsi="Arial" w:cs="Arial"/>
          <w:color w:val="000000" w:themeColor="text1"/>
          <w:sz w:val="24"/>
          <w:szCs w:val="24"/>
        </w:rPr>
        <w:instrText>ADDIN CSL_CITATION {"citationItems":[{"id":"ITEM-1","itemData":{"DOI":"10.1016/j.cpb.2019.02.001","ISSN":"22146628","abstract":"Plant-parasitic nematodes (PPNs)are considered as one of the major limiting factors in global crop production system. Due to the introduction of tighter limits in registering new biocidal molecules and a gradual phase-out of nematicides for high environmental impact, considerations for non-chemical alternatives have been realised. The biofumigation technique which involves the incorporation of mechanically chopped brassicaceous plant material into the soil to control soilborne nematodes offers an attractive alternative for PPN management. Biofumigant effect is mainly caused by the volatile and toxic isothiocynates originated from the hydrolysis of secondary metabolite glucosinolate present in the Brassica tissues. The scope of biofumigation has been expanded to other non-brassica plants which produce volatile pathogen-suppressing molecules. The graminaceous plants such as sorghum and sudangrass are known to produce nematicidal cyanides via enzymatic hydrolysis of precursor cyanogenic glycoside/dhurrin. The allelopathic plant marigold is known to produce α-terthienyl, which has shown potential biofumigation effect against PPNs. The objective of this review is to detail the tactics used to manipulate various brassica and non-brassica biofumigant crops and to present the mechanisms responsible for PPN suppression by these crops. The ecological aspects underpinning the responses of PPNs to these crops were not austerely discussed in earlier literature. Herein, we present a holistic assessment of the impact of biofumigation technique in managing PPNs in various crops and explore the employability of this technique in integrated nematode management (INM)practices.","author":[{"dropping-particle":"","family":"Dutta","given":"Tushar K.","non-dropping-particle":"","parse-names":false,"suffix":""},{"dropping-particle":"","family":"Khan","given":"Matiyar R.","non-dropping-particle":"","parse-names":false,"suffix":""},{"dropping-particle":"","family":"Phani","given":"Victor","non-dropping-particle":"","parse-names":false,"suffix":""}],"container-title":"Current Plant Biology","id":"ITEM-1","issue":"February","issued":{"date-parts":[["2019"]]},"page":"17-32","publisher":"Elsevier","title":"Plant-parasitic nematode management via biofumigation using brassica and non-brassica plants: Current status and future prospects","type":"article-journal","volume":"17"},"uris":["http://www.mendeley.com/documents/?uuid=da3fa037-8177-4777-80c8-9f65769c50a4"]},{"id":"ITEM-2","itemData":{"DOI":"10.1002/ps.3849","ISSN":"15264998","PMID":"24965697","abstract":"The viability of potato cyst nematode (PCN) populations (Globodera pallida) was evaluated in three field experiments using Brassica juncea, Raphanus sativus and Eruca sativa amendments. These species were summer cultivated and autumn incorporated in experiment 1; in experiment 2, overwintered brassicaceous cover crops were spring incorporated. Experiment 3 involved determination of effects of metconazole application on biomass/glucosinolate production by B. juncea and R. sativus and on PCN pre- and post-incorporation. Glucosinolate contents were determined before incorporation. Following cover crop incorporation, field plots were planted with susceptible potatoes to evaluate the biofumigation effects on PCN reproduction. RESULTS: In experiment 1, PCN population post-potato harvest was reduced (P = 0.03) in B. juncea-treated plots, while R. sativus prevented further multiplication, but in experiment 2 there were no significant effects on PCN reproduction. In experiment 3, B. juncea or R. sativus either untreated or treated with metconazole reduced PCN populations. Glucosinolate concentrations varied significantly between different plant regions and cultivation seasons. Metconazole application increased the sinigrin concentration in B. juncea tissues. Glucosinolate concentrations correlated positively with PCN mortality for summer-cultivated brassicaceous plants. CONCLUSION: The results demonstrated that B. juncea and R. sativus green manures can play an important role in PCN management, particularly if included in an integrated pest management scheme.","author":[{"dropping-particle":"","family":"Ngala","given":"Bruno M.","non-dropping-particle":"","parse-names":false,"suffix":""},{"dropping-particle":"","family":"Haydock","given":"Patrick Pj J","non-dropping-particle":"","parse-names":false,"suffix":""},{"dropping-particle":"","family":"Woods","given":"Simon","non-dropping-particle":"","parse-names":false,"suffix":""},{"dropping-particle":"","family":"Back","given":"Matthew A.","non-dropping-particle":"","parse-names":false,"suffix":""}],"container-title":"Pest Management Science","id":"ITEM-2","issue":"February","issued":{"date-parts":[["2014","5","1"]]},"page":"759-769","publisher":"John Wiley and Sons Ltd","title":"Biofumigation with Brassica juncea , Raphanus sativus and Eruca sativa for the management of field populations of the potato cyst nematode Globodera pallida","type":"article-journal","volume":"71"},"uris":["http://www.mendeley.com/documents/?uuid=e4ec2c3f-f48e-4d54-be48-2a5c0e5b4b6a"]}],"mendeley":{"formattedCitation":"(Ngala &lt;i&gt;et al.&lt;/i&gt;, 2014; Dutta, Khan and Phani, 2019)","manualFormatting":"(Dutta et al., 2019a; ","plainTextFormattedCitation":"(Ngala et al., 2014; Dutta, Khan and Phani, 2019)","previouslyFormattedCitation":"(Ngala &lt;i&gt;et al.&lt;/i&gt;, 2014; Dutta, Khan and Phani, 2019)"},"properties":{"noteIndex":0},"schema":"https://github.com/citation-style-language/schema/raw/master/csl-citation.json"}</w:instrText>
      </w:r>
      <w:r w:rsidR="000775C9" w:rsidRPr="002B3D8A">
        <w:rPr>
          <w:rFonts w:ascii="Arial" w:eastAsia="Times New Roman" w:hAnsi="Arial" w:cs="Arial"/>
          <w:color w:val="000000" w:themeColor="text1"/>
          <w:sz w:val="24"/>
          <w:szCs w:val="24"/>
        </w:rPr>
        <w:fldChar w:fldCharType="separate"/>
      </w:r>
      <w:r w:rsidR="000775C9" w:rsidRPr="002B3D8A">
        <w:rPr>
          <w:rFonts w:ascii="Arial" w:eastAsia="Times New Roman" w:hAnsi="Arial" w:cs="Arial"/>
          <w:noProof/>
          <w:color w:val="000000" w:themeColor="text1"/>
          <w:sz w:val="24"/>
          <w:szCs w:val="24"/>
        </w:rPr>
        <w:t xml:space="preserve">(Dutta et al., 2019a; </w:t>
      </w:r>
      <w:r w:rsidR="000775C9" w:rsidRPr="002B3D8A">
        <w:rPr>
          <w:rFonts w:ascii="Arial" w:eastAsia="Times New Roman" w:hAnsi="Arial" w:cs="Arial"/>
          <w:color w:val="000000" w:themeColor="text1"/>
          <w:sz w:val="24"/>
          <w:szCs w:val="24"/>
        </w:rPr>
        <w:fldChar w:fldCharType="end"/>
      </w:r>
      <w:r w:rsidR="000775C9" w:rsidRPr="002B3D8A">
        <w:rPr>
          <w:rFonts w:ascii="Arial" w:eastAsia="Times New Roman" w:hAnsi="Arial" w:cs="Arial"/>
          <w:color w:val="000000" w:themeColor="text1"/>
          <w:sz w:val="24"/>
          <w:szCs w:val="24"/>
        </w:rPr>
        <w:t>Ngala et al., 2014;Wathelet, 2004).</w:t>
      </w:r>
      <w:r w:rsidR="000775C9" w:rsidRPr="00A26479">
        <w:rPr>
          <w:rFonts w:ascii="Arial" w:eastAsia="Times New Roman" w:hAnsi="Arial" w:cs="Arial"/>
          <w:color w:val="000000" w:themeColor="text1"/>
          <w:sz w:val="24"/>
          <w:szCs w:val="24"/>
        </w:rPr>
        <w:t xml:space="preserve"> </w:t>
      </w:r>
      <w:r w:rsidR="000775C9" w:rsidRPr="002B3D8A">
        <w:rPr>
          <w:rFonts w:ascii="Arial" w:eastAsia="Times New Roman" w:hAnsi="Arial" w:cs="Arial"/>
          <w:color w:val="000000" w:themeColor="text1"/>
          <w:sz w:val="24"/>
          <w:szCs w:val="24"/>
        </w:rPr>
        <w:t>Brassicas additionally produce other toxic sulphur containing hydrolysis products such as dimethyl sulphide, methyl sulphide, dimethyl disulphide, carbon disulphide, methaneiol etc., which may contribute to the biofumigation process Dutta et al., 2019). Glucosinolates</w:t>
      </w:r>
      <w:r w:rsidR="00A26479" w:rsidRPr="002B3D8A">
        <w:rPr>
          <w:rFonts w:ascii="Arial" w:eastAsia="Times New Roman" w:hAnsi="Arial" w:cs="Arial"/>
          <w:color w:val="000000" w:themeColor="text1"/>
          <w:sz w:val="24"/>
          <w:szCs w:val="24"/>
        </w:rPr>
        <w:t xml:space="preserve"> are also occasionally hydrolysed from enzyme myrosinase produced </w:t>
      </w:r>
      <w:r w:rsidR="00A26479" w:rsidRPr="002B3D8A">
        <w:rPr>
          <w:rFonts w:ascii="Arial" w:eastAsia="Times New Roman" w:hAnsi="Arial" w:cs="Arial"/>
          <w:i/>
          <w:color w:val="000000" w:themeColor="text1"/>
          <w:sz w:val="24"/>
          <w:szCs w:val="24"/>
        </w:rPr>
        <w:t>in situ</w:t>
      </w:r>
      <w:r w:rsidR="00A26479" w:rsidRPr="002B3D8A">
        <w:rPr>
          <w:rFonts w:ascii="Arial" w:eastAsia="Times New Roman" w:hAnsi="Arial" w:cs="Arial"/>
          <w:color w:val="000000" w:themeColor="text1"/>
          <w:sz w:val="24"/>
          <w:szCs w:val="24"/>
        </w:rPr>
        <w:t xml:space="preserve"> by soil microbes. Isothiocyanates (ITC) are the most toxic glucosinolates catabolites and are attributed to the biocidal activity of brassica green manures </w:t>
      </w:r>
      <w:sdt>
        <w:sdtPr>
          <w:rPr>
            <w:rFonts w:ascii="Arial" w:eastAsia="Times New Roman" w:hAnsi="Arial" w:cs="Arial"/>
            <w:color w:val="000000" w:themeColor="text1"/>
            <w:sz w:val="24"/>
            <w:szCs w:val="24"/>
          </w:rPr>
          <w:tag w:val="MENDELEY_CITATION_68fc2449-0198-4003-8279-afccdd1bbf07"/>
          <w:id w:val="293792706"/>
          <w:placeholder>
            <w:docPart w:val="B776D24AB5E846DF9939F0A8736E124D"/>
          </w:placeholder>
        </w:sdtPr>
        <w:sdtEndPr/>
        <w:sdtContent>
          <w:r w:rsidR="00A26479" w:rsidRPr="002B3D8A">
            <w:rPr>
              <w:rFonts w:ascii="Arial" w:eastAsia="Times New Roman" w:hAnsi="Arial" w:cs="Arial"/>
              <w:color w:val="000000" w:themeColor="text1"/>
              <w:sz w:val="24"/>
              <w:szCs w:val="24"/>
            </w:rPr>
            <w:t>(Dutta et al., 2019)</w:t>
          </w:r>
        </w:sdtContent>
      </w:sdt>
      <w:r w:rsidR="00A26479" w:rsidRPr="002B3D8A">
        <w:rPr>
          <w:rFonts w:ascii="Arial" w:eastAsia="Times New Roman" w:hAnsi="Arial" w:cs="Arial"/>
          <w:color w:val="000000" w:themeColor="text1"/>
          <w:sz w:val="24"/>
          <w:szCs w:val="24"/>
        </w:rPr>
        <w:t xml:space="preserve">. </w:t>
      </w:r>
      <w:r w:rsidR="00265552">
        <w:rPr>
          <w:rFonts w:ascii="Arial" w:eastAsia="Times New Roman" w:hAnsi="Arial" w:cs="Arial"/>
          <w:color w:val="000000" w:themeColor="text1"/>
          <w:sz w:val="24"/>
          <w:szCs w:val="24"/>
        </w:rPr>
        <w:t xml:space="preserve">Some studies have suggested the possible reactions that occur between the nematode pest and the ITCs, </w:t>
      </w:r>
      <w:r w:rsidR="00455DD6">
        <w:rPr>
          <w:rFonts w:ascii="Arial" w:eastAsia="Times New Roman" w:hAnsi="Arial" w:cs="Arial"/>
          <w:color w:val="000000" w:themeColor="text1"/>
          <w:sz w:val="24"/>
          <w:szCs w:val="24"/>
        </w:rPr>
        <w:t xml:space="preserve">one of them is </w:t>
      </w:r>
      <w:r w:rsidR="00265552">
        <w:rPr>
          <w:rFonts w:ascii="Arial" w:eastAsia="Times New Roman" w:hAnsi="Arial" w:cs="Arial"/>
          <w:color w:val="000000" w:themeColor="text1"/>
          <w:sz w:val="24"/>
          <w:szCs w:val="24"/>
        </w:rPr>
        <w:t xml:space="preserve">reaction of the </w:t>
      </w:r>
      <w:r w:rsidR="00A26479" w:rsidRPr="002B3D8A">
        <w:rPr>
          <w:rFonts w:ascii="Arial" w:eastAsia="Times New Roman" w:hAnsi="Arial" w:cs="Arial"/>
          <w:color w:val="000000" w:themeColor="text1"/>
          <w:sz w:val="24"/>
          <w:szCs w:val="24"/>
        </w:rPr>
        <w:t xml:space="preserve">active sites of the ITC with the nucleophiles of the nematode, mainly thiols and amine groups of certain enzymes making them alkylated. In other cases, the ITC have been shown to induce oxidative DNA damage and also affect the motility of the nematode by impairing its host finding </w:t>
      </w:r>
      <w:r w:rsidR="007B7453" w:rsidRPr="002B3D8A">
        <w:rPr>
          <w:rFonts w:ascii="Arial" w:eastAsia="Times New Roman" w:hAnsi="Arial" w:cs="Arial"/>
          <w:color w:val="000000" w:themeColor="text1"/>
          <w:sz w:val="24"/>
          <w:szCs w:val="24"/>
        </w:rPr>
        <w:t>ability. In</w:t>
      </w:r>
      <w:r w:rsidR="00A26479" w:rsidRPr="002B3D8A">
        <w:rPr>
          <w:rFonts w:ascii="Arial" w:eastAsia="Times New Roman" w:hAnsi="Arial" w:cs="Arial"/>
          <w:color w:val="000000" w:themeColor="text1"/>
          <w:sz w:val="24"/>
          <w:szCs w:val="24"/>
        </w:rPr>
        <w:t xml:space="preserve"> an isolated study, it was observed that </w:t>
      </w:r>
      <w:r w:rsidR="007B7453">
        <w:rPr>
          <w:rFonts w:ascii="Arial" w:eastAsia="Times New Roman" w:hAnsi="Arial" w:cs="Arial"/>
          <w:color w:val="000000" w:themeColor="text1"/>
          <w:sz w:val="24"/>
          <w:szCs w:val="24"/>
        </w:rPr>
        <w:t>d</w:t>
      </w:r>
      <w:r w:rsidR="00A26479" w:rsidRPr="002B3D8A">
        <w:rPr>
          <w:rFonts w:ascii="Arial" w:eastAsia="Times New Roman" w:hAnsi="Arial" w:cs="Arial"/>
          <w:color w:val="000000" w:themeColor="text1"/>
          <w:sz w:val="24"/>
          <w:szCs w:val="24"/>
        </w:rPr>
        <w:t xml:space="preserve">orsal pharyngeal gland nucleus in </w:t>
      </w:r>
      <w:r w:rsidR="00A26479" w:rsidRPr="002B3D8A">
        <w:rPr>
          <w:rFonts w:ascii="Arial" w:eastAsia="Times New Roman" w:hAnsi="Arial" w:cs="Arial"/>
          <w:i/>
          <w:color w:val="000000" w:themeColor="text1"/>
          <w:sz w:val="24"/>
          <w:szCs w:val="24"/>
        </w:rPr>
        <w:t xml:space="preserve">Globodera rostochiensis </w:t>
      </w:r>
      <w:r w:rsidR="00A26479" w:rsidRPr="002B3D8A">
        <w:rPr>
          <w:rFonts w:ascii="Arial" w:eastAsia="Times New Roman" w:hAnsi="Arial" w:cs="Arial"/>
          <w:color w:val="000000" w:themeColor="text1"/>
          <w:sz w:val="24"/>
          <w:szCs w:val="24"/>
        </w:rPr>
        <w:t xml:space="preserve">reduced upon exposure to ITC hence ultimately reducing the nematode parasitism (Dutta et al., 2019). The non-volatile residues produced by biofumigant crops also improve the soil organic matter, recycle nutrients hence contributing to good soil quality that gradually build management of soil borne pathogens. </w:t>
      </w:r>
      <w:r w:rsidR="00A26479">
        <w:rPr>
          <w:rFonts w:ascii="Arial" w:eastAsia="Times New Roman" w:hAnsi="Arial" w:cs="Arial"/>
          <w:color w:val="000000" w:themeColor="text1"/>
          <w:sz w:val="24"/>
          <w:szCs w:val="24"/>
        </w:rPr>
        <w:t>Figure 10 below shows the release of ITC upon hydrolysis of glucosinolates</w:t>
      </w:r>
    </w:p>
    <w:p w14:paraId="12E27D1B" w14:textId="3423E565" w:rsidR="00A26479" w:rsidRDefault="0015793B" w:rsidP="00A26479">
      <w:r>
        <w:rPr>
          <w:rFonts w:ascii="Arial" w:eastAsia="Times New Roman" w:hAnsi="Arial" w:cs="Arial"/>
          <w:noProof/>
          <w:color w:val="000000" w:themeColor="text1"/>
          <w:sz w:val="24"/>
          <w:szCs w:val="24"/>
        </w:rPr>
        <w:lastRenderedPageBreak/>
        <mc:AlternateContent>
          <mc:Choice Requires="wps">
            <w:drawing>
              <wp:anchor distT="0" distB="0" distL="114300" distR="114300" simplePos="0" relativeHeight="251658244" behindDoc="0" locked="0" layoutInCell="1" allowOverlap="1" wp14:anchorId="0230B700" wp14:editId="75B1450B">
                <wp:simplePos x="0" y="0"/>
                <wp:positionH relativeFrom="column">
                  <wp:posOffset>3334385</wp:posOffset>
                </wp:positionH>
                <wp:positionV relativeFrom="paragraph">
                  <wp:posOffset>3107690</wp:posOffset>
                </wp:positionV>
                <wp:extent cx="1866836" cy="176140"/>
                <wp:effectExtent l="0" t="0" r="635" b="0"/>
                <wp:wrapNone/>
                <wp:docPr id="11" name="Rectangle 11"/>
                <wp:cNvGraphicFramePr/>
                <a:graphic xmlns:a="http://schemas.openxmlformats.org/drawingml/2006/main">
                  <a:graphicData uri="http://schemas.microsoft.com/office/word/2010/wordprocessingShape">
                    <wps:wsp>
                      <wps:cNvSpPr/>
                      <wps:spPr>
                        <a:xfrm>
                          <a:off x="0" y="0"/>
                          <a:ext cx="1866836" cy="1761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E8C6561">
              <v:rect id="Rectangle 11" style="position:absolute;margin-left:262.55pt;margin-top:244.7pt;width:147pt;height:1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76F0A6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"/>
            </w:pict>
          </mc:Fallback>
        </mc:AlternateContent>
      </w:r>
      <w:r w:rsidR="00A26479" w:rsidRPr="002B3D8A">
        <w:rPr>
          <w:rFonts w:ascii="Arial" w:eastAsia="Times New Roman" w:hAnsi="Arial" w:cs="Arial"/>
          <w:noProof/>
          <w:color w:val="000000" w:themeColor="text1"/>
          <w:sz w:val="24"/>
          <w:szCs w:val="24"/>
        </w:rPr>
        <w:drawing>
          <wp:inline distT="0" distB="0" distL="0" distR="0" wp14:anchorId="3C3015F6" wp14:editId="44D9EC60">
            <wp:extent cx="4759904" cy="3235558"/>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303" b="3230"/>
                    <a:stretch/>
                  </pic:blipFill>
                  <pic:spPr bwMode="auto">
                    <a:xfrm>
                      <a:off x="0" y="0"/>
                      <a:ext cx="4759904" cy="3235558"/>
                    </a:xfrm>
                    <a:prstGeom prst="rect">
                      <a:avLst/>
                    </a:prstGeom>
                    <a:noFill/>
                    <a:ln>
                      <a:noFill/>
                    </a:ln>
                    <a:extLst>
                      <a:ext uri="{53640926-AAD7-44D8-BBD7-CCE9431645EC}">
                        <a14:shadowObscured xmlns:a14="http://schemas.microsoft.com/office/drawing/2010/main"/>
                      </a:ext>
                    </a:extLst>
                  </pic:spPr>
                </pic:pic>
              </a:graphicData>
            </a:graphic>
          </wp:inline>
        </w:drawing>
      </w:r>
    </w:p>
    <w:p w14:paraId="73C83DA6" w14:textId="74FBEB03" w:rsidR="003E022B" w:rsidRPr="00C10D2B" w:rsidRDefault="00C10D2B" w:rsidP="00C10D2B">
      <w:pPr>
        <w:rPr>
          <w:rFonts w:ascii="Arial" w:hAnsi="Arial" w:cs="Arial"/>
        </w:rPr>
      </w:pPr>
      <w:bookmarkStart w:id="32" w:name="_Toc110342110"/>
      <w:r w:rsidRPr="00C10D2B">
        <w:rPr>
          <w:rFonts w:ascii="Arial" w:hAnsi="Arial" w:cs="Arial"/>
        </w:rPr>
        <w:t xml:space="preserve">Figure </w:t>
      </w:r>
      <w:r w:rsidRPr="00C10D2B">
        <w:rPr>
          <w:rFonts w:ascii="Arial" w:hAnsi="Arial" w:cs="Arial"/>
        </w:rPr>
        <w:fldChar w:fldCharType="begin"/>
      </w:r>
      <w:r w:rsidRPr="00C10D2B">
        <w:rPr>
          <w:rFonts w:ascii="Arial" w:hAnsi="Arial" w:cs="Arial"/>
        </w:rPr>
        <w:instrText xml:space="preserve"> SEQ Figure \* ARABIC </w:instrText>
      </w:r>
      <w:r w:rsidRPr="00C10D2B">
        <w:rPr>
          <w:rFonts w:ascii="Arial" w:hAnsi="Arial" w:cs="Arial"/>
        </w:rPr>
        <w:fldChar w:fldCharType="separate"/>
      </w:r>
      <w:r w:rsidRPr="00C10D2B">
        <w:rPr>
          <w:rFonts w:ascii="Arial" w:hAnsi="Arial" w:cs="Arial"/>
          <w:noProof/>
        </w:rPr>
        <w:t>7</w:t>
      </w:r>
      <w:r w:rsidRPr="00C10D2B">
        <w:rPr>
          <w:rFonts w:ascii="Arial" w:hAnsi="Arial" w:cs="Arial"/>
        </w:rPr>
        <w:fldChar w:fldCharType="end"/>
      </w:r>
      <w:r w:rsidR="00A26479" w:rsidRPr="00C10D2B">
        <w:rPr>
          <w:rFonts w:ascii="Arial" w:hAnsi="Arial" w:cs="Arial"/>
        </w:rPr>
        <w:t>: Hydrolysis of glucosinolates into isothiocyanates, thiocyanate and nitriles by enzyme myrosinase.</w:t>
      </w:r>
      <w:bookmarkEnd w:id="32"/>
    </w:p>
    <w:p w14:paraId="1DDF1BDC" w14:textId="626553BF" w:rsidR="000A2B57" w:rsidRPr="00616CDC" w:rsidRDefault="00143922" w:rsidP="00616CDC">
      <w:pPr>
        <w:pStyle w:val="Heading4"/>
        <w:spacing w:line="360" w:lineRule="auto"/>
        <w:rPr>
          <w:rFonts w:ascii="Arial" w:hAnsi="Arial" w:cs="Arial"/>
          <w:b/>
          <w:color w:val="000000" w:themeColor="text1"/>
        </w:rPr>
      </w:pPr>
      <w:r w:rsidRPr="00616CDC">
        <w:rPr>
          <w:rFonts w:ascii="Arial" w:hAnsi="Arial" w:cs="Arial"/>
          <w:b/>
          <w:color w:val="000000" w:themeColor="text1"/>
        </w:rPr>
        <w:t xml:space="preserve">b) Toxicity of isothiocyanates </w:t>
      </w:r>
    </w:p>
    <w:p w14:paraId="0193BDE4" w14:textId="3E75D620" w:rsidR="00143922" w:rsidRDefault="6AC1B2C3" w:rsidP="00616CDC">
      <w:pPr>
        <w:pStyle w:val="paragraph"/>
        <w:spacing w:before="0" w:beforeAutospacing="0" w:after="0" w:afterAutospacing="0" w:line="360" w:lineRule="auto"/>
        <w:ind w:left="-284" w:right="-330"/>
        <w:jc w:val="both"/>
        <w:textAlignment w:val="baseline"/>
        <w:rPr>
          <w:rFonts w:ascii="Arial" w:hAnsi="Arial" w:cs="Arial"/>
          <w:color w:val="000000" w:themeColor="text1"/>
        </w:rPr>
      </w:pPr>
      <w:r w:rsidRPr="6AC1B2C3">
        <w:rPr>
          <w:rFonts w:ascii="Arial" w:hAnsi="Arial" w:cs="Arial"/>
          <w:color w:val="000000" w:themeColor="text1"/>
        </w:rPr>
        <w:t xml:space="preserve">The ITC derivatives differ in their level of toxicity among and within the different Brassica species  </w:t>
      </w:r>
      <w:r w:rsidR="00566153" w:rsidRPr="6AC1B2C3">
        <w:rPr>
          <w:rFonts w:ascii="Arial" w:hAnsi="Arial" w:cs="Arial"/>
          <w:color w:val="000000" w:themeColor="text1"/>
        </w:rPr>
        <w:fldChar w:fldCharType="begin" w:fldLock="1"/>
      </w:r>
      <w:r w:rsidR="00566153" w:rsidRPr="6AC1B2C3">
        <w:rPr>
          <w:rFonts w:ascii="Arial" w:hAnsi="Arial" w:cs="Arial"/>
          <w:color w:val="000000" w:themeColor="text1"/>
        </w:rPr>
        <w:instrText>ADDIN CSL_CITATION {"citationItems":[{"id":"ITEM-1","itemData":{"abstract":"Zasada, I. A., and Ferris, H. 2003. Sensitivity of Meloidogyne javanica and Tylenchulus semipenetrans to isothiocyanates in laboratory assays. Phytopathology 93:747-750. Isothiocyanates are released through enzymatic degradation of gluco-sinolates produced by plants in the family Brassicaceae. Glucosinolate profiles differ among plant species and the isothiocyanate derivatives differ in their toxicity to nematodes. Control of plant-parasitic nematodes in soil by isothiocyanates released from incorporated brassicaceous plant material has been inconsistent. Success might be improved with knowledge of the relative toxicities of various isothiocyanates against nematodes. Laboratory assays were conducted to determine lethal concentration (LC) values in sand of seven commercially available isothiocyanates against Tylenchulus semipenetrans and Meloidogyne javanica. The LC 90 values were 0.01 and 0.03 µmol/ml for 2-phenylethyl isothiocyanate and 0.48 and 0.35 µmol/ml for phenyl isothiocyanate for T. semipenetrans and M. javanica, respectively. Brassicaceous sources of benzyl or 2-phenylethyl isothiocyanate and, to a lesser extent allyl isothiocyanate, are the most promising candidates for plant-parasitic nematode management. The broader context of this research is the development of approaches for consistent and reliable use of plant-derived chemicals for nematode management. The strategy is to select plants in the family Brassicaceae based on their glucosinolate profiles and the sensitivity of the target nematode species to the associated isothiocyanates.","author":[{"dropping-particle":"","family":"Zasada","given":"I A","non-dropping-particle":"","parse-names":false,"suffix":""},{"dropping-particle":"","family":"Ferris","given":"H","non-dropping-particle":"","parse-names":false,"suffix":""}],"container-title":"Phytopathology","id":"ITEM-1","issue":"6","issued":{"date-parts":[["2003"]]},"page":"747-750","title":"Sensitivity of Meloidogyne javanica and Tylenchulus semipenetrans to Isothiocyanates in Laboratory Assays","type":"article-journal","volume":"93"},"uris":["http://www.mendeley.com/documents/?uuid=a561e828-b92e-331e-9a36-011698392f15"]}],"mendeley":{"formattedCitation":"(Zasada and Ferris, 2003)","plainTextFormattedCitation":"(Zasada and Ferris, 2003)","previouslyFormattedCitation":"(Zasada and Ferris, 2003)"},"properties":{"noteIndex":0},"schema":"https://github.com/citation-style-language/schema/raw/master/csl-citation.json"}</w:instrText>
      </w:r>
      <w:r w:rsidR="00566153" w:rsidRPr="6AC1B2C3">
        <w:rPr>
          <w:rFonts w:ascii="Arial" w:hAnsi="Arial" w:cs="Arial"/>
          <w:color w:val="000000" w:themeColor="text1"/>
        </w:rPr>
        <w:fldChar w:fldCharType="separate"/>
      </w:r>
      <w:r w:rsidRPr="6AC1B2C3">
        <w:rPr>
          <w:rFonts w:ascii="Arial" w:hAnsi="Arial" w:cs="Arial"/>
          <w:noProof/>
          <w:color w:val="000000" w:themeColor="text1"/>
        </w:rPr>
        <w:t>(Zasada and Ferris, 2003)</w:t>
      </w:r>
      <w:r w:rsidR="00566153" w:rsidRPr="6AC1B2C3">
        <w:rPr>
          <w:rFonts w:ascii="Arial" w:hAnsi="Arial" w:cs="Arial"/>
          <w:color w:val="000000" w:themeColor="text1"/>
        </w:rPr>
        <w:fldChar w:fldCharType="end"/>
      </w:r>
      <w:r w:rsidRPr="6AC1B2C3">
        <w:rPr>
          <w:rFonts w:ascii="Arial" w:hAnsi="Arial" w:cs="Arial"/>
          <w:color w:val="000000" w:themeColor="text1"/>
        </w:rPr>
        <w:t>. Their effectiveness differs depending on the type and structure with the most effective being 2-phenethyl-isothiocyanate (PEITC).</w:t>
      </w:r>
      <w:r w:rsidR="00566153" w:rsidRPr="6AC1B2C3">
        <w:rPr>
          <w:rFonts w:ascii="Arial" w:hAnsi="Arial" w:cs="Arial"/>
          <w:color w:val="000000" w:themeColor="text1"/>
        </w:rPr>
        <w:fldChar w:fldCharType="begin" w:fldLock="1"/>
      </w:r>
      <w:r w:rsidR="00566153" w:rsidRPr="6AC1B2C3">
        <w:rPr>
          <w:rFonts w:ascii="Arial" w:hAnsi="Arial" w:cs="Arial"/>
          <w:color w:val="000000" w:themeColor="text1"/>
        </w:rPr>
        <w:instrText>ADDIN CSL_CITATION {"citationItems":[{"id":"ITEM-1","itemData":{"DOI":"10.1080/07352680600611543","ISSN":"07352689","abstract":"Management of soilborne pests and diseases in cropping systems is often highly challenging - in implementation of acceptable methodologies and in dealing with secondary problems. The phase-out of methyl bromide brings this into particularly sharp focus. There is a need for diversified options and alternatives to fill different roles across the soilborne pest and disease management spectrum, but flexibility is limited, as practicalities demand that they fit into a prophylactic methodology. It is against such a backdrop that expectations and promotion of alternatives must be set. There is also a need to recognize potentially serious problems that may have been masked under historical management regimes, but for which the nature of the system offers little scope to avoid or manage. Biofumigation is the beneficial use of Brassica green manures that release isothiocyanates chemically similar to methyl isothiocyanate, the active agent from the synthetic fumigant metam sodium, which is used as a substitute for methyl bromide in some systems. A systematic approach to research into biofumigation, specifically aimed at overcoming a long history of empiricism, has seen significant recent advances in both basic and applied knowledge. A key development has been achievement of maximal biofumigation potential through greatly enhanced release of appropriate isothiocyanates into soil. These advances have led to commercial adoption, demonstrating that biofumigation, when applied to appropriate production systems, can have efficacy and offer cost savings. Crucially, these systematically derived research and development findings and their adoption now provide the impetus for self-sustaining further development and market penetration of the concept. Despite this success, biofumigation is not seen as being sufficiently powerful or practical in implementation to be an alternative to methyl bromide on a broad scale and misdirection in that regard could be counterproductive to more appropriately targeted further development. Enhanced microbial biodegradation is a cryptic phenomenon that can diminish the efficacy of soil-applied pesticides, including isothiocyanates and most other currently available methyl bromide substitutes. Because methyl bromide is not susceptible, the phenomenon has potentially serious implications in intensive production systems switching from methyl bromide to reliance on other compounds that are. It is an intractable problem once induced. Avoidance of i…","author":[{"dropping-particle":"","family":"Matthiessen","given":"John","non-dropping-particle":"","parse-names":false,"suffix":""},{"dropping-particle":"","family":"Kirkegaard","given":"John","non-dropping-particle":"","parse-names":false,"suffix":""}],"container-title":"Critical Reviews in Plant Sciences","id":"ITEM-1","issue":"3","issued":{"date-parts":[["2006","5"]]},"page":"235-265","title":"Biofumigation and enhanced biodegradation: Opportunity and challenge in soilborne pest and disease management","type":"article","volume":"25"},"uris":["http://www.mendeley.com/documents/?uuid=c6d88a66-d55c-3c62-aa05-88d1d5cdba46"]},{"id":"ITEM-2","itemData":{"ISBN":"906605820X","author":[{"dropping-particle":"","family":"Pinto","given":"Sandra","non-dropping-particle":"","parse-names":false,"suffix":""},{"dropping-particle":"","family":"Rosa","given":"Eduardo","non-dropping-particle":"","parse-names":false,"suffix":""},{"dropping-particle":"","family":"Santos","given":"Susana","non-dropping-particle":"","parse-names":false,"suffix":""}],"container-title":"International Symposium Brassica 97, Xth Crucifer Genetics Workshop 459","id":"ITEM-2","issued":{"date-parts":[["1998"]]},"page":"323-328","title":"Effect of 2-propenyl glucosinolate and derived isothiocyanate on the activity of the nematodes Globodera rostochiensis (Woll.)","type":"paper-conference"},"uris":["http://www.mendeley.com/documents/?uuid=d2960293-d625-499c-9b8f-67a7e29ed979"]}],"mendeley":{"formattedCitation":"(Pinto, Rosa and Santos, 1998; Matthiessen and Kirkegaard, 2006)","plainTextFormattedCitation":"(Pinto, Rosa and Santos, 1998; Matthiessen and Kirkegaard, 2006)","previouslyFormattedCitation":"(Pinto, Rosa and Santos, 1998; Matthiessen and Kirkegaard, 2006)"},"properties":{"noteIndex":0},"schema":"https://github.com/citation-style-language/schema/raw/master/csl-citation.json"}</w:instrText>
      </w:r>
      <w:r w:rsidR="00566153" w:rsidRPr="6AC1B2C3">
        <w:rPr>
          <w:rFonts w:ascii="Arial" w:hAnsi="Arial" w:cs="Arial"/>
          <w:color w:val="000000" w:themeColor="text1"/>
        </w:rPr>
        <w:fldChar w:fldCharType="separate"/>
      </w:r>
      <w:r w:rsidRPr="6AC1B2C3">
        <w:rPr>
          <w:rFonts w:ascii="Arial" w:hAnsi="Arial" w:cs="Arial"/>
          <w:noProof/>
          <w:color w:val="000000" w:themeColor="text1"/>
        </w:rPr>
        <w:t>(Pinto, Rosa and Santos, 1998; Matthiessen and Kirkegaard, 2006)</w:t>
      </w:r>
      <w:r w:rsidR="00566153" w:rsidRPr="6AC1B2C3">
        <w:rPr>
          <w:rFonts w:ascii="Arial" w:hAnsi="Arial" w:cs="Arial"/>
          <w:color w:val="000000" w:themeColor="text1"/>
        </w:rPr>
        <w:fldChar w:fldCharType="end"/>
      </w:r>
      <w:r w:rsidRPr="6AC1B2C3">
        <w:rPr>
          <w:rFonts w:ascii="Arial" w:hAnsi="Arial" w:cs="Arial"/>
          <w:color w:val="000000" w:themeColor="text1"/>
        </w:rPr>
        <w:t xml:space="preserve">. This difference in toxicity can also be partly explained by the different biosynthetic pathways that are influenced by both genetic and environmental factors (Mithen, 2001; Li &amp; </w:t>
      </w:r>
      <w:proofErr w:type="spellStart"/>
      <w:r w:rsidRPr="6AC1B2C3">
        <w:rPr>
          <w:rFonts w:ascii="Arial" w:hAnsi="Arial" w:cs="Arial"/>
          <w:color w:val="000000" w:themeColor="text1"/>
        </w:rPr>
        <w:t>Quiros</w:t>
      </w:r>
      <w:proofErr w:type="spellEnd"/>
      <w:r w:rsidRPr="6AC1B2C3">
        <w:rPr>
          <w:rFonts w:ascii="Arial" w:hAnsi="Arial" w:cs="Arial"/>
          <w:color w:val="000000" w:themeColor="text1"/>
        </w:rPr>
        <w:t xml:space="preserve">, 2003; 4 Windsor </w:t>
      </w:r>
      <w:r w:rsidRPr="6AC1B2C3">
        <w:rPr>
          <w:rFonts w:ascii="Arial" w:hAnsi="Arial" w:cs="Arial"/>
          <w:i/>
          <w:iCs/>
          <w:color w:val="000000" w:themeColor="text1"/>
        </w:rPr>
        <w:t>et al</w:t>
      </w:r>
      <w:r w:rsidRPr="6AC1B2C3">
        <w:rPr>
          <w:rFonts w:ascii="Arial" w:hAnsi="Arial" w:cs="Arial"/>
          <w:color w:val="000000" w:themeColor="text1"/>
        </w:rPr>
        <w:t xml:space="preserve">., 2005). </w:t>
      </w:r>
      <w:r w:rsidRPr="6AC1B2C3">
        <w:rPr>
          <w:rFonts w:ascii="Arial" w:hAnsi="Arial" w:cs="Arial"/>
        </w:rPr>
        <w:t>The toxicity of aromatic ITC ‘s</w:t>
      </w:r>
      <w:r w:rsidRPr="6AC1B2C3">
        <w:rPr>
          <w:rFonts w:ascii="Arial" w:hAnsi="Arial" w:cs="Arial"/>
          <w:i/>
          <w:iCs/>
        </w:rPr>
        <w:t xml:space="preserve"> to Tetrahymena pyriformis </w:t>
      </w:r>
      <w:r w:rsidRPr="6AC1B2C3">
        <w:rPr>
          <w:rFonts w:ascii="Arial" w:hAnsi="Arial" w:cs="Arial"/>
        </w:rPr>
        <w:t xml:space="preserve">have been correlated to reaction with cysteine residues of glutathione which has a role in respiration </w:t>
      </w:r>
      <w:r w:rsidR="00566153" w:rsidRPr="6AC1B2C3">
        <w:rPr>
          <w:rFonts w:ascii="Arial" w:hAnsi="Arial" w:cs="Arial"/>
        </w:rPr>
        <w:fldChar w:fldCharType="begin" w:fldLock="1"/>
      </w:r>
      <w:r w:rsidR="00566153" w:rsidRPr="6AC1B2C3">
        <w:rPr>
          <w:rFonts w:ascii="Arial" w:hAnsi="Arial" w:cs="Arial"/>
        </w:rPr>
        <w:instrText>ADDIN CSL_CITATION {"citationItems":[{"id":"ITEM-1","itemData":{"ISSN":"0742-2091","author":[{"dropping-particle":"","family":"Schultz","given":"T W","non-dropping-particle":"","parse-names":false,"suffix":""},{"dropping-particle":"","family":"Yarbrough","given":"J W","non-dropping-particle":"","parse-names":false,"suffix":""},{"dropping-particle":"","family":"Woldemeskel","given":"M","non-dropping-particle":"","parse-names":false,"suffix":""}],"container-title":"Cell biology and toxicology","id":"ITEM-1","issue":"3-4","issued":{"date-parts":[["2005"]]},"page":"181-189","publisher":"Springer","title":"Toxicity to Tetrahymena and abiotic thiol reactivity of aromatic isothiocyanates","type":"article-journal","volume":"21"},"uris":["http://www.mendeley.com/documents/?uuid=8e551d97-e125-4ae7-9f3d-1f810ec0e02a"]}],"mendeley":{"formattedCitation":"(Schultz, Yarbrough and Woldemeskel, 2005)","plainTextFormattedCitation":"(Schultz, Yarbrough and Woldemeskel, 2005)","previouslyFormattedCitation":"(Schultz, Yarbrough and Woldemeskel, 2005)"},"properties":{"noteIndex":0},"schema":"https://github.com/citation-style-language/schema/raw/master/csl-citation.json"}</w:instrText>
      </w:r>
      <w:r w:rsidR="00566153" w:rsidRPr="6AC1B2C3">
        <w:rPr>
          <w:rFonts w:ascii="Arial" w:hAnsi="Arial" w:cs="Arial"/>
        </w:rPr>
        <w:fldChar w:fldCharType="separate"/>
      </w:r>
      <w:r w:rsidRPr="6AC1B2C3">
        <w:rPr>
          <w:rFonts w:ascii="Arial" w:hAnsi="Arial" w:cs="Arial"/>
          <w:noProof/>
        </w:rPr>
        <w:t>(Schultz, Yarbrough and Woldemeskel, 2005)</w:t>
      </w:r>
      <w:r w:rsidR="00566153" w:rsidRPr="6AC1B2C3">
        <w:rPr>
          <w:rFonts w:ascii="Arial" w:hAnsi="Arial" w:cs="Arial"/>
        </w:rPr>
        <w:fldChar w:fldCharType="end"/>
      </w:r>
      <w:r w:rsidRPr="6AC1B2C3">
        <w:rPr>
          <w:rFonts w:ascii="Arial" w:hAnsi="Arial" w:cs="Arial"/>
          <w:noProof/>
        </w:rPr>
        <w:t>.</w:t>
      </w:r>
      <w:r w:rsidRPr="6AC1B2C3">
        <w:rPr>
          <w:rFonts w:ascii="Arial" w:hAnsi="Arial" w:cs="Arial"/>
          <w:color w:val="000000" w:themeColor="text1"/>
        </w:rPr>
        <w:t xml:space="preserve">Toxicity of ITC to nematodes is also known to be influenced by </w:t>
      </w:r>
      <w:r w:rsidRPr="6AC1B2C3">
        <w:rPr>
          <w:rFonts w:ascii="Arial" w:hAnsi="Arial" w:cs="Arial"/>
        </w:rPr>
        <w:t xml:space="preserve">ITC-lipid solubility, ITC volatility and ITC hydrophobicity. Volatile ITC e.g. 2-propenyl are in gaseous in form and are capable of dispersing evenly under suitable conditions and effectively interact with the target organism. Lipid soluble ITC’s e.g. 2-phenethyl are able to penetrate the nematode cuticle and permeate phospholipid membranes hence interacting with intercellular functions that kill the organism. </w:t>
      </w:r>
      <w:r w:rsidR="00566153" w:rsidRPr="6AC1B2C3">
        <w:rPr>
          <w:rFonts w:ascii="Arial" w:hAnsi="Arial" w:cs="Arial"/>
        </w:rPr>
        <w:fldChar w:fldCharType="begin" w:fldLock="1"/>
      </w:r>
      <w:r w:rsidR="00566153" w:rsidRPr="6AC1B2C3">
        <w:rPr>
          <w:rFonts w:ascii="Arial" w:hAnsi="Arial" w:cs="Arial"/>
        </w:rPr>
        <w:instrText>ADDIN CSL_CITATION {"citationItems":[{"id":"ITEM-1","itemData":{"ISSN":"1573-5036","author":[{"dropping-particle":"","family":"Sarwar","given":"M","non-dropping-particle":"","parse-names":false,"suffix":""},{"dropping-particle":"","family":"Kirkegaard","given":"J A","non-dropping-particle":"","parse-names":false,"suffix":""},{"dropping-particle":"","family":"Wong","given":"P T W","non-dropping-particle":"","parse-names":false,"suffix":""},{"dropping-particle":"","family":"Desmarchelier","given":"JMm","non-dropping-particle":"","parse-names":false,"suffix":""}],"container-title":"Plant and Soil","id":"ITEM-1","issue":"1","issued":{"date-parts":[["1998"]]},"page":"103-112","publisher":"Springer","title":"Biofumigation potential of brassicas","type":"article-journal","volume":"201"},"uris":["http://www.mendeley.com/documents/?uuid=89628ff8-2f59-4d9e-b313-34dfaa473b78"]}],"mendeley":{"formattedCitation":"(Sarwar &lt;i&gt;et al.&lt;/i&gt;, 1998)","plainTextFormattedCitation":"(Sarwar et al., 1998)","previouslyFormattedCitation":"(Sarwar &lt;i&gt;et al.&lt;/i&gt;, 1998)"},"properties":{"noteIndex":0},"schema":"https://github.com/citation-style-language/schema/raw/master/csl-citation.json"}</w:instrText>
      </w:r>
      <w:r w:rsidR="00566153" w:rsidRPr="6AC1B2C3">
        <w:rPr>
          <w:rFonts w:ascii="Arial" w:hAnsi="Arial" w:cs="Arial"/>
        </w:rPr>
        <w:fldChar w:fldCharType="separate"/>
      </w:r>
      <w:r w:rsidRPr="6AC1B2C3">
        <w:rPr>
          <w:rFonts w:ascii="Arial" w:hAnsi="Arial" w:cs="Arial"/>
          <w:noProof/>
        </w:rPr>
        <w:t xml:space="preserve">(Sarwar </w:t>
      </w:r>
      <w:r w:rsidRPr="6AC1B2C3">
        <w:rPr>
          <w:rFonts w:ascii="Arial" w:hAnsi="Arial" w:cs="Arial"/>
          <w:i/>
          <w:iCs/>
          <w:noProof/>
        </w:rPr>
        <w:t>et al.</w:t>
      </w:r>
      <w:r w:rsidRPr="6AC1B2C3">
        <w:rPr>
          <w:rFonts w:ascii="Arial" w:hAnsi="Arial" w:cs="Arial"/>
          <w:noProof/>
        </w:rPr>
        <w:t>, 1998)</w:t>
      </w:r>
      <w:r w:rsidR="00566153" w:rsidRPr="6AC1B2C3">
        <w:rPr>
          <w:rFonts w:ascii="Arial" w:hAnsi="Arial" w:cs="Arial"/>
        </w:rPr>
        <w:fldChar w:fldCharType="end"/>
      </w:r>
      <w:r w:rsidRPr="6AC1B2C3">
        <w:rPr>
          <w:rFonts w:ascii="Arial" w:hAnsi="Arial" w:cs="Arial"/>
          <w:color w:val="000000" w:themeColor="text1"/>
        </w:rPr>
        <w:t xml:space="preserve"> However, the toxicity of the ITCs under field conditions are influenced by many other factors related to agronomic practices, soil factors and prevailing climatic conditions. Therefore, achievement of effectiveness involves manipulation of these </w:t>
      </w:r>
      <w:r w:rsidRPr="6AC1B2C3">
        <w:rPr>
          <w:rFonts w:ascii="Arial" w:hAnsi="Arial" w:cs="Arial"/>
          <w:color w:val="000000" w:themeColor="text1"/>
        </w:rPr>
        <w:lastRenderedPageBreak/>
        <w:t xml:space="preserve">factors in a pest and disease management </w:t>
      </w:r>
      <w:r w:rsidRPr="00000CD2">
        <w:rPr>
          <w:rFonts w:ascii="Arial" w:hAnsi="Arial" w:cs="Arial"/>
        </w:rPr>
        <w:t xml:space="preserve">(Ahuja </w:t>
      </w:r>
      <w:r w:rsidRPr="00000CD2">
        <w:rPr>
          <w:rFonts w:ascii="Arial" w:hAnsi="Arial" w:cs="Arial"/>
          <w:i/>
          <w:iCs/>
        </w:rPr>
        <w:t>et al</w:t>
      </w:r>
      <w:r w:rsidRPr="00000CD2">
        <w:rPr>
          <w:rFonts w:ascii="Arial" w:hAnsi="Arial" w:cs="Arial"/>
        </w:rPr>
        <w:t xml:space="preserve">., 2010b). </w:t>
      </w:r>
      <w:r w:rsidRPr="6AC1B2C3">
        <w:rPr>
          <w:rFonts w:ascii="Arial" w:hAnsi="Arial" w:cs="Arial"/>
        </w:rPr>
        <w:t xml:space="preserve">For instance, high organic matter content was found to lead to sorption of </w:t>
      </w:r>
      <w:r w:rsidRPr="6AC1B2C3">
        <w:rPr>
          <w:rFonts w:ascii="Arial" w:hAnsi="Arial" w:cs="Arial"/>
          <w:color w:val="000000" w:themeColor="text1"/>
        </w:rPr>
        <w:t xml:space="preserve">Methyl ITC, which hence reduced the available ITC in the soil for pathogen suppression </w:t>
      </w:r>
      <w:r w:rsidRPr="6AC1B2C3">
        <w:rPr>
          <w:rFonts w:ascii="Arial" w:hAnsi="Arial" w:cs="Arial"/>
        </w:rPr>
        <w:t xml:space="preserve">(Smelt &amp; </w:t>
      </w:r>
      <w:proofErr w:type="spellStart"/>
      <w:r w:rsidRPr="6AC1B2C3">
        <w:rPr>
          <w:rFonts w:ascii="Arial" w:hAnsi="Arial" w:cs="Arial"/>
        </w:rPr>
        <w:t>Leistra</w:t>
      </w:r>
      <w:proofErr w:type="spellEnd"/>
      <w:r w:rsidRPr="6AC1B2C3">
        <w:rPr>
          <w:rFonts w:ascii="Arial" w:hAnsi="Arial" w:cs="Arial"/>
        </w:rPr>
        <w:t xml:space="preserve"> 1974). High levels of organic carbon in the soil has also been associated with decrease in 2-propenyl ITC (Borek </w:t>
      </w:r>
      <w:r w:rsidRPr="6AC1B2C3">
        <w:rPr>
          <w:rFonts w:ascii="Arial" w:hAnsi="Arial" w:cs="Arial"/>
          <w:i/>
          <w:iCs/>
        </w:rPr>
        <w:t>et al</w:t>
      </w:r>
      <w:r w:rsidRPr="6AC1B2C3">
        <w:rPr>
          <w:rFonts w:ascii="Arial" w:hAnsi="Arial" w:cs="Arial"/>
        </w:rPr>
        <w:t xml:space="preserve">., 1995a). Similar observation has also been made on methyl ITC decrease in soils with high organic carbon. A possible explanation for the decrease may have been the reaction of the ITCs with nucleophilic groups such as phenols, amines, alcohols, carboxylic acids, 7 and thiols contained in soil organic matter. </w:t>
      </w:r>
      <w:r w:rsidRPr="6AC1B2C3">
        <w:rPr>
          <w:rFonts w:ascii="Arial" w:hAnsi="Arial" w:cs="Arial"/>
          <w:color w:val="000000" w:themeColor="text1"/>
        </w:rPr>
        <w:t>The toxicity of the ITCs has also been shown in a study by Buskov et.al (2002), to be a related to type of glucosinolates in the brassica species used, where out of 13 glucosinolates tested, a high mortality of PCN juveniles was recorded after exposure to</w:t>
      </w:r>
      <w:r w:rsidRPr="6AC1B2C3">
        <w:rPr>
          <w:rFonts w:ascii="Arial" w:hAnsi="Arial" w:cs="Arial"/>
        </w:rPr>
        <w:t xml:space="preserve"> brassica extracts phenethyl- and benzyl glucosinolates which are both capable of producing isothiocyanates upon hydrolysis. Similarly, another study evaluating efficacy of ITC produced by different plants recorded that </w:t>
      </w:r>
      <w:r w:rsidRPr="6AC1B2C3">
        <w:rPr>
          <w:rFonts w:ascii="Arial" w:hAnsi="Arial" w:cs="Arial"/>
          <w:i/>
          <w:iCs/>
        </w:rPr>
        <w:t xml:space="preserve">B. vulgaris </w:t>
      </w:r>
      <w:r w:rsidRPr="6AC1B2C3">
        <w:rPr>
          <w:rFonts w:ascii="Arial" w:hAnsi="Arial" w:cs="Arial"/>
        </w:rPr>
        <w:t xml:space="preserve">and </w:t>
      </w:r>
      <w:r w:rsidRPr="6AC1B2C3">
        <w:rPr>
          <w:rFonts w:ascii="Arial" w:hAnsi="Arial" w:cs="Arial"/>
          <w:i/>
          <w:iCs/>
        </w:rPr>
        <w:t xml:space="preserve">Moricandia moricandioides </w:t>
      </w:r>
      <w:r w:rsidRPr="6AC1B2C3">
        <w:rPr>
          <w:rFonts w:ascii="Arial" w:hAnsi="Arial" w:cs="Arial"/>
        </w:rPr>
        <w:t>lacked efficacy against</w:t>
      </w:r>
      <w:r w:rsidRPr="6AC1B2C3">
        <w:rPr>
          <w:rFonts w:ascii="Arial" w:hAnsi="Arial" w:cs="Arial"/>
          <w:i/>
          <w:iCs/>
        </w:rPr>
        <w:t xml:space="preserve"> Globodera pallida, due to </w:t>
      </w:r>
      <w:r w:rsidRPr="6AC1B2C3">
        <w:rPr>
          <w:rFonts w:ascii="Arial" w:hAnsi="Arial" w:cs="Arial"/>
        </w:rPr>
        <w:t>the fact that they contain indole-glucosinolates which are unable to produce stable ITCs</w:t>
      </w:r>
      <w:r w:rsidRPr="6AC1B2C3">
        <w:rPr>
          <w:rFonts w:ascii="Arial" w:hAnsi="Arial" w:cs="Arial"/>
          <w:i/>
          <w:iCs/>
        </w:rPr>
        <w:t xml:space="preserve">. </w:t>
      </w:r>
      <w:r w:rsidR="00566153" w:rsidRPr="6AC1B2C3">
        <w:rPr>
          <w:rFonts w:ascii="Arial" w:hAnsi="Arial" w:cs="Arial"/>
          <w:i/>
          <w:iCs/>
        </w:rPr>
        <w:fldChar w:fldCharType="begin" w:fldLock="1"/>
      </w:r>
      <w:r w:rsidR="00566153" w:rsidRPr="6AC1B2C3">
        <w:rPr>
          <w:rFonts w:ascii="Arial" w:hAnsi="Arial" w:cs="Arial"/>
          <w:i/>
          <w:iCs/>
        </w:rPr>
        <w:instrText>ADDIN CSL_CITATION {"citationItems":[{"id":"ITEM-1","itemData":{"ISSN":"1543-5008","author":[{"dropping-particle":"","family":"Halkier","given":"Barbara Ann","non-dropping-particle":"","parse-names":false,"suffix":""},{"dropping-particle":"","family":"Gershenzon","given":"Jonathan","non-dropping-particle":"","parse-names":false,"suffix":""}],"container-title":"Annu. Rev. Plant Biol.","id":"ITEM-1","issued":{"date-parts":[["2006"]]},"page":"303-333","publisher":"Annual Reviews","title":"Biology and biochemistry of glucosinolates","type":"article-journal","volume":"57"},"uris":["http://www.mendeley.com/documents/?uuid=08a01e1e-30ab-47b5-8ccc-eddc6f08834c"]}],"mendeley":{"formattedCitation":"(Halkier and Gershenzon, 2006)","plainTextFormattedCitation":"(Halkier and Gershenzon, 2006)","previouslyFormattedCitation":"(Halkier and Gershenzon, 2006)"},"properties":{"noteIndex":0},"schema":"https://github.com/citation-style-language/schema/raw/master/csl-citation.json"}</w:instrText>
      </w:r>
      <w:r w:rsidR="00566153" w:rsidRPr="6AC1B2C3">
        <w:rPr>
          <w:rFonts w:ascii="Arial" w:hAnsi="Arial" w:cs="Arial"/>
          <w:i/>
          <w:iCs/>
        </w:rPr>
        <w:fldChar w:fldCharType="separate"/>
      </w:r>
      <w:r w:rsidRPr="6AC1B2C3">
        <w:rPr>
          <w:rFonts w:ascii="Arial" w:hAnsi="Arial" w:cs="Arial"/>
          <w:noProof/>
        </w:rPr>
        <w:t>(Halkier and Gershenzon, 2006)</w:t>
      </w:r>
      <w:r w:rsidR="00566153" w:rsidRPr="6AC1B2C3">
        <w:rPr>
          <w:rFonts w:ascii="Arial" w:hAnsi="Arial" w:cs="Arial"/>
          <w:i/>
          <w:iCs/>
        </w:rPr>
        <w:fldChar w:fldCharType="end"/>
      </w:r>
      <w:r w:rsidRPr="6AC1B2C3">
        <w:rPr>
          <w:rFonts w:ascii="Arial" w:hAnsi="Arial" w:cs="Arial"/>
          <w:i/>
          <w:iCs/>
        </w:rPr>
        <w:t>.</w:t>
      </w:r>
      <w:r w:rsidRPr="6AC1B2C3">
        <w:rPr>
          <w:rFonts w:ascii="Arial" w:hAnsi="Arial" w:cs="Arial"/>
          <w:color w:val="FF0000"/>
        </w:rPr>
        <w:t xml:space="preserve"> </w:t>
      </w:r>
      <w:r w:rsidRPr="6AC1B2C3">
        <w:rPr>
          <w:rFonts w:ascii="Arial" w:hAnsi="Arial" w:cs="Arial"/>
          <w:i/>
          <w:iCs/>
          <w:color w:val="FF0000"/>
        </w:rPr>
        <w:t xml:space="preserve"> </w:t>
      </w:r>
    </w:p>
    <w:p w14:paraId="00F26CF3" w14:textId="4929E57F" w:rsidR="00D4255D" w:rsidRPr="004A7DDE" w:rsidRDefault="6AC1B2C3" w:rsidP="6AC1B2C3">
      <w:pPr>
        <w:pStyle w:val="Heading5"/>
        <w:numPr>
          <w:ilvl w:val="0"/>
          <w:numId w:val="48"/>
        </w:numPr>
        <w:spacing w:line="360" w:lineRule="auto"/>
        <w:rPr>
          <w:rFonts w:ascii="Arial" w:eastAsia="Times New Roman" w:hAnsi="Arial" w:cs="Arial"/>
          <w:b/>
          <w:bCs/>
          <w:color w:val="000000" w:themeColor="text1"/>
          <w:sz w:val="24"/>
          <w:szCs w:val="24"/>
        </w:rPr>
      </w:pPr>
      <w:r w:rsidRPr="0083419B">
        <w:rPr>
          <w:rFonts w:ascii="Arial" w:eastAsia="Times New Roman" w:hAnsi="Arial" w:cs="Arial"/>
          <w:b/>
          <w:bCs/>
          <w:iCs/>
          <w:caps w:val="0"/>
          <w:color w:val="000000" w:themeColor="text1"/>
          <w:sz w:val="24"/>
          <w:szCs w:val="24"/>
        </w:rPr>
        <w:t>In-vitro</w:t>
      </w:r>
      <w:r w:rsidRPr="0083419B">
        <w:rPr>
          <w:rFonts w:ascii="Arial" w:eastAsia="Times New Roman" w:hAnsi="Arial" w:cs="Arial"/>
          <w:b/>
          <w:bCs/>
          <w:caps w:val="0"/>
          <w:color w:val="000000" w:themeColor="text1"/>
          <w:sz w:val="24"/>
          <w:szCs w:val="24"/>
        </w:rPr>
        <w:t xml:space="preserve"> studies on</w:t>
      </w:r>
      <w:r w:rsidRPr="6AC1B2C3">
        <w:rPr>
          <w:rFonts w:ascii="Arial" w:eastAsia="Times New Roman" w:hAnsi="Arial" w:cs="Arial"/>
          <w:b/>
          <w:bCs/>
          <w:caps w:val="0"/>
          <w:color w:val="000000" w:themeColor="text1"/>
          <w:sz w:val="24"/>
          <w:szCs w:val="24"/>
        </w:rPr>
        <w:t xml:space="preserve"> nematicidal activity of ITC</w:t>
      </w:r>
    </w:p>
    <w:p w14:paraId="7D2EF59F" w14:textId="5F0FD701" w:rsidR="00D4255D" w:rsidRPr="002B3D8A" w:rsidRDefault="6AC1B2C3" w:rsidP="00616CDC">
      <w:pPr>
        <w:spacing w:line="360" w:lineRule="auto"/>
        <w:ind w:left="-284" w:right="-330"/>
        <w:jc w:val="both"/>
        <w:rPr>
          <w:rFonts w:ascii="Arial" w:eastAsia="Times New Roman" w:hAnsi="Arial" w:cs="Arial"/>
          <w:color w:val="000000" w:themeColor="text1"/>
          <w:sz w:val="24"/>
          <w:szCs w:val="24"/>
        </w:rPr>
      </w:pPr>
      <w:r w:rsidRPr="00616CDC">
        <w:rPr>
          <w:rFonts w:ascii="Arial" w:eastAsia="Times New Roman" w:hAnsi="Arial" w:cs="Arial"/>
          <w:i/>
          <w:iCs/>
          <w:color w:val="000000" w:themeColor="text1"/>
          <w:sz w:val="24"/>
          <w:szCs w:val="24"/>
        </w:rPr>
        <w:t xml:space="preserve">In-vitro </w:t>
      </w:r>
      <w:r w:rsidRPr="6AC1B2C3">
        <w:rPr>
          <w:rFonts w:ascii="Arial" w:eastAsia="Times New Roman" w:hAnsi="Arial" w:cs="Arial"/>
          <w:color w:val="000000" w:themeColor="text1"/>
          <w:sz w:val="24"/>
          <w:szCs w:val="24"/>
        </w:rPr>
        <w:t>studies have been conducted under controlled conditions to determine the nematicidal activity of brassica volatiles exposure to different stages of plant parasitic nematodes. Studies have been conducted using both commercially available pure isothiocyanates and natural extracts either derived from leaf, shoot and root extracts and macerates of different brassica crops.</w:t>
      </w:r>
      <w:r w:rsidRPr="6AC1B2C3">
        <w:rPr>
          <w:rStyle w:val="CommentReference"/>
          <w:rFonts w:ascii="Arial" w:hAnsi="Arial" w:cs="Arial"/>
          <w:color w:val="000000" w:themeColor="text1"/>
          <w:sz w:val="24"/>
          <w:szCs w:val="24"/>
        </w:rPr>
        <w:t xml:space="preserve"> In</w:t>
      </w:r>
      <w:r w:rsidRPr="6AC1B2C3">
        <w:rPr>
          <w:rFonts w:ascii="Arial" w:eastAsia="Times New Roman" w:hAnsi="Arial" w:cs="Arial"/>
          <w:color w:val="000000" w:themeColor="text1"/>
          <w:sz w:val="24"/>
          <w:szCs w:val="24"/>
        </w:rPr>
        <w:t xml:space="preserve"> these assays, nematodes were exposed to isothiocyanates or their hydrolysis products at different concentrations and exposure time. </w:t>
      </w:r>
      <w:r w:rsidRPr="6AC1B2C3">
        <w:rPr>
          <w:rFonts w:ascii="Arial" w:hAnsi="Arial" w:cs="Arial"/>
          <w:color w:val="000000" w:themeColor="text1"/>
          <w:sz w:val="24"/>
          <w:szCs w:val="24"/>
        </w:rPr>
        <w:t xml:space="preserve">The ITCs of rapeseed glucosinolates, i.e. gluconapin, glucotropeolin and dehydroerucin caused mortality of almost all juveniles of </w:t>
      </w:r>
      <w:r w:rsidRPr="6AC1B2C3">
        <w:rPr>
          <w:rFonts w:ascii="Arial" w:hAnsi="Arial" w:cs="Arial"/>
          <w:i/>
          <w:iCs/>
          <w:color w:val="000000" w:themeColor="text1"/>
          <w:sz w:val="24"/>
          <w:szCs w:val="24"/>
        </w:rPr>
        <w:t>Heterodera schactii</w:t>
      </w:r>
      <w:r w:rsidRPr="6AC1B2C3">
        <w:rPr>
          <w:rFonts w:ascii="Arial" w:hAnsi="Arial" w:cs="Arial"/>
          <w:color w:val="000000" w:themeColor="text1"/>
          <w:sz w:val="24"/>
          <w:szCs w:val="24"/>
        </w:rPr>
        <w:t xml:space="preserve"> at a concentration of 0.5% after 48 hours while mortality of juveniles was recorded only after 24 hrs exposure to ITCs from sinigrin at similar concentration. Further tests to investigate the toxicity of sinigrin ITCs showed that even at concentration of 0.05%, of crude extracts obtained from whole seed of </w:t>
      </w:r>
      <w:r w:rsidRPr="6AC1B2C3">
        <w:rPr>
          <w:rFonts w:ascii="Arial" w:hAnsi="Arial" w:cs="Arial"/>
          <w:i/>
          <w:iCs/>
          <w:color w:val="000000" w:themeColor="text1"/>
          <w:sz w:val="24"/>
          <w:szCs w:val="24"/>
        </w:rPr>
        <w:t>Brassica carinata</w:t>
      </w:r>
      <w:r w:rsidRPr="6AC1B2C3">
        <w:rPr>
          <w:rFonts w:ascii="Arial" w:hAnsi="Arial" w:cs="Arial"/>
          <w:color w:val="000000" w:themeColor="text1"/>
          <w:sz w:val="24"/>
          <w:szCs w:val="24"/>
        </w:rPr>
        <w:t xml:space="preserve"> caused 100% juvenile mortality of </w:t>
      </w:r>
      <w:r w:rsidRPr="6AC1B2C3">
        <w:rPr>
          <w:rFonts w:ascii="Arial" w:hAnsi="Arial" w:cs="Arial"/>
          <w:i/>
          <w:iCs/>
          <w:color w:val="000000" w:themeColor="text1"/>
          <w:sz w:val="24"/>
          <w:szCs w:val="24"/>
        </w:rPr>
        <w:t xml:space="preserve">Heteroders schactii </w:t>
      </w:r>
      <w:r w:rsidRPr="6AC1B2C3">
        <w:rPr>
          <w:rFonts w:ascii="Arial" w:hAnsi="Arial" w:cs="Arial"/>
          <w:color w:val="000000" w:themeColor="text1"/>
          <w:sz w:val="24"/>
          <w:szCs w:val="24"/>
        </w:rPr>
        <w:t>after 48hrs exposure time.</w:t>
      </w:r>
      <w:r w:rsidRPr="6AC1B2C3">
        <w:rPr>
          <w:rFonts w:ascii="Arial" w:hAnsi="Arial" w:cs="Arial"/>
          <w:i/>
          <w:iCs/>
          <w:color w:val="000000" w:themeColor="text1"/>
          <w:sz w:val="24"/>
          <w:szCs w:val="24"/>
        </w:rPr>
        <w:t xml:space="preserve"> </w:t>
      </w:r>
      <w:r w:rsidRPr="6AC1B2C3">
        <w:rPr>
          <w:rFonts w:ascii="Arial" w:hAnsi="Arial" w:cs="Arial"/>
          <w:color w:val="000000" w:themeColor="text1"/>
          <w:sz w:val="24"/>
          <w:szCs w:val="24"/>
        </w:rPr>
        <w:t xml:space="preserve">No nematicidal activity was, however, recorded from the hydrolysis products of sinalbin and glucoraphanin </w:t>
      </w:r>
      <w:r w:rsidR="00D4255D" w:rsidRPr="6AC1B2C3">
        <w:rPr>
          <w:rFonts w:ascii="Arial" w:hAnsi="Arial" w:cs="Arial"/>
          <w:color w:val="000000" w:themeColor="text1"/>
          <w:sz w:val="24"/>
          <w:szCs w:val="24"/>
        </w:rPr>
        <w:fldChar w:fldCharType="begin" w:fldLock="1"/>
      </w:r>
      <w:r w:rsidR="00D4255D" w:rsidRPr="6AC1B2C3">
        <w:rPr>
          <w:rFonts w:ascii="Arial" w:hAnsi="Arial" w:cs="Arial"/>
          <w:color w:val="000000" w:themeColor="text1"/>
          <w:sz w:val="24"/>
          <w:szCs w:val="24"/>
        </w:rPr>
        <w:instrText>ADDIN CSL_CITATION {"citationItems":[{"id":"ITEM-1","itemData":{"DOI":"10.1021/jf00029a028","ISSN":"15205118","abstract":"An in vitro study was conducted of the nematocidal effect of some glucosinolates and the products of their myrosinase-mediated enzymatic hydrolysis on second-stage juveniles of the sugar beet cyst nematode Heterodera schachtii. The glucosinolates tested were purified from the seeds or from plant organs of some crucifers cited as hosts of the nematode: Brassica napus, Lepidium sativum, Brassica rapa, Brassica carinata, Raphanus sativus, and Sinapis alba. The glucosinolates were dissolved in various concentrations in both the absence and presence of the enzyme myrosinase, and their nematocidal effect in time on second-stage juveniles was then determined. All of the glucosinolates tested as such (i.e., in their native form) showed no nematocidal effect, whereas the products of the enzymatic hydrolysis at pH 7.0 (essentially isothiocyanate) of some of them (sinigrin, gluconapin, glucotropeolin, glucode-hydroerucin, and the whole glucosinolate group extracted from rapeseed) demonstrated a mortality rate that varied as a function of both the concentration of product and the exposure time. The reaction products of glucoraphenin and sinalbin did not show any nematocidal activity at the concentrations tested. © 1993, American Chemical Society. All rights reserved.","author":[{"dropping-particle":"","family":"Lazzeri","given":"L.","non-dropping-particle":"","parse-names":false,"suffix":""},{"dropping-particle":"","family":"Tacconi","given":"R.","non-dropping-particle":"","parse-names":false,"suffix":""},{"dropping-particle":"","family":"Palmieri","given":"S.","non-dropping-particle":"","parse-names":false,"suffix":""}],"container-title":"Journal of Agricultural and Food Chemistry","id":"ITEM-1","issue":"5","issued":{"date-parts":[["1993"]]},"page":"825-829","title":"In Vitro Activity of Some Glucosinolates and Their Reaction Products toward a Population of the Nematode Heterodera schachtii","type":"article-journal","volume":"41"},"uris":["http://www.mendeley.com/documents/?uuid=5611b85a-4c8b-3257-9865-3719cbcc6db8"]}],"mendeley":{"formattedCitation":"(Lazzeri, Tacconi and Palmieri, 1993)","plainTextFormattedCitation":"(Lazzeri, Tacconi and Palmieri, 1993)","previouslyFormattedCitation":"(Lazzeri, Tacconi and Palmieri, 1993)"},"properties":{"noteIndex":0},"schema":"https://github.com/citation-style-language/schema/raw/master/csl-citation.json"}</w:instrText>
      </w:r>
      <w:r w:rsidR="00D4255D" w:rsidRPr="6AC1B2C3">
        <w:rPr>
          <w:rFonts w:ascii="Arial" w:hAnsi="Arial" w:cs="Arial"/>
          <w:color w:val="000000" w:themeColor="text1"/>
          <w:sz w:val="24"/>
          <w:szCs w:val="24"/>
        </w:rPr>
        <w:fldChar w:fldCharType="separate"/>
      </w:r>
      <w:r w:rsidRPr="6AC1B2C3">
        <w:rPr>
          <w:rFonts w:ascii="Arial" w:hAnsi="Arial" w:cs="Arial"/>
          <w:noProof/>
          <w:color w:val="000000" w:themeColor="text1"/>
          <w:sz w:val="24"/>
          <w:szCs w:val="24"/>
        </w:rPr>
        <w:t>(Lazzeri, Tacconi and Palmieri, 1993)</w:t>
      </w:r>
      <w:r w:rsidR="00D4255D" w:rsidRPr="6AC1B2C3">
        <w:rPr>
          <w:rFonts w:ascii="Arial" w:hAnsi="Arial" w:cs="Arial"/>
          <w:color w:val="000000" w:themeColor="text1"/>
          <w:sz w:val="24"/>
          <w:szCs w:val="24"/>
        </w:rPr>
        <w:fldChar w:fldCharType="end"/>
      </w:r>
      <w:r w:rsidRPr="6AC1B2C3">
        <w:rPr>
          <w:rFonts w:ascii="Arial" w:hAnsi="Arial" w:cs="Arial"/>
          <w:color w:val="000000" w:themeColor="text1"/>
          <w:sz w:val="24"/>
          <w:szCs w:val="24"/>
        </w:rPr>
        <w:t xml:space="preserve">. Similar observations were recorded in an experiment where the effects of eight glucosinolates were tested: Prop-2-enyl-, but-3-enyl-, (R)-4-methylsulfinylbut-3-enyl-, benzyl-, </w:t>
      </w:r>
      <w:r w:rsidRPr="6AC1B2C3">
        <w:rPr>
          <w:rFonts w:ascii="Arial" w:hAnsi="Arial" w:cs="Arial"/>
          <w:color w:val="000000" w:themeColor="text1"/>
          <w:sz w:val="24"/>
          <w:szCs w:val="24"/>
        </w:rPr>
        <w:lastRenderedPageBreak/>
        <w:t xml:space="preserve">phenethyl-,4-hydroxybenzyl-, (2S)-2-hydroxybut-3-enyl-, and (2R)-2-hydroxy-2-phenylethylglucosinolate and their hydrolysis products were tested against juveniles of </w:t>
      </w:r>
      <w:r w:rsidRPr="6AC1B2C3">
        <w:rPr>
          <w:rFonts w:ascii="Arial" w:hAnsi="Arial" w:cs="Arial"/>
          <w:i/>
          <w:iCs/>
          <w:color w:val="000000" w:themeColor="text1"/>
          <w:sz w:val="24"/>
          <w:szCs w:val="24"/>
        </w:rPr>
        <w:t xml:space="preserve">Globodera rostochiensis. </w:t>
      </w:r>
      <w:r w:rsidRPr="6AC1B2C3">
        <w:rPr>
          <w:rFonts w:ascii="Arial" w:hAnsi="Arial" w:cs="Arial"/>
          <w:color w:val="000000" w:themeColor="text1"/>
          <w:sz w:val="24"/>
          <w:szCs w:val="24"/>
        </w:rPr>
        <w:t xml:space="preserve">The glucosinolates were used at three concentrations, 0.05, 0.3, and 1.0 mg/mL, in the presence or absence of the enzyme myrosinase. Results showed that intact glucosinolates had no effect in the absence of myrosinase enzyme. However, 1 mg/mL phenethyl glucosinolates at pH 6.5, with the addition of myrosinase, caused 100% mortality of the juveniles following  a 16 hours exposure time </w:t>
      </w:r>
      <w:r w:rsidR="00D4255D" w:rsidRPr="6AC1B2C3">
        <w:rPr>
          <w:rFonts w:ascii="Arial" w:hAnsi="Arial" w:cs="Arial"/>
          <w:color w:val="000000" w:themeColor="text1"/>
          <w:sz w:val="24"/>
          <w:szCs w:val="24"/>
        </w:rPr>
        <w:fldChar w:fldCharType="begin" w:fldLock="1"/>
      </w:r>
      <w:r w:rsidR="00D4255D" w:rsidRPr="6AC1B2C3">
        <w:rPr>
          <w:rFonts w:ascii="Arial" w:hAnsi="Arial" w:cs="Arial"/>
          <w:color w:val="000000" w:themeColor="text1"/>
          <w:sz w:val="24"/>
          <w:szCs w:val="24"/>
        </w:rPr>
        <w:instrText>ADDIN CSL_CITATION {"citationItems":[{"id":"ITEM-1","itemData":{"DOI":"10.1021/jf010470s","ISSN":"00218561","PMID":"11829629","abstract":"The potato cyst nematode (Globodera rostochiensis cv. Woll) is responsible for large yield losses in the potato crop, and opportunities for reducing the attack of these plant nematode species are, therefore, important. This study has been devoted to the testing of the in vitro effects on the potato cyst nematode of eight glucosinolates [prop-2-enyl-, but-3-enyl-, (R)-4-methylsulfinylbut-3-enyl-, benzyl-, phenethyl-, 4-hydroxybenzyl-, (2S)-2-hydroxybut-3-enyl-, and (2R)-2-hydroxy-2-phenylethylglucosinolate] as well as the effects of the products of this myrosinase-catalyzed hydrolysis. The glucosinolates were used at three concentrations, 0.05, 0.3, and 1.0 mg/mL, in the presence or absence of the enzyme myrosinase. The effects of the compounds on the mortality were monitored every 8 h for a 72 h period. No effects were found for any of the intact glucosinolates. However, when active myrosinase was included with 1 mg/mL phenethylglucosinolate at pH 6.5, 100% mortality was observed within just 16 h. A similar effect was achieved at the same concentration of benzyl-and prop-2-enylglucosinolates in the myrosinase-containing solutions, although longer exposures were required (24 and 40 h, respectively). The main aglucone products released from the glucosinolates with pronounced effects on the nematodes were shown to be the corresponding isothiocyanates. The results suggest that mixtures of these specific glucosinolates and active myrosinase or autolysis of plant materials containing these enzymes and glucosinolates might be used to control the potato cyst nematode in the soil.","author":[{"dropping-particle":"","family":"Buskov","given":"S.","non-dropping-particle":"","parse-names":false,"suffix":""},{"dropping-particle":"","family":"Serra","given":"B.","non-dropping-particle":"","parse-names":false,"suffix":""},{"dropping-particle":"","family":"Rosa","given":"E.","non-dropping-particle":"","parse-names":false,"suffix":""},{"dropping-particle":"","family":"Sørensen","given":"H.","non-dropping-particle":"","parse-names":false,"suffix":""},{"dropping-particle":"","family":"Sørensen","given":"J. C.","non-dropping-particle":"","parse-names":false,"suffix":""}],"container-title":"Journal of Agricultural and Food Chemistry","id":"ITEM-1","issue":"4","issued":{"date-parts":[["2002","2","13"]]},"page":"690-695","publisher":"American Chemical Society","title":"Effects of intact glucosinolates and products produced from glucosinolates in myrosinase-catalyzed hydrolysis on the potato cyst nematode (Globodera rostochiensis cv. Woll)","type":"article-journal","volume":"50"},"uris":["http://www.mendeley.com/documents/?uuid=8386281f-c85e-3388-b330-ac4a742b9e5f"]}],"mendeley":{"formattedCitation":"(Buskov &lt;i&gt;et al.&lt;/i&gt;, 2002)","plainTextFormattedCitation":"(Buskov et al., 2002)","previouslyFormattedCitation":"(Buskov &lt;i&gt;et al.&lt;/i&gt;, 2002)"},"properties":{"noteIndex":0},"schema":"https://github.com/citation-style-language/schema/raw/master/csl-citation.json"}</w:instrText>
      </w:r>
      <w:r w:rsidR="00D4255D" w:rsidRPr="6AC1B2C3">
        <w:rPr>
          <w:rFonts w:ascii="Arial" w:hAnsi="Arial" w:cs="Arial"/>
          <w:color w:val="000000" w:themeColor="text1"/>
          <w:sz w:val="24"/>
          <w:szCs w:val="24"/>
        </w:rPr>
        <w:fldChar w:fldCharType="separate"/>
      </w:r>
      <w:r w:rsidRPr="6AC1B2C3">
        <w:rPr>
          <w:rFonts w:ascii="Arial" w:hAnsi="Arial" w:cs="Arial"/>
          <w:noProof/>
          <w:color w:val="000000" w:themeColor="text1"/>
          <w:sz w:val="24"/>
          <w:szCs w:val="24"/>
        </w:rPr>
        <w:t xml:space="preserve">(Buskov </w:t>
      </w:r>
      <w:r w:rsidRPr="6AC1B2C3">
        <w:rPr>
          <w:rFonts w:ascii="Arial" w:hAnsi="Arial" w:cs="Arial"/>
          <w:i/>
          <w:iCs/>
          <w:noProof/>
          <w:color w:val="000000" w:themeColor="text1"/>
          <w:sz w:val="24"/>
          <w:szCs w:val="24"/>
        </w:rPr>
        <w:t>et al.</w:t>
      </w:r>
      <w:r w:rsidRPr="6AC1B2C3">
        <w:rPr>
          <w:rFonts w:ascii="Arial" w:hAnsi="Arial" w:cs="Arial"/>
          <w:noProof/>
          <w:color w:val="000000" w:themeColor="text1"/>
          <w:sz w:val="24"/>
          <w:szCs w:val="24"/>
        </w:rPr>
        <w:t>, 2002)</w:t>
      </w:r>
      <w:r w:rsidR="00D4255D" w:rsidRPr="6AC1B2C3">
        <w:rPr>
          <w:rFonts w:ascii="Arial" w:hAnsi="Arial" w:cs="Arial"/>
          <w:color w:val="000000" w:themeColor="text1"/>
          <w:sz w:val="24"/>
          <w:szCs w:val="24"/>
        </w:rPr>
        <w:fldChar w:fldCharType="end"/>
      </w:r>
      <w:r w:rsidRPr="6AC1B2C3">
        <w:rPr>
          <w:rFonts w:ascii="Arial" w:hAnsi="Arial" w:cs="Arial"/>
          <w:color w:val="000000" w:themeColor="text1"/>
          <w:sz w:val="24"/>
          <w:szCs w:val="24"/>
        </w:rPr>
        <w:t>. 2-</w:t>
      </w:r>
      <w:r w:rsidRPr="6AC1B2C3">
        <w:rPr>
          <w:rFonts w:ascii="Arial" w:hAnsi="Arial" w:cs="Arial"/>
          <w:color w:val="000000" w:themeColor="text1"/>
          <w:sz w:val="24"/>
          <w:szCs w:val="24"/>
          <w:lang w:val="en-US"/>
        </w:rPr>
        <w:t xml:space="preserve">propenyl isothiocyanate, at a concentration of 0.002%, was also shown to exhibit </w:t>
      </w:r>
      <w:r w:rsidRPr="6AC1B2C3">
        <w:rPr>
          <w:rFonts w:ascii="Arial" w:hAnsi="Arial" w:cs="Arial"/>
          <w:color w:val="000000" w:themeColor="text1"/>
          <w:sz w:val="24"/>
          <w:szCs w:val="24"/>
        </w:rPr>
        <w:t xml:space="preserve">high toxicity </w:t>
      </w:r>
      <w:r w:rsidRPr="6AC1B2C3">
        <w:rPr>
          <w:rFonts w:ascii="Arial" w:hAnsi="Arial" w:cs="Arial"/>
          <w:color w:val="000000" w:themeColor="text1"/>
          <w:sz w:val="24"/>
          <w:szCs w:val="24"/>
          <w:lang w:val="en-US"/>
        </w:rPr>
        <w:t xml:space="preserve">on eggs of </w:t>
      </w:r>
      <w:r w:rsidRPr="6AC1B2C3">
        <w:rPr>
          <w:rFonts w:ascii="Arial" w:hAnsi="Arial" w:cs="Arial"/>
          <w:i/>
          <w:iCs/>
          <w:color w:val="000000" w:themeColor="text1"/>
          <w:sz w:val="24"/>
          <w:szCs w:val="24"/>
          <w:lang w:val="en-US"/>
        </w:rPr>
        <w:t>Globodera pallida</w:t>
      </w:r>
      <w:r w:rsidRPr="6AC1B2C3">
        <w:rPr>
          <w:rFonts w:ascii="Arial" w:hAnsi="Arial" w:cs="Arial"/>
          <w:color w:val="000000" w:themeColor="text1"/>
          <w:sz w:val="24"/>
          <w:szCs w:val="24"/>
          <w:lang w:val="en-US"/>
        </w:rPr>
        <w:t xml:space="preserve">, where the hatching ability was decreased by 50% after 2hrs exposure time </w:t>
      </w:r>
      <w:r w:rsidR="00D4255D" w:rsidRPr="6AC1B2C3">
        <w:rPr>
          <w:rFonts w:ascii="Arial" w:hAnsi="Arial" w:cs="Arial"/>
          <w:color w:val="000000" w:themeColor="text1"/>
          <w:sz w:val="24"/>
          <w:szCs w:val="24"/>
          <w:lang w:val="en-US"/>
        </w:rPr>
        <w:fldChar w:fldCharType="begin" w:fldLock="1"/>
      </w:r>
      <w:r w:rsidR="00D4255D" w:rsidRPr="6AC1B2C3">
        <w:rPr>
          <w:rFonts w:ascii="Arial" w:hAnsi="Arial" w:cs="Arial"/>
          <w:color w:val="000000" w:themeColor="text1"/>
          <w:sz w:val="24"/>
          <w:szCs w:val="24"/>
          <w:lang w:val="en-US"/>
        </w:rPr>
        <w:instrText>ADDIN CSL_CITATION {"citationItems":[{"id":"ITEM-1","itemData":{"DOI":"10.1016/j.apsoil.2014.05.011","ISSN":"09291393","abstract":"The aim of this study was to assess the feasibility of controlling the potato cyst nematode Globodera pallida through biofumigation with glucosinolate-rich Brassica juncea genotypes. The main glucosinolate of B. juncea is 2-propenyl glucosinolate which is the precursor of 2-propenyl isothiocyanate. Toxicity of 2-propenyl isothiocyanate to encysted G. pallida was tested in vitro. Fifty percent reduction in hatching was found within 2. h of exposure to 0.002% 2-propenyl isothiocyanate. Based on the in vitro results, we hypothesized that biofumigation with B. juncea would reduce hatching of G. pallida in vivo and higher 2-propenyl glucosinolate levels would have a stronger effect. Plant genotype, sulfur fertilization and insect herbivory affected 2-propenyl glucosinolate concentration of B. juncea. However, increasing 2-propenyl glucosinolate concentration of B. juncea did not affect G. pallida hatching after biofumigation. The absence of a biofumigation effect was most likely due to lower concentrations of 2-propenyl isothiocyanate in vivo compared to in vitro conditions. These results show that it is difficult to reach sufficiently high levels of toxicity to reduce hatching of G. pallida under realistic conditions. © 2014 Elsevier B.V.","author":[{"dropping-particle":"","family":"Brolsma","given":"Karst M.","non-dropping-particle":"","parse-names":false,"suffix":""},{"dropping-particle":"","family":"Salm","given":"Renée J.","non-dropping-particle":"van der","parse-names":false,"suffix":""},{"dropping-particle":"","family":"Hoffland","given":"Ellis","non-dropping-particle":"","parse-names":false,"suffix":""},{"dropping-particle":"","family":"Goede","given":"Ron G.M.","non-dropping-particle":"de","parse-names":false,"suffix":""}],"container-title":"Applied Soil Ecology","id":"ITEM-1","issued":{"date-parts":[["2014"]]},"page":"6-11","publisher":"Elsevier B.V.","title":"Hatching of Globodera pallida is inhibited by 2-propenyl isothiocyanate in vitro but not by incorporation of Brassica juncea tissue in soil","type":"article-journal","volume":"84"},"uris":["http://www.mendeley.com/documents/?uuid=592446d4-0b28-382c-94cb-e511ec96c46a"]}],"mendeley":{"formattedCitation":"(Brolsma &lt;i&gt;et al.&lt;/i&gt;, 2014)","plainTextFormattedCitation":"(Brolsma et al., 2014)","previouslyFormattedCitation":"(Brolsma &lt;i&gt;et al.&lt;/i&gt;, 2014)"},"properties":{"noteIndex":0},"schema":"https://github.com/citation-style-language/schema/raw/master/csl-citation.json"}</w:instrText>
      </w:r>
      <w:r w:rsidR="00D4255D" w:rsidRPr="6AC1B2C3">
        <w:rPr>
          <w:rFonts w:ascii="Arial" w:hAnsi="Arial" w:cs="Arial"/>
          <w:color w:val="000000" w:themeColor="text1"/>
          <w:sz w:val="24"/>
          <w:szCs w:val="24"/>
          <w:lang w:val="en-US"/>
        </w:rPr>
        <w:fldChar w:fldCharType="separate"/>
      </w:r>
      <w:r w:rsidRPr="6AC1B2C3">
        <w:rPr>
          <w:rFonts w:ascii="Arial" w:hAnsi="Arial" w:cs="Arial"/>
          <w:noProof/>
          <w:color w:val="000000" w:themeColor="text1"/>
          <w:sz w:val="24"/>
          <w:szCs w:val="24"/>
          <w:lang w:val="en-US"/>
        </w:rPr>
        <w:t xml:space="preserve">(Brolsma </w:t>
      </w:r>
      <w:r w:rsidRPr="6AC1B2C3">
        <w:rPr>
          <w:rFonts w:ascii="Arial" w:hAnsi="Arial" w:cs="Arial"/>
          <w:i/>
          <w:iCs/>
          <w:noProof/>
          <w:color w:val="000000" w:themeColor="text1"/>
          <w:sz w:val="24"/>
          <w:szCs w:val="24"/>
          <w:lang w:val="en-US"/>
        </w:rPr>
        <w:t>et al.</w:t>
      </w:r>
      <w:r w:rsidRPr="6AC1B2C3">
        <w:rPr>
          <w:rFonts w:ascii="Arial" w:hAnsi="Arial" w:cs="Arial"/>
          <w:noProof/>
          <w:color w:val="000000" w:themeColor="text1"/>
          <w:sz w:val="24"/>
          <w:szCs w:val="24"/>
          <w:lang w:val="en-US"/>
        </w:rPr>
        <w:t>, 2014)</w:t>
      </w:r>
      <w:r w:rsidR="00D4255D" w:rsidRPr="6AC1B2C3">
        <w:rPr>
          <w:rFonts w:ascii="Arial" w:hAnsi="Arial" w:cs="Arial"/>
          <w:color w:val="000000" w:themeColor="text1"/>
          <w:sz w:val="24"/>
          <w:szCs w:val="24"/>
        </w:rPr>
        <w:fldChar w:fldCharType="end"/>
      </w:r>
      <w:r w:rsidRPr="6AC1B2C3">
        <w:rPr>
          <w:rFonts w:ascii="Arial" w:hAnsi="Arial" w:cs="Arial"/>
          <w:color w:val="000000" w:themeColor="text1"/>
          <w:sz w:val="24"/>
          <w:szCs w:val="24"/>
        </w:rPr>
        <w:t xml:space="preserve">. </w:t>
      </w:r>
    </w:p>
    <w:p w14:paraId="0D91DFAF" w14:textId="49A464E3" w:rsidR="00D4255D" w:rsidRPr="002B3D8A" w:rsidRDefault="6AC1B2C3" w:rsidP="00616CDC">
      <w:pPr>
        <w:pStyle w:val="paragraph"/>
        <w:spacing w:before="0" w:beforeAutospacing="0" w:after="0" w:afterAutospacing="0" w:line="360" w:lineRule="auto"/>
        <w:ind w:left="-284" w:right="-330"/>
        <w:jc w:val="both"/>
        <w:textAlignment w:val="baseline"/>
        <w:rPr>
          <w:rFonts w:ascii="Arial" w:hAnsi="Arial" w:cs="Arial"/>
          <w:color w:val="000000" w:themeColor="text1"/>
        </w:rPr>
      </w:pPr>
      <w:r w:rsidRPr="6AC1B2C3">
        <w:rPr>
          <w:rFonts w:ascii="Arial" w:hAnsi="Arial" w:cs="Arial"/>
          <w:color w:val="000000" w:themeColor="text1"/>
        </w:rPr>
        <w:t xml:space="preserve">A sand column assay was carried out to test the effect of leaf extracts from twenty-two brassica accessions on the motility of juveniles of </w:t>
      </w:r>
      <w:r w:rsidRPr="6AC1B2C3">
        <w:rPr>
          <w:rFonts w:ascii="Arial" w:hAnsi="Arial" w:cs="Arial"/>
          <w:i/>
          <w:iCs/>
          <w:color w:val="000000" w:themeColor="text1"/>
        </w:rPr>
        <w:t>Globodera pallida</w:t>
      </w:r>
      <w:r w:rsidRPr="6AC1B2C3">
        <w:rPr>
          <w:rFonts w:ascii="Arial" w:hAnsi="Arial" w:cs="Arial"/>
          <w:color w:val="000000" w:themeColor="text1"/>
        </w:rPr>
        <w:t xml:space="preserve"> . Leaves were obtained from 8-week old brassica plants, they were then flash frozen in liquid nitrogen and ground into powder, which was dissolved in sterile water at the beginning of each assay. The juvenile motility was measured by checking their movement down a sand column. Results from the study indicated that the, leaf extracts of especially the brassica varieties </w:t>
      </w:r>
      <w:r w:rsidRPr="6AC1B2C3">
        <w:rPr>
          <w:rFonts w:ascii="Arial" w:hAnsi="Arial" w:cs="Arial"/>
          <w:i/>
          <w:iCs/>
          <w:color w:val="000000" w:themeColor="text1"/>
        </w:rPr>
        <w:t>Raphanus sativus</w:t>
      </w:r>
      <w:r w:rsidRPr="6AC1B2C3">
        <w:rPr>
          <w:rFonts w:ascii="Arial" w:hAnsi="Arial" w:cs="Arial"/>
          <w:color w:val="000000" w:themeColor="text1"/>
        </w:rPr>
        <w:t xml:space="preserve"> cv. Weed check, </w:t>
      </w:r>
      <w:r w:rsidRPr="6AC1B2C3">
        <w:rPr>
          <w:rFonts w:ascii="Arial" w:hAnsi="Arial" w:cs="Arial"/>
          <w:i/>
          <w:iCs/>
          <w:color w:val="000000" w:themeColor="text1"/>
        </w:rPr>
        <w:t xml:space="preserve">N. officinale </w:t>
      </w:r>
      <w:r w:rsidRPr="6AC1B2C3">
        <w:rPr>
          <w:rFonts w:ascii="Arial" w:hAnsi="Arial" w:cs="Arial"/>
          <w:color w:val="000000" w:themeColor="text1"/>
        </w:rPr>
        <w:t>cv. Cress</w:t>
      </w:r>
      <w:r w:rsidRPr="6AC1B2C3">
        <w:rPr>
          <w:rFonts w:ascii="Arial" w:hAnsi="Arial" w:cs="Arial"/>
          <w:i/>
          <w:iCs/>
          <w:color w:val="000000" w:themeColor="text1"/>
        </w:rPr>
        <w:t xml:space="preserve"> </w:t>
      </w:r>
      <w:r w:rsidRPr="6AC1B2C3">
        <w:rPr>
          <w:rFonts w:ascii="Arial" w:hAnsi="Arial" w:cs="Arial"/>
          <w:color w:val="000000" w:themeColor="text1"/>
        </w:rPr>
        <w:t xml:space="preserve">, and </w:t>
      </w:r>
      <w:r w:rsidRPr="6AC1B2C3">
        <w:rPr>
          <w:rFonts w:ascii="Arial" w:hAnsi="Arial" w:cs="Arial"/>
          <w:i/>
          <w:iCs/>
          <w:color w:val="000000" w:themeColor="text1"/>
        </w:rPr>
        <w:t>Brassica juncea</w:t>
      </w:r>
      <w:r w:rsidRPr="6AC1B2C3">
        <w:rPr>
          <w:rFonts w:ascii="Arial" w:hAnsi="Arial" w:cs="Arial"/>
          <w:color w:val="000000" w:themeColor="text1"/>
        </w:rPr>
        <w:t xml:space="preserve"> cv. Nemfix were very potent where they significantly inhibited motility of </w:t>
      </w:r>
      <w:r w:rsidRPr="6AC1B2C3">
        <w:rPr>
          <w:rFonts w:ascii="Arial" w:hAnsi="Arial" w:cs="Arial"/>
          <w:i/>
          <w:iCs/>
          <w:color w:val="000000" w:themeColor="text1"/>
        </w:rPr>
        <w:t>Globodera pallida</w:t>
      </w:r>
      <w:r w:rsidRPr="6AC1B2C3">
        <w:rPr>
          <w:rFonts w:ascii="Arial" w:hAnsi="Arial" w:cs="Arial"/>
          <w:color w:val="000000" w:themeColor="text1"/>
        </w:rPr>
        <w:t xml:space="preserve"> juveniles, by 97, 93, and 89% inhibition, respectively </w:t>
      </w:r>
      <w:r w:rsidR="009537D3" w:rsidRPr="6AC1B2C3">
        <w:rPr>
          <w:rFonts w:ascii="Arial" w:hAnsi="Arial" w:cs="Arial"/>
          <w:color w:val="000000" w:themeColor="text1"/>
        </w:rPr>
        <w:fldChar w:fldCharType="begin" w:fldLock="1"/>
      </w:r>
      <w:r w:rsidR="009537D3" w:rsidRPr="6AC1B2C3">
        <w:rPr>
          <w:rFonts w:ascii="Arial" w:hAnsi="Arial" w:cs="Arial"/>
          <w:color w:val="000000" w:themeColor="text1"/>
        </w:rPr>
        <w:instrText>ADDIN CSL_CITATION {"citationItems":[{"id":"ITEM-1","itemData":{"DOI":"10.1021/jf200925k","ISSN":"00218561","PMID":"21718044","abstract":"The effects of brassica green manures on Globodera pallida were assessed in vitro and in soil microcosms. Twelve of 22 brassica accessions significantly inhibited the motility of G. pallida infective juveniles in vitro. Green manures of selected brassicas were then incorporated into soil containing encysted eggs of G. pallida. Their effect on egg viability was estimated by quantifying nematode actin 1 mRNA by RT-qPCR. The leaf glucosinolate profiles of the plants were determined by high-performance liquid chromatography. Three Brassica juncea lines (Nemfix, Fumus, and ISCI99) containing high concentrations of 2-propenyl glucosinolate were the most effective, causing over 95% mortality of encysted eggs of G. pallida in polyethylene-covered soil. The toxic effects of green manures were greater in polyethylene-covered than in open soil. Toxicity in soil correlated with the concentration of isothiocyanate-producing glucosinolate but not total glucosinolate in green manures. © 2011 American Chemical Society.","author":[{"dropping-particle":"","family":"Lord","given":"James S.","non-dropping-particle":"","parse-names":false,"suffix":""},{"dropping-particle":"","family":"Lazzeri","given":"Luca","non-dropping-particle":"","parse-names":false,"suffix":""},{"dropping-particle":"","family":"Atkinson","given":"Howard J.","non-dropping-particle":"","parse-names":false,"suffix":""},{"dropping-particle":"","family":"Urwin","given":"Peter E.","non-dropping-particle":"","parse-names":false,"suffix":""}],"container-title":"Journal of Agricultural and Food Chemistry","id":"ITEM-1","issue":"14","issued":{"date-parts":[["2011","7","27"]]},"page":"7882-7890","publisher":"American Chemical Society","title":"Biofumigation for control of pale potato cyst nematodes: Activity of brassica leaf extracts and green manures on globodera pallida in vitro and in soil","type":"article-journal","volume":"59"},"uris":["http://www.mendeley.com/documents/?uuid=a5326bb0-b17b-3b67-afe8-b361e42f4d63"]}],"mendeley":{"formattedCitation":"(Lord &lt;i&gt;et al.&lt;/i&gt;, 2011)","plainTextFormattedCitation":"(Lord et al., 2011)","previouslyFormattedCitation":"(Lord &lt;i&gt;et al.&lt;/i&gt;, 2011)"},"properties":{"noteIndex":0},"schema":"https://github.com/citation-style-language/schema/raw/master/csl-citation.json"}</w:instrText>
      </w:r>
      <w:r w:rsidR="009537D3" w:rsidRPr="6AC1B2C3">
        <w:rPr>
          <w:rFonts w:ascii="Arial" w:hAnsi="Arial" w:cs="Arial"/>
          <w:color w:val="000000" w:themeColor="text1"/>
        </w:rPr>
        <w:fldChar w:fldCharType="separate"/>
      </w:r>
      <w:r w:rsidRPr="6AC1B2C3">
        <w:rPr>
          <w:rFonts w:ascii="Arial" w:hAnsi="Arial" w:cs="Arial"/>
          <w:noProof/>
          <w:color w:val="000000" w:themeColor="text1"/>
        </w:rPr>
        <w:t xml:space="preserve">(Lord </w:t>
      </w:r>
      <w:r w:rsidRPr="6AC1B2C3">
        <w:rPr>
          <w:rFonts w:ascii="Arial" w:hAnsi="Arial" w:cs="Arial"/>
          <w:i/>
          <w:iCs/>
          <w:noProof/>
          <w:color w:val="000000" w:themeColor="text1"/>
        </w:rPr>
        <w:t>et al.</w:t>
      </w:r>
      <w:r w:rsidRPr="6AC1B2C3">
        <w:rPr>
          <w:rFonts w:ascii="Arial" w:hAnsi="Arial" w:cs="Arial"/>
          <w:noProof/>
          <w:color w:val="000000" w:themeColor="text1"/>
        </w:rPr>
        <w:t>, 2011)</w:t>
      </w:r>
      <w:r w:rsidR="009537D3" w:rsidRPr="6AC1B2C3">
        <w:rPr>
          <w:rFonts w:ascii="Arial" w:hAnsi="Arial" w:cs="Arial"/>
          <w:color w:val="000000" w:themeColor="text1"/>
        </w:rPr>
        <w:fldChar w:fldCharType="end"/>
      </w:r>
      <w:r w:rsidRPr="6AC1B2C3">
        <w:rPr>
          <w:rFonts w:ascii="Arial" w:hAnsi="Arial" w:cs="Arial"/>
          <w:color w:val="000000" w:themeColor="text1"/>
        </w:rPr>
        <w:t xml:space="preserve">. </w:t>
      </w:r>
    </w:p>
    <w:p w14:paraId="783303E9" w14:textId="71B82B58" w:rsidR="00D4255D" w:rsidRPr="002B3D8A" w:rsidRDefault="6AC1B2C3" w:rsidP="00616CDC">
      <w:pPr>
        <w:pStyle w:val="paragraph"/>
        <w:spacing w:after="0" w:line="360" w:lineRule="auto"/>
        <w:ind w:left="-284" w:right="-330"/>
        <w:jc w:val="both"/>
        <w:textAlignment w:val="baseline"/>
        <w:rPr>
          <w:rFonts w:ascii="Arial" w:hAnsi="Arial" w:cs="Arial"/>
          <w:color w:val="000000" w:themeColor="text1"/>
        </w:rPr>
      </w:pPr>
      <w:r w:rsidRPr="6AC1B2C3">
        <w:rPr>
          <w:rFonts w:ascii="Arial" w:hAnsi="Arial" w:cs="Arial"/>
          <w:color w:val="000000" w:themeColor="text1"/>
        </w:rPr>
        <w:t xml:space="preserve">In another study, silica sand in polyvinyl tubes was used to determine the lethal concentration of commercially available isothiocyanates i.e. Allyl, benzyl, butyl, ethyl, phenyl, 2- phenylethyl and 4-methyl-sulfinyl(butyl) against </w:t>
      </w:r>
      <w:r w:rsidRPr="6AC1B2C3">
        <w:rPr>
          <w:rFonts w:ascii="Arial" w:hAnsi="Arial" w:cs="Arial"/>
          <w:i/>
          <w:iCs/>
          <w:color w:val="000000" w:themeColor="text1"/>
        </w:rPr>
        <w:t>Tylenchulus semipenetrans</w:t>
      </w:r>
      <w:r w:rsidRPr="6AC1B2C3">
        <w:rPr>
          <w:rFonts w:ascii="Arial" w:hAnsi="Arial" w:cs="Arial"/>
          <w:color w:val="000000" w:themeColor="text1"/>
        </w:rPr>
        <w:t xml:space="preserve"> and </w:t>
      </w:r>
      <w:r w:rsidRPr="6AC1B2C3">
        <w:rPr>
          <w:rFonts w:ascii="Arial" w:hAnsi="Arial" w:cs="Arial"/>
          <w:i/>
          <w:iCs/>
          <w:color w:val="000000" w:themeColor="text1"/>
        </w:rPr>
        <w:t xml:space="preserve">Meloidogyne javanica. </w:t>
      </w:r>
      <w:r w:rsidRPr="6AC1B2C3">
        <w:rPr>
          <w:rFonts w:ascii="Arial" w:hAnsi="Arial" w:cs="Arial"/>
          <w:color w:val="000000" w:themeColor="text1"/>
        </w:rPr>
        <w:t>The tubes were 25°C for 48 h.</w:t>
      </w:r>
      <w:r w:rsidRPr="6AC1B2C3">
        <w:rPr>
          <w:rFonts w:ascii="Arial" w:hAnsi="Arial" w:cs="Arial"/>
          <w:i/>
          <w:iCs/>
          <w:color w:val="000000" w:themeColor="text1"/>
        </w:rPr>
        <w:t xml:space="preserve"> </w:t>
      </w:r>
      <w:r w:rsidRPr="6AC1B2C3">
        <w:rPr>
          <w:rFonts w:ascii="Arial" w:hAnsi="Arial" w:cs="Arial"/>
          <w:color w:val="000000" w:themeColor="text1"/>
        </w:rPr>
        <w:t xml:space="preserve">The findings indicated that benzyl and 2-phenylethyl ITCs, with the highest molecular weights, were the most toxic ITCs. The LC90 values were 0.01 and 0.03 μmol/ml for 2-phenylethyl isothiocyanate and 0.01 and 0.06 μmol/ml for benzyl isothiocyanate for </w:t>
      </w:r>
      <w:r w:rsidRPr="6AC1B2C3">
        <w:rPr>
          <w:rFonts w:ascii="Arial" w:hAnsi="Arial" w:cs="Arial"/>
          <w:i/>
          <w:iCs/>
          <w:color w:val="000000" w:themeColor="text1"/>
        </w:rPr>
        <w:t>T. semipenetrans</w:t>
      </w:r>
      <w:r w:rsidRPr="6AC1B2C3">
        <w:rPr>
          <w:rFonts w:ascii="Arial" w:hAnsi="Arial" w:cs="Arial"/>
          <w:color w:val="000000" w:themeColor="text1"/>
        </w:rPr>
        <w:t xml:space="preserve"> and </w:t>
      </w:r>
      <w:r w:rsidRPr="6AC1B2C3">
        <w:rPr>
          <w:rFonts w:ascii="Arial" w:hAnsi="Arial" w:cs="Arial"/>
          <w:i/>
          <w:iCs/>
          <w:color w:val="000000" w:themeColor="text1"/>
        </w:rPr>
        <w:t>M. javanica</w:t>
      </w:r>
      <w:r w:rsidRPr="6AC1B2C3">
        <w:rPr>
          <w:rFonts w:ascii="Arial" w:hAnsi="Arial" w:cs="Arial"/>
          <w:color w:val="000000" w:themeColor="text1"/>
        </w:rPr>
        <w:t xml:space="preserve">, respectively </w:t>
      </w:r>
      <w:r w:rsidR="00256156" w:rsidRPr="6AC1B2C3">
        <w:rPr>
          <w:rFonts w:ascii="Arial" w:hAnsi="Arial" w:cs="Arial"/>
          <w:color w:val="000000" w:themeColor="text1"/>
        </w:rPr>
        <w:fldChar w:fldCharType="begin" w:fldLock="1"/>
      </w:r>
      <w:r w:rsidR="00256156" w:rsidRPr="6AC1B2C3">
        <w:rPr>
          <w:rFonts w:ascii="Arial" w:hAnsi="Arial" w:cs="Arial"/>
          <w:color w:val="000000" w:themeColor="text1"/>
        </w:rPr>
        <w:instrText>ADDIN CSL_CITATION {"citationItems":[{"id":"ITEM-1","itemData":{"abstract":"Zasada, I. A., and Ferris, H. 2003. Sensitivity of Meloidogyne javanica and Tylenchulus semipenetrans to isothiocyanates in laboratory assays. Phytopathology 93:747-750. Isothiocyanates are released through enzymatic degradation of gluco-sinolates produced by plants in the family Brassicaceae. Glucosinolate profiles differ among plant species and the isothiocyanate derivatives differ in their toxicity to nematodes. Control of plant-parasitic nematodes in soil by isothiocyanates released from incorporated brassicaceous plant material has been inconsistent. Success might be improved with knowledge of the relative toxicities of various isothiocyanates against nematodes. Laboratory assays were conducted to determine lethal concentration (LC) values in sand of seven commercially available isothiocyanates against Tylenchulus semipenetrans and Meloidogyne javanica. The LC 90 values were 0.01 and 0.03 µmol/ml for 2-phenylethyl isothiocyanate and 0.48 and 0.35 µmol/ml for phenyl isothiocyanate for T. semipenetrans and M. javanica, respectively. Brassicaceous sources of benzyl or 2-phenylethyl isothiocyanate and, to a lesser extent allyl isothiocyanate, are the most promising candidates for plant-parasitic nematode management. The broader context of this research is the development of approaches for consistent and reliable use of plant-derived chemicals for nematode management. The strategy is to select plants in the family Brassicaceae based on their glucosinolate profiles and the sensitivity of the target nematode species to the associated isothiocyanates.","author":[{"dropping-particle":"","family":"Zasada","given":"I A","non-dropping-particle":"","parse-names":false,"suffix":""},{"dropping-particle":"","family":"Ferris","given":"H","non-dropping-particle":"","parse-names":false,"suffix":""}],"container-title":"Phytopathology","id":"ITEM-1","issue":"6","issued":{"date-parts":[["2003"]]},"page":"747-750","title":"Sensitivity of Meloidogyne javanica and Tylenchulus semipenetrans to Isothiocyanates in Laboratory Assays","type":"article-journal","volume":"93"},"uris":["http://www.mendeley.com/documents/?uuid=a561e828-b92e-331e-9a36-011698392f15"]}],"mendeley":{"formattedCitation":"(Zasada and Ferris, 2003)","plainTextFormattedCitation":"(Zasada and Ferris, 2003)","previouslyFormattedCitation":"(Zasada and Ferris, 2003)"},"properties":{"noteIndex":0},"schema":"https://github.com/citation-style-language/schema/raw/master/csl-citation.json"}</w:instrText>
      </w:r>
      <w:r w:rsidR="00256156" w:rsidRPr="6AC1B2C3">
        <w:rPr>
          <w:rFonts w:ascii="Arial" w:hAnsi="Arial" w:cs="Arial"/>
          <w:color w:val="000000" w:themeColor="text1"/>
        </w:rPr>
        <w:fldChar w:fldCharType="separate"/>
      </w:r>
      <w:r w:rsidRPr="6AC1B2C3">
        <w:rPr>
          <w:rFonts w:ascii="Arial" w:hAnsi="Arial" w:cs="Arial"/>
          <w:noProof/>
          <w:color w:val="000000" w:themeColor="text1"/>
        </w:rPr>
        <w:t>(Zasada and Ferris, 2003)</w:t>
      </w:r>
      <w:r w:rsidR="00256156" w:rsidRPr="6AC1B2C3">
        <w:rPr>
          <w:rFonts w:ascii="Arial" w:hAnsi="Arial" w:cs="Arial"/>
          <w:color w:val="000000" w:themeColor="text1"/>
        </w:rPr>
        <w:fldChar w:fldCharType="end"/>
      </w:r>
      <w:r w:rsidRPr="6AC1B2C3">
        <w:rPr>
          <w:rFonts w:ascii="Arial" w:hAnsi="Arial" w:cs="Arial"/>
          <w:color w:val="000000" w:themeColor="text1"/>
        </w:rPr>
        <w:t xml:space="preserve">. </w:t>
      </w:r>
    </w:p>
    <w:p w14:paraId="65CB6643" w14:textId="3D9992EC" w:rsidR="00267DA3" w:rsidRPr="002B3D8A" w:rsidRDefault="00135E09" w:rsidP="00616CDC">
      <w:pPr>
        <w:pStyle w:val="paragraph"/>
        <w:spacing w:before="0" w:beforeAutospacing="0" w:after="0" w:afterAutospacing="0" w:line="360" w:lineRule="auto"/>
        <w:ind w:left="-284" w:right="-330"/>
        <w:jc w:val="both"/>
        <w:textAlignment w:val="baseline"/>
        <w:rPr>
          <w:rFonts w:ascii="Arial" w:hAnsi="Arial" w:cs="Arial"/>
          <w:color w:val="000000" w:themeColor="text1"/>
        </w:rPr>
      </w:pPr>
      <w:r w:rsidRPr="002B3D8A">
        <w:rPr>
          <w:rFonts w:ascii="Arial" w:hAnsi="Arial" w:cs="Arial"/>
          <w:color w:val="000000" w:themeColor="text1"/>
        </w:rPr>
        <w:t xml:space="preserve">Effect of </w:t>
      </w:r>
      <w:r w:rsidR="00256156" w:rsidRPr="002B3D8A">
        <w:rPr>
          <w:rFonts w:ascii="Arial" w:hAnsi="Arial" w:cs="Arial"/>
          <w:color w:val="000000" w:themeColor="text1"/>
        </w:rPr>
        <w:t>commercially available</w:t>
      </w:r>
      <w:r w:rsidRPr="002B3D8A">
        <w:rPr>
          <w:rFonts w:ascii="Arial" w:hAnsi="Arial" w:cs="Arial"/>
          <w:color w:val="000000" w:themeColor="text1"/>
        </w:rPr>
        <w:t xml:space="preserve"> pure</w:t>
      </w:r>
      <w:r w:rsidR="00256156" w:rsidRPr="002B3D8A">
        <w:rPr>
          <w:rFonts w:ascii="Arial" w:hAnsi="Arial" w:cs="Arial"/>
          <w:color w:val="000000" w:themeColor="text1"/>
        </w:rPr>
        <w:t xml:space="preserve"> isothiocyanates</w:t>
      </w:r>
      <w:r w:rsidR="00BA4D27">
        <w:rPr>
          <w:rFonts w:ascii="Arial" w:hAnsi="Arial" w:cs="Arial"/>
          <w:color w:val="000000" w:themeColor="text1"/>
        </w:rPr>
        <w:t>,</w:t>
      </w:r>
      <w:r w:rsidR="00256156" w:rsidRPr="002B3D8A">
        <w:rPr>
          <w:rFonts w:ascii="Arial" w:hAnsi="Arial" w:cs="Arial"/>
          <w:color w:val="000000" w:themeColor="text1"/>
        </w:rPr>
        <w:t xml:space="preserve"> namely ethyl isothiocyanate, propyl isothiocyanate, isopropyl isothiocyanate, butyl isothiocyanate, isoamylene isothiocyanate, acryloyl isothiocyanate, isovaleryl </w:t>
      </w:r>
      <w:r w:rsidRPr="002B3D8A">
        <w:rPr>
          <w:rFonts w:ascii="Arial" w:hAnsi="Arial" w:cs="Arial"/>
          <w:color w:val="000000" w:themeColor="text1"/>
        </w:rPr>
        <w:t>isothiocyanate, phenyl</w:t>
      </w:r>
      <w:r w:rsidR="00256156" w:rsidRPr="002B3D8A">
        <w:rPr>
          <w:rFonts w:ascii="Arial" w:hAnsi="Arial" w:cs="Arial"/>
          <w:color w:val="000000" w:themeColor="text1"/>
        </w:rPr>
        <w:t xml:space="preserve"> isothiocyanate, benzyl thiocyanate, </w:t>
      </w:r>
      <w:r w:rsidR="00256156" w:rsidRPr="002B3D8A">
        <w:rPr>
          <w:rFonts w:ascii="Arial" w:hAnsi="Arial" w:cs="Arial"/>
          <w:color w:val="000000" w:themeColor="text1"/>
        </w:rPr>
        <w:lastRenderedPageBreak/>
        <w:t xml:space="preserve">benzyl </w:t>
      </w:r>
      <w:r w:rsidR="005972C1" w:rsidRPr="002B3D8A">
        <w:rPr>
          <w:rFonts w:ascii="Arial" w:hAnsi="Arial" w:cs="Arial"/>
          <w:color w:val="000000" w:themeColor="text1"/>
        </w:rPr>
        <w:t>isothiocyanate,</w:t>
      </w:r>
      <w:r w:rsidR="00256156" w:rsidRPr="002B3D8A">
        <w:rPr>
          <w:rFonts w:ascii="Arial" w:hAnsi="Arial" w:cs="Arial"/>
          <w:color w:val="000000" w:themeColor="text1"/>
        </w:rPr>
        <w:t xml:space="preserve"> 1-phenylethyl </w:t>
      </w:r>
      <w:r w:rsidR="005972C1" w:rsidRPr="002B3D8A">
        <w:rPr>
          <w:rFonts w:ascii="Arial" w:hAnsi="Arial" w:cs="Arial"/>
          <w:color w:val="000000" w:themeColor="text1"/>
        </w:rPr>
        <w:t>isothiocyanate,</w:t>
      </w:r>
      <w:r w:rsidR="00256156" w:rsidRPr="002B3D8A">
        <w:rPr>
          <w:rFonts w:ascii="Arial" w:hAnsi="Arial" w:cs="Arial"/>
          <w:color w:val="000000" w:themeColor="text1"/>
        </w:rPr>
        <w:t xml:space="preserve"> 2-phenylethyl isothiocyanate and allyl isothiocyanate</w:t>
      </w:r>
      <w:r w:rsidR="00BA4D27">
        <w:rPr>
          <w:rFonts w:ascii="Arial" w:hAnsi="Arial" w:cs="Arial"/>
          <w:color w:val="000000" w:themeColor="text1"/>
        </w:rPr>
        <w:t>,</w:t>
      </w:r>
      <w:r w:rsidR="00256156" w:rsidRPr="002B3D8A">
        <w:rPr>
          <w:rFonts w:ascii="Arial" w:hAnsi="Arial" w:cs="Arial"/>
          <w:color w:val="000000" w:themeColor="text1"/>
        </w:rPr>
        <w:t xml:space="preserve"> </w:t>
      </w:r>
      <w:r w:rsidR="00BA4D27">
        <w:rPr>
          <w:rFonts w:ascii="Arial" w:hAnsi="Arial" w:cs="Arial"/>
          <w:color w:val="000000" w:themeColor="text1"/>
        </w:rPr>
        <w:t>were</w:t>
      </w:r>
      <w:r w:rsidR="005972C1" w:rsidRPr="002B3D8A">
        <w:rPr>
          <w:rFonts w:ascii="Arial" w:hAnsi="Arial" w:cs="Arial"/>
          <w:color w:val="000000" w:themeColor="text1"/>
        </w:rPr>
        <w:t xml:space="preserve"> tested</w:t>
      </w:r>
      <w:r w:rsidRPr="002B3D8A">
        <w:rPr>
          <w:rFonts w:ascii="Arial" w:hAnsi="Arial" w:cs="Arial"/>
          <w:color w:val="000000" w:themeColor="text1"/>
        </w:rPr>
        <w:t xml:space="preserve"> </w:t>
      </w:r>
      <w:r w:rsidR="00D4255D" w:rsidRPr="002B3D8A">
        <w:rPr>
          <w:rFonts w:ascii="Arial" w:hAnsi="Arial" w:cs="Arial"/>
          <w:color w:val="000000" w:themeColor="text1"/>
        </w:rPr>
        <w:t xml:space="preserve">against </w:t>
      </w:r>
      <w:r w:rsidR="00D4255D" w:rsidRPr="002B3D8A">
        <w:rPr>
          <w:rFonts w:ascii="Arial" w:hAnsi="Arial" w:cs="Arial"/>
          <w:i/>
          <w:color w:val="000000" w:themeColor="text1"/>
        </w:rPr>
        <w:t>Meloidogyne javanica</w:t>
      </w:r>
      <w:r w:rsidRPr="002B3D8A">
        <w:rPr>
          <w:rFonts w:ascii="Arial" w:hAnsi="Arial" w:cs="Arial"/>
          <w:i/>
          <w:color w:val="000000" w:themeColor="text1"/>
        </w:rPr>
        <w:t xml:space="preserve"> and </w:t>
      </w:r>
      <w:r w:rsidRPr="002B3D8A">
        <w:rPr>
          <w:rFonts w:ascii="Arial" w:hAnsi="Arial" w:cs="Arial"/>
          <w:color w:val="000000" w:themeColor="text1"/>
        </w:rPr>
        <w:t xml:space="preserve">compared to metam sodium in an </w:t>
      </w:r>
      <w:r w:rsidRPr="00F63475">
        <w:rPr>
          <w:rFonts w:ascii="Arial" w:hAnsi="Arial" w:cs="Arial"/>
          <w:i/>
          <w:color w:val="000000" w:themeColor="text1"/>
        </w:rPr>
        <w:t>in</w:t>
      </w:r>
      <w:r w:rsidR="00BA4D27" w:rsidRPr="00F63475">
        <w:rPr>
          <w:rFonts w:ascii="Arial" w:hAnsi="Arial" w:cs="Arial"/>
          <w:i/>
          <w:color w:val="000000" w:themeColor="text1"/>
        </w:rPr>
        <w:t xml:space="preserve"> </w:t>
      </w:r>
      <w:r w:rsidRPr="00F63475">
        <w:rPr>
          <w:rFonts w:ascii="Arial" w:hAnsi="Arial" w:cs="Arial"/>
          <w:i/>
          <w:color w:val="000000" w:themeColor="text1"/>
        </w:rPr>
        <w:t>vitro</w:t>
      </w:r>
      <w:r w:rsidRPr="002B3D8A">
        <w:rPr>
          <w:rFonts w:ascii="Arial" w:hAnsi="Arial" w:cs="Arial"/>
          <w:color w:val="000000" w:themeColor="text1"/>
        </w:rPr>
        <w:t xml:space="preserve"> </w:t>
      </w:r>
      <w:r w:rsidR="005972C1" w:rsidRPr="002B3D8A">
        <w:rPr>
          <w:rFonts w:ascii="Arial" w:hAnsi="Arial" w:cs="Arial"/>
          <w:color w:val="000000" w:themeColor="text1"/>
        </w:rPr>
        <w:t>experiment</w:t>
      </w:r>
      <w:r w:rsidRPr="002B3D8A">
        <w:rPr>
          <w:rFonts w:ascii="Arial" w:hAnsi="Arial" w:cs="Arial"/>
          <w:color w:val="000000" w:themeColor="text1"/>
        </w:rPr>
        <w:t xml:space="preserve">. A vessel containing the ITCs was </w:t>
      </w:r>
      <w:r w:rsidR="005972C1" w:rsidRPr="002B3D8A">
        <w:rPr>
          <w:rFonts w:ascii="Arial" w:hAnsi="Arial" w:cs="Arial"/>
          <w:color w:val="000000" w:themeColor="text1"/>
        </w:rPr>
        <w:t>placed</w:t>
      </w:r>
      <w:r w:rsidRPr="002B3D8A">
        <w:rPr>
          <w:rFonts w:ascii="Arial" w:hAnsi="Arial" w:cs="Arial"/>
          <w:color w:val="000000" w:themeColor="text1"/>
        </w:rPr>
        <w:t xml:space="preserve"> at the bottom of </w:t>
      </w:r>
      <w:r w:rsidR="005972C1" w:rsidRPr="002B3D8A">
        <w:rPr>
          <w:rFonts w:ascii="Arial" w:hAnsi="Arial" w:cs="Arial"/>
          <w:color w:val="000000" w:themeColor="text1"/>
        </w:rPr>
        <w:t>desiccator</w:t>
      </w:r>
      <w:r w:rsidRPr="002B3D8A">
        <w:rPr>
          <w:rFonts w:ascii="Arial" w:hAnsi="Arial" w:cs="Arial"/>
          <w:color w:val="000000" w:themeColor="text1"/>
        </w:rPr>
        <w:t xml:space="preserve"> bottles and nematodes placed at the top of the </w:t>
      </w:r>
      <w:r w:rsidR="005972C1" w:rsidRPr="002B3D8A">
        <w:rPr>
          <w:rFonts w:ascii="Arial" w:hAnsi="Arial" w:cs="Arial"/>
          <w:color w:val="000000" w:themeColor="text1"/>
        </w:rPr>
        <w:t>desiccator</w:t>
      </w:r>
      <w:r w:rsidRPr="002B3D8A">
        <w:rPr>
          <w:rFonts w:ascii="Arial" w:hAnsi="Arial" w:cs="Arial"/>
          <w:color w:val="000000" w:themeColor="text1"/>
        </w:rPr>
        <w:t xml:space="preserve"> inside a multi well plate</w:t>
      </w:r>
      <w:r w:rsidRPr="002B3D8A">
        <w:rPr>
          <w:rFonts w:ascii="Arial" w:hAnsi="Arial" w:cs="Arial"/>
          <w:i/>
          <w:color w:val="000000" w:themeColor="text1"/>
        </w:rPr>
        <w:t xml:space="preserve">. </w:t>
      </w:r>
      <w:r w:rsidR="00D4255D" w:rsidRPr="002B3D8A">
        <w:rPr>
          <w:rFonts w:ascii="Arial" w:hAnsi="Arial" w:cs="Arial"/>
          <w:color w:val="000000" w:themeColor="text1"/>
        </w:rPr>
        <w:t>When exposed for three days to allyl, acroloyl and ethyl ITCs, the juveniles became irreversibly immobile at LC</w:t>
      </w:r>
      <w:r w:rsidR="00D4255D" w:rsidRPr="002B3D8A">
        <w:rPr>
          <w:rFonts w:ascii="Arial" w:hAnsi="Arial" w:cs="Arial"/>
          <w:color w:val="000000" w:themeColor="text1"/>
          <w:vertAlign w:val="subscript"/>
        </w:rPr>
        <w:t>50</w:t>
      </w:r>
      <w:r w:rsidR="00D4255D" w:rsidRPr="002B3D8A">
        <w:rPr>
          <w:rFonts w:ascii="Arial" w:hAnsi="Arial" w:cs="Arial"/>
          <w:color w:val="000000" w:themeColor="text1"/>
        </w:rPr>
        <w:t xml:space="preserve"> values of 2.76, 2.53 and 3.05 mg mL</w:t>
      </w:r>
      <w:r w:rsidR="00D4255D" w:rsidRPr="002B3D8A">
        <w:rPr>
          <w:rFonts w:ascii="Arial" w:hAnsi="Arial" w:cs="Arial"/>
          <w:color w:val="000000" w:themeColor="text1"/>
          <w:vertAlign w:val="superscript"/>
        </w:rPr>
        <w:t>-1</w:t>
      </w:r>
      <w:r w:rsidR="00D4255D" w:rsidRPr="002B3D8A">
        <w:rPr>
          <w:rFonts w:ascii="Arial" w:hAnsi="Arial" w:cs="Arial"/>
          <w:color w:val="000000" w:themeColor="text1"/>
        </w:rPr>
        <w:t xml:space="preserve"> , respectively </w:t>
      </w:r>
      <w:r w:rsidR="00D4255D"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{"citationItems":[{"id":"ITEM-1","itemData":{"DOI":"10.1016/j.cropro.2010.09.004","ISSN":"02612194","abstract":"Isothiocyanates (ITCs), a series of new nematicides of the -NCS group, were evaluated for their efficacy against root-knot nematode Meloidogyne javanica. Of the compounds tested, AllylITC, AcITC, EtITC, BzTC, BzITC, 1-PEITC and 2-PEITC showed in vitro irreversible nematicidal activity against second-stage juveniles of M. javanica, following exposure for 72 h at concentrations as low as 5 μg mL-1. When exposed to AllylITC, AcITC and EtITC at lower concentrations, motile juveniles also became irreversibly immobile in 3 days, with a LC50 value at 2.76, 2.53 and 3.05 μg mL-1, respectively. In the pot experiments, 1.0 ml AllylITC and 1.1 ml AcITC per kg of soil controlled M. javanica, similarly to or better than metam sodium at its recommended dose. Similar results were obtained in the field experiments using 1.0 kg AllylITC or 1.0 kg AcITC ha-1. Based on the results of this study, AllylITC and AcITC have potential to be used as new bio-fumigant nematicides. © 2010.","author":[{"dropping-particle":"","family":"Wu","given":"Hua","non-dropping-particle":"","parse-names":false,"suffix":""},{"dropping-particle":"","family":"Wang","given":"Chao Jun","non-dropping-particle":"","parse-names":false,"suffix":""},{"dropping-particle":"","family":"Bian","given":"Xiao Wei","non-dropping-particle":"","parse-names":false,"suffix":""},{"dropping-particle":"","family":"Zeng","given":"Shui Yun","non-dropping-particle":"","parse-names":false,"suffix":""},{"dropping-particle":"","family":"Lin","given":"Kai Chun","non-dropping-particle":"","parse-names":false,"suffix":""},{"dropping-particle":"","family":"Wu","given":"Bo","non-dropping-particle":"","parse-names":false,"suffix":""},{"dropping-particle":"","family":"Zhang","given":"Guo An","non-dropping-particle":"","parse-names":false,"suffix":""},{"dropping-particle":"","family":"Zhang","given":"Xing","non-dropping-particle":"","parse-names":false,"suffix":""}],"container-title":"Crop Protection","id":"ITEM-1","issue":"1","issued":{"date-parts":[["2011","1"]]},"page":"33-37","title":"Nematicidal efficacy of isothiocyanates against root-knot nematode Meloidogyne javanica in cucumber","type":"article-journal","volume":"30"},"uris":["http://www.mendeley.com/documents/?uuid=08a2ad65-6663-3412-8518-718f2aeaaace"]}],"mendeley":{"formattedCitation":"(Wu &lt;i&gt;et al.&lt;/i&gt;, 2011)","plainTextFormattedCitation":"(Wu et al., 2011)","previouslyFormattedCitation":"(Wu &lt;i&gt;et al.&lt;/i&gt;, 2011)"},"properties":{"noteIndex":0},"schema":"https://github.com/citation-style-language/schema/raw/master/csl-citation.json"}</w:instrText>
      </w:r>
      <w:r w:rsidR="00D4255D" w:rsidRPr="002B3D8A">
        <w:rPr>
          <w:rFonts w:ascii="Arial" w:hAnsi="Arial" w:cs="Arial"/>
          <w:color w:val="000000" w:themeColor="text1"/>
        </w:rPr>
        <w:fldChar w:fldCharType="separate"/>
      </w:r>
      <w:r w:rsidR="00A07F2C" w:rsidRPr="00A07F2C">
        <w:rPr>
          <w:rFonts w:ascii="Arial" w:hAnsi="Arial" w:cs="Arial"/>
          <w:noProof/>
          <w:color w:val="000000" w:themeColor="text1"/>
        </w:rPr>
        <w:t xml:space="preserve">(Wu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2011)</w:t>
      </w:r>
      <w:r w:rsidR="00D4255D" w:rsidRPr="002B3D8A">
        <w:rPr>
          <w:rFonts w:ascii="Arial" w:hAnsi="Arial" w:cs="Arial"/>
          <w:color w:val="000000" w:themeColor="text1"/>
        </w:rPr>
        <w:fldChar w:fldCharType="end"/>
      </w:r>
      <w:r w:rsidR="00D4255D" w:rsidRPr="002B3D8A">
        <w:rPr>
          <w:rFonts w:ascii="Arial" w:hAnsi="Arial" w:cs="Arial"/>
          <w:color w:val="000000" w:themeColor="text1"/>
        </w:rPr>
        <w:t>.</w:t>
      </w:r>
    </w:p>
    <w:p w14:paraId="1E5BCF47" w14:textId="7101D1A4" w:rsidR="001049BE" w:rsidRDefault="00D4255D" w:rsidP="00616CDC">
      <w:pPr>
        <w:pStyle w:val="paragraph"/>
        <w:spacing w:before="0" w:beforeAutospacing="0" w:after="0" w:afterAutospacing="0" w:line="360" w:lineRule="auto"/>
        <w:ind w:left="-284" w:right="-330"/>
        <w:jc w:val="both"/>
        <w:textAlignment w:val="baseline"/>
        <w:rPr>
          <w:rFonts w:ascii="Arial" w:hAnsi="Arial" w:cs="Arial"/>
          <w:color w:val="000000" w:themeColor="text1"/>
        </w:rPr>
      </w:pPr>
      <w:r w:rsidRPr="002B3D8A">
        <w:rPr>
          <w:rFonts w:ascii="Arial" w:hAnsi="Arial" w:cs="Arial"/>
          <w:color w:val="000000" w:themeColor="text1"/>
        </w:rPr>
        <w:t xml:space="preserve">In an experiment investigating the effect of volatile organic compounds on </w:t>
      </w:r>
      <w:r w:rsidRPr="002B3D8A">
        <w:rPr>
          <w:rFonts w:ascii="Arial" w:hAnsi="Arial" w:cs="Arial"/>
          <w:i/>
          <w:color w:val="000000" w:themeColor="text1"/>
        </w:rPr>
        <w:t>Meloidogyne incognita</w:t>
      </w:r>
      <w:r w:rsidRPr="002B3D8A">
        <w:rPr>
          <w:rFonts w:ascii="Arial" w:hAnsi="Arial" w:cs="Arial"/>
          <w:color w:val="000000" w:themeColor="text1"/>
        </w:rPr>
        <w:t>, the macerate</w:t>
      </w:r>
      <w:r w:rsidR="00BA4D27">
        <w:rPr>
          <w:rFonts w:ascii="Arial" w:hAnsi="Arial" w:cs="Arial"/>
          <w:color w:val="000000" w:themeColor="text1"/>
        </w:rPr>
        <w:t>d tissue</w:t>
      </w:r>
      <w:r w:rsidRPr="002B3D8A">
        <w:rPr>
          <w:rFonts w:ascii="Arial" w:hAnsi="Arial" w:cs="Arial"/>
          <w:color w:val="000000" w:themeColor="text1"/>
        </w:rPr>
        <w:t xml:space="preserve"> of broccoli shoot</w:t>
      </w:r>
      <w:r w:rsidR="00BA4D27">
        <w:rPr>
          <w:rFonts w:ascii="Arial" w:hAnsi="Arial" w:cs="Arial"/>
          <w:color w:val="000000" w:themeColor="text1"/>
        </w:rPr>
        <w:t>s</w:t>
      </w:r>
      <w:r w:rsidRPr="002B3D8A">
        <w:rPr>
          <w:rFonts w:ascii="Arial" w:hAnsi="Arial" w:cs="Arial"/>
          <w:color w:val="000000" w:themeColor="text1"/>
        </w:rPr>
        <w:t xml:space="preserve"> (</w:t>
      </w:r>
      <w:r w:rsidRPr="002B3D8A">
        <w:rPr>
          <w:rFonts w:ascii="Arial" w:hAnsi="Arial" w:cs="Arial"/>
          <w:i/>
          <w:color w:val="000000" w:themeColor="text1"/>
        </w:rPr>
        <w:t>Brassica oleracea</w:t>
      </w:r>
      <w:r w:rsidRPr="002B3D8A">
        <w:rPr>
          <w:rFonts w:ascii="Arial" w:hAnsi="Arial" w:cs="Arial"/>
          <w:color w:val="000000" w:themeColor="text1"/>
        </w:rPr>
        <w:t xml:space="preserve"> var. Itálica) and sunflower seeds (</w:t>
      </w:r>
      <w:r w:rsidRPr="002B3D8A">
        <w:rPr>
          <w:rFonts w:ascii="Arial" w:hAnsi="Arial" w:cs="Arial"/>
          <w:i/>
          <w:color w:val="000000" w:themeColor="text1"/>
        </w:rPr>
        <w:t xml:space="preserve">Helianthus annus) </w:t>
      </w:r>
      <w:r w:rsidRPr="002B3D8A">
        <w:rPr>
          <w:rFonts w:ascii="Arial" w:hAnsi="Arial" w:cs="Arial"/>
          <w:color w:val="000000" w:themeColor="text1"/>
        </w:rPr>
        <w:t>were examined</w:t>
      </w:r>
      <w:r w:rsidRPr="002B3D8A">
        <w:rPr>
          <w:rFonts w:ascii="Arial" w:hAnsi="Arial" w:cs="Arial"/>
          <w:i/>
          <w:color w:val="000000" w:themeColor="text1"/>
        </w:rPr>
        <w:t>.</w:t>
      </w:r>
      <w:r w:rsidRPr="002B3D8A">
        <w:rPr>
          <w:rFonts w:ascii="Arial" w:hAnsi="Arial" w:cs="Arial"/>
          <w:color w:val="000000" w:themeColor="text1"/>
        </w:rPr>
        <w:t xml:space="preserve"> Volatile organic compounds (VOC) were shown to reduce the infectivity, mobility, and reproduction of </w:t>
      </w:r>
      <w:r w:rsidRPr="002B3D8A">
        <w:rPr>
          <w:rFonts w:ascii="Arial" w:hAnsi="Arial" w:cs="Arial"/>
          <w:i/>
          <w:color w:val="000000" w:themeColor="text1"/>
        </w:rPr>
        <w:t>Meloidogyne incognita</w:t>
      </w:r>
      <w:r w:rsidRPr="002B3D8A">
        <w:rPr>
          <w:rFonts w:ascii="Arial" w:hAnsi="Arial" w:cs="Arial"/>
          <w:color w:val="000000" w:themeColor="text1"/>
        </w:rPr>
        <w:t xml:space="preserve"> juveniles. The mobility, infectivity and reproduction of juveniles was also reduced when they were placed in water exposed to broccoli</w:t>
      </w:r>
      <w:r w:rsidR="005972C1" w:rsidRPr="002B3D8A">
        <w:rPr>
          <w:rFonts w:ascii="Arial" w:hAnsi="Arial" w:cs="Arial"/>
          <w:color w:val="000000" w:themeColor="text1"/>
        </w:rPr>
        <w:t xml:space="preserve">. This is because </w:t>
      </w:r>
      <w:r w:rsidRPr="002B3D8A">
        <w:rPr>
          <w:rFonts w:ascii="Arial" w:hAnsi="Arial" w:cs="Arial"/>
          <w:color w:val="000000" w:themeColor="text1"/>
        </w:rPr>
        <w:t xml:space="preserve">sulphurated VOC were found in the water exposed to the broccoli macerates and </w:t>
      </w:r>
      <w:r w:rsidR="005972C1" w:rsidRPr="002B3D8A">
        <w:rPr>
          <w:rFonts w:ascii="Arial" w:hAnsi="Arial" w:cs="Arial"/>
          <w:color w:val="000000" w:themeColor="text1"/>
        </w:rPr>
        <w:t xml:space="preserve">were </w:t>
      </w:r>
      <w:r w:rsidRPr="002B3D8A">
        <w:rPr>
          <w:rFonts w:ascii="Arial" w:hAnsi="Arial" w:cs="Arial"/>
          <w:color w:val="000000" w:themeColor="text1"/>
        </w:rPr>
        <w:t xml:space="preserve">attributed to the nematotoxic effects to the juveniles. The study also showed that sunflower produces toxic volatile organic compounds that have potential use in biofumigation against </w:t>
      </w:r>
      <w:r w:rsidRPr="002B3D8A">
        <w:rPr>
          <w:rFonts w:ascii="Arial" w:hAnsi="Arial" w:cs="Arial"/>
          <w:i/>
          <w:color w:val="000000" w:themeColor="text1"/>
        </w:rPr>
        <w:t>Meloidogyne incognita.</w:t>
      </w:r>
      <w:r w:rsidRPr="002B3D8A">
        <w:rPr>
          <w:rFonts w:ascii="Arial" w:hAnsi="Arial" w:cs="Arial"/>
          <w:color w:val="000000" w:themeColor="text1"/>
        </w:rPr>
        <w:t xml:space="preserve"> </w:t>
      </w:r>
      <w:r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{"citationItems":[{"id":"ITEM-1","itemData":{"DOI":"10.1094/PDIS-01-18-0143-RE","abstract":"Volatile organic compounds (VOC) produced by green residues for the management of plant-parasitic nematodes are poorly studied for oilseed plants and some Brassica spp. To investigate the activity of VOC in vitro and as biofumigants, dry and aqueous macerates of broccoli (Brassica oleracea var. italica) shoots and sunflower (Helianthus annuus) seed were used against the root-knot nematode Meloidogyne incognita. VOC produced by sunflower seed caused higher mortality of M. incog-nita second-stage juveniles (J 2) than VOC produced by broccoli shoots but both plant species were equally effective in decreasing the infectivity and reproduction of this nematode. The number of galls and eggs produced by the nematode in tomato roots was reduced by 89 and 95%, respectively , on average, at the highest concentrations of broccoli and sunflower seed macerates tested as biofumigants. When nematodes were placed in water exposed to broccoli VOC, J 2 immobility increased and the number of galls and eggs produced by the nematode in tomato roots decreased 80 and 96%, respectively. Water exposed to sunflower seed VOC had no effect on the viability of the nematode. Gas chromatography was used to identify five and six chemical groups in broccoli and in sunflower seed macerates, respectively, but only alcohols, sulfurated VOC, and terpenes were detected in the water exposed to these plant macerates. Sulfurated VOC from the water exposed to broccoli macerates were found to be involved in its activity against M. incognita. The purified VOC dimethyl disulfide (DMDS) and 3-pentanol were tested directly against J 2 and showed a lethal concentration of 176 and 918 mg/ml (ppm), respectively, whereas dimethyl sulfide had no effect against M. incognita. Furthermore, DMDS and 3-pentanol retained in water killed J 2 and reduced gall formation and the number of eggs of M. incognita on tomato roots. Both these plant species produced toxic VOC to M. in-cognita, whereas only VOC retained in water exposed to broccoli had activity against M. incognita.","author":[{"dropping-particle":"","family":"Carlos","given":"Julio","non-dropping-particle":"","parse-names":false,"suffix":""},{"dropping-particle":"","family":"Silva","given":"P","non-dropping-particle":"","parse-names":false,"suffix":""},{"dropping-particle":"","family":"Campos","given":"Vicente P","non-dropping-particle":"","parse-names":false,"suffix":""},{"dropping-particle":"","family":"Barros","given":"Aline F","non-dropping-particle":"","parse-names":false,"suffix":""},{"dropping-particle":"","family":"Terra","given":"Willian C","non-dropping-particle":"","parse-names":false,"suffix":""},{"dropping-particle":"","family":"Lopez","given":"Liliana E","non-dropping-particle":"","parse-names":false,"suffix":""},{"dropping-particle":"","family":"Souza","given":"Jorge T","non-dropping-particle":"De","parse-names":false,"suffix":""}],"container-title":"Plant Disease","id":"ITEM-1","issue":"11","issued":{"date-parts":[["2018"]]},"page":"2171-2179","title":"Plant Volatiles Reduce the Viability of the Root-Knot Nematode Meloidogyne incognita Either Directly or When Retained in Water","type":"article-journal","volume":"102"},"uris":["http://www.mendeley.com/documents/?uuid=5955c09e-7ade-3e4a-b0bc-5f4dbefb5924"]}],"mendeley":{"formattedCitation":"(Carlos &lt;i&gt;et al.&lt;/i&gt;, 2018)","plainTextFormattedCitation":"(Carlos et al., 2018)","previouslyFormattedCitation":"(Carlos &lt;i&gt;et al.&lt;/i&gt;, 2018)"},"properties":{"noteIndex":0},"schema":"https://github.com/citation-style-language/schema/raw/master/csl-citation.json"}</w:instrText>
      </w:r>
      <w:r w:rsidRPr="002B3D8A">
        <w:rPr>
          <w:rFonts w:ascii="Arial" w:hAnsi="Arial" w:cs="Arial"/>
          <w:color w:val="000000" w:themeColor="text1"/>
        </w:rPr>
        <w:fldChar w:fldCharType="separate"/>
      </w:r>
      <w:r w:rsidR="00A07F2C" w:rsidRPr="00A07F2C">
        <w:rPr>
          <w:rFonts w:ascii="Arial" w:hAnsi="Arial" w:cs="Arial"/>
          <w:noProof/>
          <w:color w:val="000000" w:themeColor="text1"/>
        </w:rPr>
        <w:t xml:space="preserve">(Carlos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2018)</w:t>
      </w:r>
      <w:r w:rsidRPr="002B3D8A">
        <w:rPr>
          <w:rFonts w:ascii="Arial" w:hAnsi="Arial" w:cs="Arial"/>
          <w:color w:val="000000" w:themeColor="text1"/>
        </w:rPr>
        <w:fldChar w:fldCharType="end"/>
      </w:r>
      <w:r w:rsidRPr="002B3D8A">
        <w:rPr>
          <w:rFonts w:ascii="Arial" w:hAnsi="Arial" w:cs="Arial"/>
          <w:color w:val="000000" w:themeColor="text1"/>
        </w:rPr>
        <w:t xml:space="preserve">. Volatile compounds obtained from seeds of </w:t>
      </w:r>
      <w:r w:rsidRPr="002B3D8A">
        <w:rPr>
          <w:rFonts w:ascii="Arial" w:hAnsi="Arial" w:cs="Arial"/>
          <w:i/>
          <w:color w:val="000000" w:themeColor="text1"/>
        </w:rPr>
        <w:t>Brassica juncea</w:t>
      </w:r>
      <w:r w:rsidRPr="002B3D8A">
        <w:rPr>
          <w:rFonts w:ascii="Arial" w:hAnsi="Arial" w:cs="Arial"/>
          <w:color w:val="000000" w:themeColor="text1"/>
        </w:rPr>
        <w:t xml:space="preserve">, </w:t>
      </w:r>
      <w:r w:rsidRPr="002B3D8A">
        <w:rPr>
          <w:rFonts w:ascii="Arial" w:hAnsi="Arial" w:cs="Arial"/>
          <w:i/>
          <w:color w:val="000000" w:themeColor="text1"/>
        </w:rPr>
        <w:t>Brassica napus</w:t>
      </w:r>
      <w:r w:rsidRPr="002B3D8A">
        <w:rPr>
          <w:rFonts w:ascii="Arial" w:hAnsi="Arial" w:cs="Arial"/>
          <w:color w:val="000000" w:themeColor="text1"/>
        </w:rPr>
        <w:t xml:space="preserve"> and </w:t>
      </w:r>
      <w:r w:rsidRPr="002B3D8A">
        <w:rPr>
          <w:rFonts w:ascii="Arial" w:hAnsi="Arial" w:cs="Arial"/>
          <w:i/>
          <w:color w:val="000000" w:themeColor="text1"/>
        </w:rPr>
        <w:t xml:space="preserve">Sinapis alba </w:t>
      </w:r>
      <w:r w:rsidRPr="002B3D8A">
        <w:rPr>
          <w:rFonts w:ascii="Arial" w:hAnsi="Arial" w:cs="Arial"/>
          <w:color w:val="000000" w:themeColor="text1"/>
        </w:rPr>
        <w:t>similarly</w:t>
      </w:r>
      <w:r w:rsidRPr="002B3D8A">
        <w:rPr>
          <w:rFonts w:ascii="Arial" w:hAnsi="Arial" w:cs="Arial"/>
          <w:i/>
          <w:color w:val="000000" w:themeColor="text1"/>
        </w:rPr>
        <w:t xml:space="preserve"> </w:t>
      </w:r>
      <w:r w:rsidRPr="002B3D8A">
        <w:rPr>
          <w:rFonts w:ascii="Arial" w:hAnsi="Arial" w:cs="Arial"/>
          <w:color w:val="000000" w:themeColor="text1"/>
        </w:rPr>
        <w:t xml:space="preserve">indicated that they had a nematicidal activity when exposed to </w:t>
      </w:r>
      <w:r w:rsidRPr="002B3D8A">
        <w:rPr>
          <w:rFonts w:ascii="Arial" w:hAnsi="Arial" w:cs="Arial"/>
          <w:i/>
          <w:color w:val="000000" w:themeColor="text1"/>
        </w:rPr>
        <w:t>Paratylenchus</w:t>
      </w:r>
      <w:r w:rsidRPr="002B3D8A">
        <w:rPr>
          <w:rFonts w:ascii="Arial" w:hAnsi="Arial" w:cs="Arial"/>
          <w:color w:val="000000" w:themeColor="text1"/>
        </w:rPr>
        <w:t xml:space="preserve"> spp and populations of </w:t>
      </w:r>
      <w:r w:rsidRPr="002B3D8A">
        <w:rPr>
          <w:rFonts w:ascii="Arial" w:hAnsi="Arial" w:cs="Arial"/>
          <w:i/>
          <w:color w:val="000000" w:themeColor="text1"/>
        </w:rPr>
        <w:t>Aphelenchoides compositola</w:t>
      </w:r>
      <w:r w:rsidRPr="002B3D8A">
        <w:rPr>
          <w:rFonts w:ascii="Arial" w:hAnsi="Arial" w:cs="Arial"/>
          <w:color w:val="000000" w:themeColor="text1"/>
        </w:rPr>
        <w:t xml:space="preserve"> parasitizing white button mushroom</w:t>
      </w:r>
      <w:r w:rsidR="00CB311A">
        <w:rPr>
          <w:rFonts w:ascii="Arial" w:hAnsi="Arial" w:cs="Arial"/>
          <w:color w:val="000000" w:themeColor="text1"/>
        </w:rPr>
        <w:t xml:space="preserve"> </w:t>
      </w:r>
      <w:r w:rsidR="00CB311A">
        <w:rPr>
          <w:rFonts w:ascii="Arial" w:hAnsi="Arial" w:cs="Arial"/>
          <w:color w:val="000000" w:themeColor="text1"/>
        </w:rPr>
        <w:fldChar w:fldCharType="begin" w:fldLock="1"/>
      </w:r>
      <w:r w:rsidR="00E13293">
        <w:rPr>
          <w:rFonts w:ascii="Arial" w:hAnsi="Arial" w:cs="Arial"/>
          <w:color w:val="000000" w:themeColor="text1"/>
        </w:rPr>
        <w:instrText>ADDIN CSL_CITATION {"citationItems":[{"id":"ITEM-1","itemData":{"ISSN":"1506-9427","author":[{"dropping-particle":"","family":"Kowalska","given":"B","non-dropping-particle":"","parse-names":false,"suffix":""},{"dropping-particle":"","family":"Smolinska","given":"U","non-dropping-particle":"","parse-names":false,"suffix":""}],"container-title":"Vegetable Crops Research Bulletin","id":"ITEM-1","issued":{"date-parts":[["2001"]]},"publisher":"-","title":"Effect of Brassicaceae plants on the nematodes Paratylenchus spp. and soil microorganisms","type":"article-journal","volume":"55"},"uris":["http://www.mendeley.com/documents/?uuid=7640ae57-ce65-4097-8bd7-cdc47228fcfb"]}],"mendeley":{"formattedCitation":"(Kowalska and Smolinska, 2001)","plainTextFormattedCitation":"(Kowalska and Smolinska, 2001)","previouslyFormattedCitation":"(Kowalska and Smolinska, 2001)"},"properties":{"noteIndex":0},"schema":"https://github.com/citation-style-language/schema/raw/master/csl-citation.json"}</w:instrText>
      </w:r>
      <w:r w:rsidR="00CB311A">
        <w:rPr>
          <w:rFonts w:ascii="Arial" w:hAnsi="Arial" w:cs="Arial"/>
          <w:color w:val="000000" w:themeColor="text1"/>
        </w:rPr>
        <w:fldChar w:fldCharType="separate"/>
      </w:r>
      <w:r w:rsidR="00E13293" w:rsidRPr="00E13293">
        <w:rPr>
          <w:rFonts w:ascii="Arial" w:hAnsi="Arial" w:cs="Arial"/>
          <w:noProof/>
          <w:color w:val="000000" w:themeColor="text1"/>
        </w:rPr>
        <w:t>(Kowalska and Smolinska, 2001)</w:t>
      </w:r>
      <w:r w:rsidR="00CB311A">
        <w:rPr>
          <w:rFonts w:ascii="Arial" w:hAnsi="Arial" w:cs="Arial"/>
          <w:color w:val="000000" w:themeColor="text1"/>
        </w:rPr>
        <w:fldChar w:fldCharType="end"/>
      </w:r>
      <w:r w:rsidRPr="002B3D8A">
        <w:rPr>
          <w:rFonts w:ascii="Arial" w:hAnsi="Arial" w:cs="Arial"/>
          <w:color w:val="000000" w:themeColor="text1"/>
        </w:rPr>
        <w:t xml:space="preserve">. </w:t>
      </w:r>
    </w:p>
    <w:p w14:paraId="7052FC8E" w14:textId="42BF46E9" w:rsidR="00581F8C" w:rsidRPr="00616CDC" w:rsidRDefault="6AC1B2C3" w:rsidP="00616CDC">
      <w:pPr>
        <w:pStyle w:val="Heading5"/>
        <w:spacing w:line="360" w:lineRule="auto"/>
        <w:rPr>
          <w:rFonts w:ascii="Arial" w:hAnsi="Arial" w:cs="Arial"/>
          <w:b/>
          <w:bCs/>
          <w:color w:val="000000" w:themeColor="text1"/>
        </w:rPr>
      </w:pPr>
      <w:r w:rsidRPr="0083419B">
        <w:rPr>
          <w:rFonts w:ascii="Arial" w:hAnsi="Arial" w:cs="Arial"/>
          <w:b/>
          <w:bCs/>
          <w:color w:val="000000" w:themeColor="text1"/>
          <w:sz w:val="24"/>
          <w:szCs w:val="24"/>
        </w:rPr>
        <w:t xml:space="preserve">II. </w:t>
      </w:r>
      <w:r w:rsidRPr="0083419B">
        <w:rPr>
          <w:rFonts w:ascii="Arial" w:hAnsi="Arial" w:cs="Arial"/>
          <w:b/>
          <w:bCs/>
          <w:iCs/>
          <w:color w:val="000000" w:themeColor="text1"/>
          <w:sz w:val="24"/>
          <w:szCs w:val="24"/>
        </w:rPr>
        <w:t>I</w:t>
      </w:r>
      <w:r w:rsidRPr="0083419B">
        <w:rPr>
          <w:rFonts w:ascii="Arial" w:hAnsi="Arial" w:cs="Arial"/>
          <w:b/>
          <w:bCs/>
          <w:iCs/>
          <w:caps w:val="0"/>
          <w:color w:val="000000" w:themeColor="text1"/>
          <w:sz w:val="24"/>
          <w:szCs w:val="24"/>
        </w:rPr>
        <w:t>nvitro</w:t>
      </w:r>
      <w:r w:rsidRPr="0083419B">
        <w:rPr>
          <w:rFonts w:ascii="Arial" w:hAnsi="Arial" w:cs="Arial"/>
          <w:b/>
          <w:bCs/>
          <w:caps w:val="0"/>
          <w:color w:val="000000" w:themeColor="text1"/>
          <w:sz w:val="24"/>
          <w:szCs w:val="24"/>
        </w:rPr>
        <w:t xml:space="preserve"> studies</w:t>
      </w:r>
      <w:r w:rsidRPr="00616CDC">
        <w:rPr>
          <w:rFonts w:ascii="Arial" w:hAnsi="Arial" w:cs="Arial"/>
          <w:b/>
          <w:bCs/>
          <w:caps w:val="0"/>
          <w:color w:val="000000" w:themeColor="text1"/>
          <w:sz w:val="24"/>
          <w:szCs w:val="24"/>
        </w:rPr>
        <w:t xml:space="preserve"> on nematicidal activity of non-brassica crops</w:t>
      </w:r>
    </w:p>
    <w:p w14:paraId="3E66F9A0" w14:textId="4A9D0ED1" w:rsidR="00C77DED" w:rsidRPr="002B3D8A" w:rsidRDefault="00C77DED" w:rsidP="00616CDC">
      <w:pPr>
        <w:pStyle w:val="paragraph"/>
        <w:spacing w:before="0" w:beforeAutospacing="0" w:after="0" w:afterAutospacing="0" w:line="360" w:lineRule="auto"/>
        <w:ind w:left="-284" w:right="-330"/>
        <w:jc w:val="both"/>
        <w:textAlignment w:val="baseline"/>
        <w:rPr>
          <w:rFonts w:ascii="Arial" w:hAnsi="Arial" w:cs="Arial"/>
          <w:color w:val="000000" w:themeColor="text1"/>
        </w:rPr>
      </w:pPr>
      <w:r w:rsidRPr="00F63475">
        <w:rPr>
          <w:rFonts w:ascii="Arial" w:hAnsi="Arial" w:cs="Arial"/>
          <w:i/>
          <w:color w:val="000000" w:themeColor="text1"/>
        </w:rPr>
        <w:t>In</w:t>
      </w:r>
      <w:r w:rsidR="00A2395C" w:rsidRPr="00F63475">
        <w:rPr>
          <w:rFonts w:ascii="Arial" w:hAnsi="Arial" w:cs="Arial"/>
          <w:i/>
          <w:color w:val="000000" w:themeColor="text1"/>
        </w:rPr>
        <w:t xml:space="preserve"> </w:t>
      </w:r>
      <w:r w:rsidRPr="00F63475">
        <w:rPr>
          <w:rFonts w:ascii="Arial" w:hAnsi="Arial" w:cs="Arial"/>
          <w:i/>
          <w:color w:val="000000" w:themeColor="text1"/>
        </w:rPr>
        <w:t>vitro</w:t>
      </w:r>
      <w:r w:rsidRPr="002B3D8A">
        <w:rPr>
          <w:rFonts w:ascii="Arial" w:hAnsi="Arial" w:cs="Arial"/>
          <w:color w:val="000000" w:themeColor="text1"/>
        </w:rPr>
        <w:t xml:space="preserve"> studies with compounds derived from non-brassica crops have also registered varied nematicidal activities. Tannins are secondary metabolites</w:t>
      </w:r>
      <w:r w:rsidR="00A2395C">
        <w:rPr>
          <w:rFonts w:ascii="Arial" w:hAnsi="Arial" w:cs="Arial"/>
          <w:color w:val="000000" w:themeColor="text1"/>
        </w:rPr>
        <w:t xml:space="preserve"> and classified as</w:t>
      </w:r>
      <w:r w:rsidRPr="002B3D8A">
        <w:rPr>
          <w:rFonts w:ascii="Arial" w:hAnsi="Arial" w:cs="Arial"/>
          <w:color w:val="000000" w:themeColor="text1"/>
        </w:rPr>
        <w:t xml:space="preserve"> plant polyphenols with a high affinity to proteins and polysaccharides. Their physical and chemical profile is variable depending on the season of production, organ of the plant and the plant species </w:t>
      </w:r>
      <w:r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{"citationItems":[{"id":"ITEM-1","itemData":{"DOI":"10.2478/s11687-010-0008-9","ISSN":"04406605","abstract":"Summary: Among the natural products extracted from plants, tannins have been reported to possess antihelmintic properties especially for gastrointestinal nematodes in ruminants. Also, they are toxic to a wide range of fungi, bacteria and yeasts. Therefore, an in vitro and a glasshouse pot experiments were undertaken to evaluate the effect of chestnut tannins on the control of the root-knot nematode Meloidogyne javanica. In the in vitro experiment, different tannin concentrations in a geometric scale (from 0.32 to 20.48 g/l), were tested for their effect on hatching of the nematode, whereas in the pot experiment, 100, 250 and 450 g/m2 of tannins in aqueous solutions, were used in pots at transplant or at transplant and two weeks later for their effect on nematode control. In both experiments treatments were compared to untreated and fenamiphos-treated controls. In vitro a nematostatic effect of tannins was observed, whereas in the pot experiment a significant reduction of eggs and juveniles/g root, total population density and reproduction rates of the nematode were recorded. The anatomical changes induced by M. javanica in tomato roots treated with tannins did not differ from those produced by this and other Meloidogyne species on various hosts reported earlier. © 2010 Parasitological Institute of SAS.","author":[{"dropping-particle":"","family":"Maistrello","given":"L.","non-dropping-particle":"","parse-names":false,"suffix":""},{"dropping-particle":"","family":"Vaccari","given":"G.","non-dropping-particle":"","parse-names":false,"suffix":""},{"dropping-particle":"","family":"Sasanelli","given":"N.","non-dropping-particle":"","parse-names":false,"suffix":""}],"container-title":"Helminthologia","id":"ITEM-1","issue":"1","issued":{"date-parts":[["2010","2","1"]]},"page":"48-57","publisher":"Sciendo","title":"Effect of chestnut tannins on the root-knot nematode Meloidogyne javanica","type":"article-journal","volume":"47"},"uris":["http://www.mendeley.com/documents/?uuid=72d8eaf9-f3c8-3967-b5c2-9b6458608beb"]}],"mendeley":{"formattedCitation":"(Maistrello, Vaccari and Sasanelli, 2010)","plainTextFormattedCitation":"(Maistrello, Vaccari and Sasanelli, 2010)","previouslyFormattedCitation":"(Maistrello, Vaccari and Sasanelli, 2010)"},"properties":{"noteIndex":0},"schema":"https://github.com/citation-style-language/schema/raw/master/csl-citation.json"}</w:instrText>
      </w:r>
      <w:r w:rsidRPr="002B3D8A">
        <w:rPr>
          <w:rFonts w:ascii="Arial" w:hAnsi="Arial" w:cs="Arial"/>
          <w:color w:val="000000" w:themeColor="text1"/>
        </w:rPr>
        <w:fldChar w:fldCharType="separate"/>
      </w:r>
      <w:r w:rsidR="00A07F2C" w:rsidRPr="00A07F2C">
        <w:rPr>
          <w:rFonts w:ascii="Arial" w:hAnsi="Arial" w:cs="Arial"/>
          <w:noProof/>
          <w:color w:val="000000" w:themeColor="text1"/>
        </w:rPr>
        <w:t>(Maistrello, Vaccari and Sasanelli, 2010)</w:t>
      </w:r>
      <w:r w:rsidRPr="002B3D8A">
        <w:rPr>
          <w:rFonts w:ascii="Arial" w:hAnsi="Arial" w:cs="Arial"/>
          <w:color w:val="000000" w:themeColor="text1"/>
        </w:rPr>
        <w:fldChar w:fldCharType="end"/>
      </w:r>
      <w:r w:rsidRPr="002B3D8A">
        <w:rPr>
          <w:rFonts w:ascii="Arial" w:hAnsi="Arial" w:cs="Arial"/>
          <w:color w:val="000000" w:themeColor="text1"/>
        </w:rPr>
        <w:t xml:space="preserve">. Tannins are known to act as defence compounds, protecting the plant from herbivory </w:t>
      </w:r>
      <w:r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{"citationItems":[{"id":"ITEM-1","itemData":{"DOI":"10.2478/s11687-010-0008-9","ISSN":"04406605","abstract":"Summary: Among the natural products extracted from plants, tannins have been reported to possess antihelmintic properties especially for gastrointestinal nematodes in ruminants. Also, they are toxic to a wide range of fungi, bacteria and yeasts. Therefore, an in vitro and a glasshouse pot experiments were undertaken to evaluate the effect of chestnut tannins on the control of the root-knot nematode Meloidogyne javanica. In the in vitro experiment, different tannin concentrations in a geometric scale (from 0.32 to 20.48 g/l), were tested for their effect on hatching of the nematode, whereas in the pot experiment, 100, 250 and 450 g/m2 of tannins in aqueous solutions, were used in pots at transplant or at transplant and two weeks later for their effect on nematode control. In both experiments treatments were compared to untreated and fenamiphos-treated controls. In vitro a nematostatic effect of tannins was observed, whereas in the pot experiment a significant reduction of eggs and juveniles/g root, total population density and reproduction rates of the nematode were recorded. The anatomical changes induced by M. javanica in tomato roots treated with tannins did not differ from those produced by this and other Meloidogyne species on various hosts reported earlier. © 2010 Parasitological Institute of SAS.","author":[{"dropping-particle":"","family":"Maistrello","given":"L.","non-dropping-particle":"","parse-names":false,"suffix":""},{"dropping-particle":"","family":"Vaccari","given":"G.","non-dropping-particle":"","parse-names":false,"suffix":""},{"dropping-particle":"","family":"Sasanelli","given":"N.","non-dropping-particle":"","parse-names":false,"suffix":""}],"container-title":"Helminthologia","id":"ITEM-1","issue":"1","issued":{"date-parts":[["2010","2","1"]]},"page":"48-57","publisher":"Sciendo","title":"Effect of chestnut tannins on the root-knot nematode Meloidogyne javanica","type":"article-journal","volume":"47"},"uris":["http://www.mendeley.com/documents/?uuid=72d8eaf9-f3c8-3967-b5c2-9b6458608beb"]},{"id":"ITEM-2","itemData":{"ISBN":"9781629487656","abstract":"Plant parasitic nematodes can cause serious damages to numerouseconomically important agricultural crops worldwide. Control of thesepests is based on pesticides and on the use of resistant cultivars. Althoughchemicals are effective in the plant parasitic nematode control, the recentEuropean legislation has deeply revised and restricted their use oagricultural crops focusing the attention on environmental safety andhuman and animal health. Moreover, resistant cultivars are available onlyfor a limited number of crops and plant parasitic nematode species.During the last decade research on low environmental impact alternativesto nematicides has received a strong impulse and a wide range of optionsincluding agronomic strategies, physical methods, bio-pesticides, andbiocidal plants haveas been considered. Focusing on plants derived natural plant products known as botanic pesticides can represent useful tools to minimize soil nematode population density under the tolerance limits of the different crops to specific phytoparasitic nematodes. These botanic pesticides are generally non-persistent in field conditions as they are readily transformed by light, oxygen and microorganisms into non- toxic products without residues in the environment. Many botanic pesticides derived from wild and cultivated plants have been shown to possess nematicidal properties against several plant-parasitic nematodes. The aim of this review is to report the effects of botanic pesticides derived from various wild, cultivated and medicinal plants, including essential oils, root and tissues extracts, on plant parasitic nematodes in the view of sustainable agriculture.","author":[{"dropping-particle":"","family":"Renco","given":"Marek","non-dropping-particle":"","parse-names":false,"suffix":""},{"dropping-particle":"","family":"Sasanelli","given":"Nicola","non-dropping-particle":"","parse-names":false,"suffix":""},{"dropping-particle":"","family":"Maistrello","given":"Lara","non-dropping-particle":"","parse-names":false,"suffix":""}],"chapter-number":"5","container-title":"Nematodes: Comparative Genomics, Disease Management and Ecological Importance","edition":"ISBN: 978-","editor":[{"dropping-particle":"","family":"Lee M. Davis","given":"","non-dropping-particle":"","parse-names":false,"suffix":""}],"id":"ITEM-2","issue":"June","issued":{"date-parts":[["2014"]]},"page":"115-142","publisher":"Nova Science Publishers, Inc.","title":"Plants as natural sources of nematicides","type":"chapter"},"uris":["http://www.mendeley.com/documents/?uuid=6cd2284c-e6e4-4758-b56b-5cf157a8aa1f"]}],"mendeley":{"formattedCitation":"(Maistrello, Vaccari and Sasanelli, 2010; Renco, Sasanelli and Maistrello, 2014)","plainTextFormattedCitation":"(Maistrello, Vaccari and Sasanelli, 2010; Renco, Sasanelli and Maistrello, 2014)","previouslyFormattedCitation":"(Maistrello, Vaccari and Sasanelli, 2010; Renco, Sasanelli and Maistrello, 2014)"},"properties":{"noteIndex":0},"schema":"https://github.com/citation-style-language/schema/raw/master/csl-citation.json"}</w:instrText>
      </w:r>
      <w:r w:rsidRPr="002B3D8A">
        <w:rPr>
          <w:rFonts w:ascii="Arial" w:hAnsi="Arial" w:cs="Arial"/>
          <w:color w:val="000000" w:themeColor="text1"/>
        </w:rPr>
        <w:fldChar w:fldCharType="separate"/>
      </w:r>
      <w:r w:rsidR="00A07F2C" w:rsidRPr="00A07F2C">
        <w:rPr>
          <w:rFonts w:ascii="Arial" w:hAnsi="Arial" w:cs="Arial"/>
          <w:noProof/>
          <w:color w:val="000000" w:themeColor="text1"/>
        </w:rPr>
        <w:t>(Maistrello, Vaccari and Sasanelli, 2010; Renco, Sasanelli and Maistrello, 2014)</w:t>
      </w:r>
      <w:r w:rsidRPr="002B3D8A">
        <w:rPr>
          <w:rFonts w:ascii="Arial" w:hAnsi="Arial" w:cs="Arial"/>
          <w:color w:val="000000" w:themeColor="text1"/>
        </w:rPr>
        <w:fldChar w:fldCharType="end"/>
      </w:r>
      <w:r w:rsidRPr="002B3D8A">
        <w:rPr>
          <w:rFonts w:ascii="Arial" w:hAnsi="Arial" w:cs="Arial"/>
          <w:color w:val="000000" w:themeColor="text1"/>
        </w:rPr>
        <w:t xml:space="preserve">. A reduction in </w:t>
      </w:r>
      <w:r w:rsidRPr="002B3D8A">
        <w:rPr>
          <w:rFonts w:ascii="Arial" w:hAnsi="Arial" w:cs="Arial"/>
          <w:i/>
          <w:color w:val="000000" w:themeColor="text1"/>
        </w:rPr>
        <w:t>Longidorus elongatus</w:t>
      </w:r>
      <w:r w:rsidRPr="002B3D8A">
        <w:rPr>
          <w:rFonts w:ascii="Arial" w:hAnsi="Arial" w:cs="Arial"/>
          <w:color w:val="000000" w:themeColor="text1"/>
        </w:rPr>
        <w:t xml:space="preserve"> was observed when infested soil was mixed with powdered tannins from Mimosa (</w:t>
      </w:r>
      <w:r w:rsidRPr="002B3D8A">
        <w:rPr>
          <w:rFonts w:ascii="Arial" w:hAnsi="Arial" w:cs="Arial"/>
          <w:i/>
          <w:color w:val="000000" w:themeColor="text1"/>
        </w:rPr>
        <w:t>Acacia mollirrima</w:t>
      </w:r>
      <w:r w:rsidRPr="002B3D8A">
        <w:rPr>
          <w:rFonts w:ascii="Arial" w:hAnsi="Arial" w:cs="Arial"/>
          <w:color w:val="000000" w:themeColor="text1"/>
        </w:rPr>
        <w:t xml:space="preserve"> Wild.) and quebracho (</w:t>
      </w:r>
      <w:r w:rsidRPr="002B3D8A">
        <w:rPr>
          <w:rFonts w:ascii="Arial" w:hAnsi="Arial" w:cs="Arial"/>
          <w:i/>
          <w:color w:val="000000" w:themeColor="text1"/>
        </w:rPr>
        <w:t>Schinopsis lorentzii</w:t>
      </w:r>
      <w:r w:rsidRPr="002B3D8A">
        <w:rPr>
          <w:rFonts w:ascii="Arial" w:hAnsi="Arial" w:cs="Arial"/>
          <w:color w:val="000000" w:themeColor="text1"/>
        </w:rPr>
        <w:t xml:space="preserve">). The nematicidal activity was attributed to the phenolic acids and their derivatives that are contained in tannins </w:t>
      </w:r>
      <w:r w:rsidRPr="002B3D8A">
        <w:rPr>
          <w:rFonts w:ascii="Arial" w:hAnsi="Arial" w:cs="Arial"/>
          <w:color w:val="000000" w:themeColor="text1"/>
        </w:rPr>
        <w:fldChar w:fldCharType="begin" w:fldLock="1"/>
      </w:r>
      <w:r w:rsidR="00E13293">
        <w:rPr>
          <w:rFonts w:ascii="Arial" w:hAnsi="Arial" w:cs="Arial"/>
          <w:color w:val="000000" w:themeColor="text1"/>
        </w:rPr>
        <w:instrText>ADDIN CSL_CITATION {"citationItems":[{"id":"ITEM-1","itemData":{"DOI":"10.1163/187529266X00310","ISSN":"00282596","abstract":"Populations of Longidorus elongatus and other plant parasitic nematodes were much reduced after raspberry canes were incorporated into the soil. This reduction in numbers of nematodes was thought to be due to a toxic substance in the plant material, and it was shown that aqueous extracts of raspberry roots and canes were toxic to L. elongatus. The chemical involved has not been demonstrated but it is observed that raspberry contains large amounts of tannin and a number of polyphenols derived from other plant tannins were shown to be nematicidal. © 1966 BRILL.","author":[{"dropping-particle":"","family":"Taylor","given":"C. E.","non-dropping-particle":"","parse-names":false,"suffix":""},{"dropping-particle":"","family":"Murant","given":"A. F.","non-dropping-particle":"","parse-names":false,"suffix":""}],"container-title":"Nematologica","id":"ITEM-1","issue":"4","issued":{"date-parts":[["1966"]]},"page":"488-494","publisher":"Brill Academic Publishers","title":"Nematicidal activity of aqueous extracts from raspberry canes and roots","type":"article-journal","volume":"12"},"uris":["http://www.mendeley.com/documents/?uuid=f5a813d1-565c-316a-a56d-083ed6c5c04f"]}],"mendeley":{"formattedCitation":"(Taylor and Murant, 1966)","plainTextFormattedCitation":"(Taylor and Murant, 1966)","previouslyFormattedCitation":"(Taylor and Murant, 1966)"},"properties":{"noteIndex":0},"schema":"https://github.com/citation-style-language/schema/raw/master/csl-citation.json"}</w:instrText>
      </w:r>
      <w:r w:rsidRPr="002B3D8A">
        <w:rPr>
          <w:rFonts w:ascii="Arial" w:hAnsi="Arial" w:cs="Arial"/>
          <w:color w:val="000000" w:themeColor="text1"/>
        </w:rPr>
        <w:fldChar w:fldCharType="separate"/>
      </w:r>
      <w:r w:rsidR="00E13293" w:rsidRPr="00E13293">
        <w:rPr>
          <w:rFonts w:ascii="Arial" w:hAnsi="Arial" w:cs="Arial"/>
          <w:noProof/>
          <w:color w:val="000000" w:themeColor="text1"/>
        </w:rPr>
        <w:t>(Taylor and Murant, 1966)</w:t>
      </w:r>
      <w:r w:rsidRPr="002B3D8A">
        <w:rPr>
          <w:rFonts w:ascii="Arial" w:hAnsi="Arial" w:cs="Arial"/>
          <w:color w:val="000000" w:themeColor="text1"/>
        </w:rPr>
        <w:fldChar w:fldCharType="end"/>
      </w:r>
      <w:r w:rsidRPr="002B3D8A">
        <w:rPr>
          <w:rFonts w:ascii="Arial" w:hAnsi="Arial" w:cs="Arial"/>
          <w:color w:val="000000" w:themeColor="text1"/>
        </w:rPr>
        <w:t>. Aqueous tannin solutions of chestnut (</w:t>
      </w:r>
      <w:r w:rsidRPr="002B3D8A">
        <w:rPr>
          <w:rFonts w:ascii="Arial" w:hAnsi="Arial" w:cs="Arial"/>
          <w:i/>
          <w:color w:val="000000" w:themeColor="text1"/>
        </w:rPr>
        <w:t>Castanea sativa</w:t>
      </w:r>
      <w:r w:rsidRPr="002B3D8A">
        <w:rPr>
          <w:rFonts w:ascii="Arial" w:hAnsi="Arial" w:cs="Arial"/>
          <w:color w:val="000000" w:themeColor="text1"/>
        </w:rPr>
        <w:t xml:space="preserve"> L.) were also shown to be effective against </w:t>
      </w:r>
      <w:r w:rsidRPr="002B3D8A">
        <w:rPr>
          <w:rFonts w:ascii="Arial" w:hAnsi="Arial" w:cs="Arial"/>
          <w:i/>
          <w:color w:val="000000" w:themeColor="text1"/>
        </w:rPr>
        <w:t>Meloidogyne javanica</w:t>
      </w:r>
      <w:r w:rsidRPr="002B3D8A">
        <w:rPr>
          <w:rFonts w:ascii="Arial" w:hAnsi="Arial" w:cs="Arial"/>
          <w:color w:val="000000" w:themeColor="text1"/>
        </w:rPr>
        <w:t xml:space="preserve">. </w:t>
      </w:r>
    </w:p>
    <w:p w14:paraId="1C7B80AC" w14:textId="440F9D88" w:rsidR="00640690" w:rsidRDefault="00C77DED" w:rsidP="00616CDC">
      <w:pPr>
        <w:pStyle w:val="paragraph"/>
        <w:spacing w:before="0" w:beforeAutospacing="0" w:after="0" w:afterAutospacing="0" w:line="360" w:lineRule="auto"/>
        <w:ind w:left="-284" w:right="-330"/>
        <w:jc w:val="both"/>
        <w:textAlignment w:val="baseline"/>
        <w:rPr>
          <w:rFonts w:ascii="Arial" w:hAnsi="Arial" w:cs="Arial"/>
          <w:color w:val="000000" w:themeColor="text1"/>
        </w:rPr>
      </w:pPr>
      <w:r w:rsidRPr="002B3D8A">
        <w:rPr>
          <w:rFonts w:ascii="Arial" w:hAnsi="Arial" w:cs="Arial"/>
          <w:color w:val="000000" w:themeColor="text1"/>
        </w:rPr>
        <w:lastRenderedPageBreak/>
        <w:t xml:space="preserve">Alkaloids, sanguinarine, chelerytherine and allocryptopine, extracted from </w:t>
      </w:r>
      <w:r w:rsidRPr="002B3D8A">
        <w:rPr>
          <w:rFonts w:ascii="Arial" w:hAnsi="Arial" w:cs="Arial"/>
          <w:i/>
          <w:color w:val="000000" w:themeColor="text1"/>
        </w:rPr>
        <w:t xml:space="preserve">Macleaya </w:t>
      </w:r>
      <w:r w:rsidR="002919E8" w:rsidRPr="002B3D8A">
        <w:rPr>
          <w:rFonts w:ascii="Arial" w:hAnsi="Arial" w:cs="Arial"/>
          <w:i/>
          <w:color w:val="000000" w:themeColor="text1"/>
        </w:rPr>
        <w:t>cordata,</w:t>
      </w:r>
      <w:r w:rsidRPr="002B3D8A">
        <w:rPr>
          <w:rFonts w:ascii="Arial" w:hAnsi="Arial" w:cs="Arial"/>
          <w:color w:val="000000" w:themeColor="text1"/>
        </w:rPr>
        <w:t xml:space="preserve"> also known as plume poppy or </w:t>
      </w:r>
      <w:r w:rsidRPr="002B3D8A">
        <w:rPr>
          <w:rFonts w:ascii="Arial" w:hAnsi="Arial" w:cs="Arial"/>
          <w:i/>
          <w:color w:val="000000" w:themeColor="text1"/>
        </w:rPr>
        <w:t>Bocconia cordata</w:t>
      </w:r>
      <w:r w:rsidRPr="002B3D8A">
        <w:rPr>
          <w:rFonts w:ascii="Arial" w:hAnsi="Arial" w:cs="Arial"/>
          <w:color w:val="000000" w:themeColor="text1"/>
        </w:rPr>
        <w:t xml:space="preserve">, a perennial herb of the family Papaveraceae, were tested for their nematicidal activity against </w:t>
      </w:r>
      <w:r w:rsidRPr="002B3D8A">
        <w:rPr>
          <w:rFonts w:ascii="Arial" w:hAnsi="Arial" w:cs="Arial"/>
          <w:i/>
          <w:color w:val="000000" w:themeColor="text1"/>
        </w:rPr>
        <w:t>Bursaphelenchus xylophilus</w:t>
      </w:r>
      <w:r w:rsidRPr="002B3D8A">
        <w:rPr>
          <w:rFonts w:ascii="Arial" w:hAnsi="Arial" w:cs="Arial"/>
          <w:color w:val="000000" w:themeColor="text1"/>
        </w:rPr>
        <w:t xml:space="preserve">, </w:t>
      </w:r>
      <w:r w:rsidRPr="002B3D8A">
        <w:rPr>
          <w:rFonts w:ascii="Arial" w:hAnsi="Arial" w:cs="Arial"/>
          <w:i/>
          <w:color w:val="000000" w:themeColor="text1"/>
        </w:rPr>
        <w:t>Caenorhabditis elegans</w:t>
      </w:r>
      <w:r w:rsidRPr="002B3D8A">
        <w:rPr>
          <w:rFonts w:ascii="Arial" w:hAnsi="Arial" w:cs="Arial"/>
          <w:color w:val="000000" w:themeColor="text1"/>
        </w:rPr>
        <w:t xml:space="preserve"> and </w:t>
      </w:r>
      <w:r w:rsidRPr="002B3D8A">
        <w:rPr>
          <w:rFonts w:ascii="Arial" w:hAnsi="Arial" w:cs="Arial"/>
          <w:i/>
          <w:color w:val="000000" w:themeColor="text1"/>
        </w:rPr>
        <w:t xml:space="preserve">Meloidogyne incognita </w:t>
      </w:r>
      <w:r w:rsidRPr="002B3D8A">
        <w:rPr>
          <w:rFonts w:ascii="Arial" w:hAnsi="Arial" w:cs="Arial"/>
          <w:color w:val="000000" w:themeColor="text1"/>
        </w:rPr>
        <w:t xml:space="preserve">in an </w:t>
      </w:r>
      <w:r w:rsidRPr="00F63475">
        <w:rPr>
          <w:rFonts w:ascii="Arial" w:hAnsi="Arial" w:cs="Arial"/>
          <w:i/>
          <w:color w:val="000000" w:themeColor="text1"/>
        </w:rPr>
        <w:t>in</w:t>
      </w:r>
      <w:r w:rsidR="00A2395C" w:rsidRPr="00F63475">
        <w:rPr>
          <w:rFonts w:ascii="Arial" w:hAnsi="Arial" w:cs="Arial"/>
          <w:i/>
          <w:color w:val="000000" w:themeColor="text1"/>
        </w:rPr>
        <w:t xml:space="preserve"> </w:t>
      </w:r>
      <w:r w:rsidRPr="00F63475">
        <w:rPr>
          <w:rFonts w:ascii="Arial" w:hAnsi="Arial" w:cs="Arial"/>
          <w:i/>
          <w:color w:val="000000" w:themeColor="text1"/>
        </w:rPr>
        <w:t>vitro study</w:t>
      </w:r>
      <w:r w:rsidRPr="002B3D8A">
        <w:rPr>
          <w:rFonts w:ascii="Arial" w:hAnsi="Arial" w:cs="Arial"/>
          <w:i/>
          <w:color w:val="000000" w:themeColor="text1"/>
        </w:rPr>
        <w:t>.</w:t>
      </w:r>
      <w:r w:rsidRPr="002B3D8A">
        <w:rPr>
          <w:rFonts w:ascii="Arial" w:hAnsi="Arial" w:cs="Arial"/>
          <w:color w:val="000000" w:themeColor="text1"/>
        </w:rPr>
        <w:t xml:space="preserve"> The alkaloids exhibited nematicidal activity at LC</w:t>
      </w:r>
      <w:r w:rsidRPr="002B3D8A">
        <w:rPr>
          <w:rFonts w:ascii="Arial" w:hAnsi="Arial" w:cs="Arial"/>
          <w:color w:val="000000" w:themeColor="text1"/>
          <w:vertAlign w:val="subscript"/>
        </w:rPr>
        <w:t>50</w:t>
      </w:r>
      <w:r w:rsidRPr="002B3D8A">
        <w:rPr>
          <w:rFonts w:ascii="Arial" w:hAnsi="Arial" w:cs="Arial"/>
          <w:color w:val="000000" w:themeColor="text1"/>
        </w:rPr>
        <w:t xml:space="preserve"> 28.52, 34.50 and 37.45 µg/ml, respectively, against </w:t>
      </w:r>
      <w:r w:rsidRPr="002B3D8A">
        <w:rPr>
          <w:rFonts w:ascii="Arial" w:hAnsi="Arial" w:cs="Arial"/>
          <w:i/>
          <w:color w:val="000000" w:themeColor="text1"/>
        </w:rPr>
        <w:t>B. xylophilus</w:t>
      </w:r>
      <w:r w:rsidRPr="002B3D8A">
        <w:rPr>
          <w:rFonts w:ascii="Arial" w:hAnsi="Arial" w:cs="Arial"/>
          <w:color w:val="000000" w:themeColor="text1"/>
        </w:rPr>
        <w:t xml:space="preserve">; 22.78, 40.25 and 38.90 µg/ml, respectively, against </w:t>
      </w:r>
      <w:r w:rsidRPr="002B3D8A">
        <w:rPr>
          <w:rFonts w:ascii="Arial" w:hAnsi="Arial" w:cs="Arial"/>
          <w:i/>
          <w:color w:val="000000" w:themeColor="text1"/>
        </w:rPr>
        <w:t>C. elegans</w:t>
      </w:r>
      <w:r w:rsidRPr="002B3D8A">
        <w:rPr>
          <w:rFonts w:ascii="Arial" w:hAnsi="Arial" w:cs="Arial"/>
          <w:color w:val="000000" w:themeColor="text1"/>
        </w:rPr>
        <w:t xml:space="preserve">; and 67.52, 61.00 and 76.56 µg/ml, respectively, against </w:t>
      </w:r>
      <w:r w:rsidRPr="002B3D8A">
        <w:rPr>
          <w:rFonts w:ascii="Arial" w:hAnsi="Arial" w:cs="Arial"/>
          <w:i/>
          <w:color w:val="000000" w:themeColor="text1"/>
        </w:rPr>
        <w:t>M. incognita</w:t>
      </w:r>
      <w:r w:rsidRPr="002B3D8A">
        <w:rPr>
          <w:rFonts w:ascii="Arial" w:hAnsi="Arial" w:cs="Arial"/>
          <w:color w:val="000000" w:themeColor="text1"/>
        </w:rPr>
        <w:t xml:space="preserve"> at 24 h </w:t>
      </w:r>
      <w:r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{"citationItems":[{"id":"ITEM-1","itemData":{"DOI":"10.5897/AJAR11.1940","abstract":"Macleaya cordata R. Br. is a source of bioactive compounds which are used in phytopreparations with anti-inflammatory and antimicrobial activities. In this study, four isoquinoline alkaloids were isolated from the crude alkaloid extract of the aerial parts of M. cordata, and were identified as sanguinarine, chelerythrine, protopine and allocryptopine. These alkaloids were screened for their nematicidal activity against the nematodes Bursaphelenchus xylophilus, Caenorhabditis elegans and Meloidogyne incognita. Three alkaloids, sanguinarine, chelerytherine and allocryptopine, showed nematicidal activity with the median lethal concentration (LC 50) values as 28.52, 34.50 and 37.45 µg/ml, respectively, against B. xylophilus; 22.78, 40.25 and 38.90 µg/ml, respectively, against C. elegans; and 67.52, 61.00 and 76.56 µg/ml, respectively, against M. incognita at 24 h. This is the first report on the nematicidal activity of the alkaloids from M. cordata against the nematodes, B. xylophilus, C. elegans and M. incognita.","author":[{"dropping-particle":"","family":"Wang","given":"Kui","non-dropping-particle":"","parse-names":false,"suffix":""},{"dropping-particle":"","family":"Luo","given":"Chao","non-dropping-particle":"","parse-names":false,"suffix":""},{"dropping-particle":"","family":"Liu","given":"Hao","non-dropping-particle":"","parse-names":false,"suffix":""},{"dropping-particle":"","family":"Xu","given":"Jianmei","non-dropping-particle":"","parse-names":false,"suffix":""},{"dropping-particle":"","family":"Sun","given":"Weibo","non-dropping-particle":"","parse-names":false,"suffix":""},{"dropping-particle":"","family":"Zhou","given":"Ligang","non-dropping-particle":"","parse-names":false,"suffix":""}],"container-title":"African Journal of Agricultural Research","id":"ITEM-1","issue":"44","issued":{"date-parts":[["2012"]]},"page":"5925-5929","title":"Nematicidal activity of the alkaloids from Macleaya cordata against certain nematodes","type":"article-journal","volume":"7"},"uris":["http://www.mendeley.com/documents/?uuid=90794b73-8669-359c-ab80-654e820709a8"]}],"mendeley":{"formattedCitation":"(Wang &lt;i&gt;et al.&lt;/i&gt;, 2012)","plainTextFormattedCitation":"(Wang et al., 2012)","previouslyFormattedCitation":"(Wang &lt;i&gt;et al.&lt;/i&gt;, 2012)"},"properties":{"noteIndex":0},"schema":"https://github.com/citation-style-language/schema/raw/master/csl-citation.json"}</w:instrText>
      </w:r>
      <w:r w:rsidRPr="002B3D8A">
        <w:rPr>
          <w:rFonts w:ascii="Arial" w:hAnsi="Arial" w:cs="Arial"/>
          <w:color w:val="000000" w:themeColor="text1"/>
        </w:rPr>
        <w:fldChar w:fldCharType="separate"/>
      </w:r>
      <w:r w:rsidR="00A07F2C" w:rsidRPr="00A07F2C">
        <w:rPr>
          <w:rFonts w:ascii="Arial" w:hAnsi="Arial" w:cs="Arial"/>
          <w:noProof/>
          <w:color w:val="000000" w:themeColor="text1"/>
        </w:rPr>
        <w:t xml:space="preserve">(Wang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2012)</w:t>
      </w:r>
      <w:r w:rsidRPr="002B3D8A">
        <w:rPr>
          <w:rFonts w:ascii="Arial" w:hAnsi="Arial" w:cs="Arial"/>
          <w:color w:val="000000" w:themeColor="text1"/>
        </w:rPr>
        <w:fldChar w:fldCharType="end"/>
      </w:r>
      <w:r w:rsidRPr="002B3D8A">
        <w:rPr>
          <w:rFonts w:ascii="Arial" w:hAnsi="Arial" w:cs="Arial"/>
          <w:color w:val="000000" w:themeColor="text1"/>
        </w:rPr>
        <w:t>. The alkaloid</w:t>
      </w:r>
      <w:r w:rsidR="00A2395C">
        <w:rPr>
          <w:rFonts w:ascii="Arial" w:hAnsi="Arial" w:cs="Arial"/>
          <w:color w:val="000000" w:themeColor="text1"/>
        </w:rPr>
        <w:t>,</w:t>
      </w:r>
      <w:r w:rsidRPr="002B3D8A">
        <w:rPr>
          <w:rFonts w:ascii="Arial" w:hAnsi="Arial" w:cs="Arial"/>
          <w:color w:val="000000" w:themeColor="text1"/>
        </w:rPr>
        <w:t xml:space="preserve"> 1,2- dehydropyrrolizidine </w:t>
      </w:r>
      <w:r w:rsidR="005033E8" w:rsidRPr="002B3D8A">
        <w:rPr>
          <w:rFonts w:ascii="Arial" w:hAnsi="Arial" w:cs="Arial"/>
          <w:color w:val="000000" w:themeColor="text1"/>
        </w:rPr>
        <w:t>(PAs</w:t>
      </w:r>
      <w:r w:rsidRPr="002B3D8A">
        <w:rPr>
          <w:rFonts w:ascii="Arial" w:hAnsi="Arial" w:cs="Arial"/>
          <w:color w:val="000000" w:themeColor="text1"/>
        </w:rPr>
        <w:t xml:space="preserve">), extracted from </w:t>
      </w:r>
      <w:r w:rsidRPr="002B3D8A">
        <w:rPr>
          <w:rFonts w:ascii="Arial" w:hAnsi="Arial" w:cs="Arial"/>
          <w:i/>
          <w:color w:val="000000" w:themeColor="text1"/>
        </w:rPr>
        <w:t>Chromolaena odorata</w:t>
      </w:r>
      <w:r w:rsidRPr="002B3D8A">
        <w:rPr>
          <w:rFonts w:ascii="Arial" w:hAnsi="Arial" w:cs="Arial"/>
          <w:color w:val="000000" w:themeColor="text1"/>
        </w:rPr>
        <w:t xml:space="preserve"> </w:t>
      </w:r>
      <w:r w:rsidR="00A2395C">
        <w:rPr>
          <w:rFonts w:ascii="Arial" w:hAnsi="Arial" w:cs="Arial"/>
          <w:color w:val="000000" w:themeColor="text1"/>
        </w:rPr>
        <w:t xml:space="preserve">and the </w:t>
      </w:r>
      <w:r w:rsidRPr="002B3D8A">
        <w:rPr>
          <w:rFonts w:ascii="Arial" w:hAnsi="Arial" w:cs="Arial"/>
          <w:color w:val="000000" w:themeColor="text1"/>
        </w:rPr>
        <w:t xml:space="preserve">invasive weeds, </w:t>
      </w:r>
      <w:r w:rsidRPr="002B3D8A">
        <w:rPr>
          <w:rFonts w:ascii="Arial" w:hAnsi="Arial" w:cs="Arial"/>
          <w:i/>
          <w:color w:val="000000" w:themeColor="text1"/>
        </w:rPr>
        <w:t>Crotalaria</w:t>
      </w:r>
      <w:r w:rsidRPr="002B3D8A">
        <w:rPr>
          <w:rFonts w:ascii="Arial" w:hAnsi="Arial" w:cs="Arial"/>
          <w:color w:val="000000" w:themeColor="text1"/>
        </w:rPr>
        <w:t xml:space="preserve"> spp. or </w:t>
      </w:r>
      <w:r w:rsidRPr="002B3D8A">
        <w:rPr>
          <w:rFonts w:ascii="Arial" w:hAnsi="Arial" w:cs="Arial"/>
          <w:i/>
          <w:color w:val="000000" w:themeColor="text1"/>
        </w:rPr>
        <w:t>Ageratum</w:t>
      </w:r>
      <w:r w:rsidRPr="002B3D8A">
        <w:rPr>
          <w:rFonts w:ascii="Arial" w:hAnsi="Arial" w:cs="Arial"/>
          <w:color w:val="000000" w:themeColor="text1"/>
        </w:rPr>
        <w:t xml:space="preserve"> spp. had nematicidal, ovicidal and repellent effects on free/living and plant parasitic nematodes. A repellent effect was observed for the </w:t>
      </w:r>
      <w:r w:rsidRPr="007D719C">
        <w:rPr>
          <w:rFonts w:ascii="Arial" w:hAnsi="Arial" w:cs="Arial"/>
          <w:i/>
          <w:color w:val="000000" w:themeColor="text1"/>
        </w:rPr>
        <w:t>Rhabiditis</w:t>
      </w:r>
      <w:r w:rsidRPr="002B3D8A">
        <w:rPr>
          <w:rFonts w:ascii="Arial" w:hAnsi="Arial" w:cs="Arial"/>
          <w:color w:val="000000" w:themeColor="text1"/>
        </w:rPr>
        <w:t xml:space="preserve"> spp but not recorded in </w:t>
      </w:r>
      <w:r w:rsidRPr="00F63475">
        <w:rPr>
          <w:rFonts w:ascii="Arial" w:hAnsi="Arial" w:cs="Arial"/>
          <w:i/>
          <w:color w:val="000000" w:themeColor="text1"/>
        </w:rPr>
        <w:t>Meloidogyne incognita</w:t>
      </w:r>
      <w:r w:rsidRPr="002B3D8A">
        <w:rPr>
          <w:rFonts w:ascii="Arial" w:hAnsi="Arial" w:cs="Arial"/>
          <w:color w:val="000000" w:themeColor="text1"/>
        </w:rPr>
        <w:t xml:space="preserve"> in the study, showing the variability in susceptibility of the different nematodes to the 1,2- dehydropyrrolizidine </w:t>
      </w:r>
      <w:r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{"citationItems":[{"id":"ITEM-1","itemData":{"DOI":"10.1002/ps.1764","ISSN":"1526498X","PMID":"19378265","abstract":"BACKGROUND: Chemical nematicides such as methyl bromide have for decades played a significant role in the management of plant-parasitic nematodes. Their application is problematic because of negative environmental impacts, and therefore methyl bromide was phased out in Europe in 2005. A possible alternative to synthetically derived nematicides is seen in the use of plants and/or their secondary metabolites. These plants could either be used as nematicidal green manure or as a source for nematicidal extracts. This study aimed to evaluate the effects of 1,2-dehydropyrrolizidine alkaloids (PAs), a group of secondary plant metabolites found in hundreds of plant species throughout the world, on the performance of plant-parasitic and free-living nematodes. RESULTS: PAs induced nematicidal, ovicidal and repellent effects on different plant-parasitic and free-living nematodes. There was no conclusive ranking in toxicity for the different structural types of PAs tested. However, the effects were often more pronounced for the tertiary than for the oxidised form of PAs. Further, large differences were observed in the susceptibility of different nematode species to PAs. CONCLUSIONS: PAs do affect several performance parameters and developmental stages of nematodes. Therefore, PA producing plants such as species of Crotalaria, Ageratum or Senecio might be promising candidates for nematode management strategies. [Correction made here after initial online publication] © 2009 Society of Chemical Industry.","author":[{"dropping-particle":"","family":"Thoden","given":"Tim C.","non-dropping-particle":"","parse-names":false,"suffix":""},{"dropping-particle":"","family":"Boppré","given":"Michael","non-dropping-particle":"","parse-names":false,"suffix":""},{"dropping-particle":"","family":"Hallmann","given":"Johannes","non-dropping-particle":"","parse-names":false,"suffix":""}],"container-title":"Pest Management Science","id":"ITEM-1","issue":"7","issued":{"date-parts":[["2009","7"]]},"page":"823-830","title":"Effects of pyrrolizidine alkaloids on the performance of plant-parasitic and free-living nematodes","type":"article-journal","volume":"65"},"uris":["http://www.mendeley.com/documents/?uuid=83ab371a-a79e-32e3-b72a-bed04f754251"]}],"mendeley":{"formattedCitation":"(Thoden, Boppré and Hallmann, 2009)","plainTextFormattedCitation":"(Thoden, Boppré and Hallmann, 2009)","previouslyFormattedCitation":"(Thoden, Boppré and Hallmann, 2009)"},"properties":{"noteIndex":0},"schema":"https://github.com/citation-style-language/schema/raw/master/csl-citation.json"}</w:instrText>
      </w:r>
      <w:r w:rsidRPr="002B3D8A">
        <w:rPr>
          <w:rFonts w:ascii="Arial" w:hAnsi="Arial" w:cs="Arial"/>
          <w:color w:val="000000" w:themeColor="text1"/>
        </w:rPr>
        <w:fldChar w:fldCharType="separate"/>
      </w:r>
      <w:r w:rsidR="00A07F2C" w:rsidRPr="00A07F2C">
        <w:rPr>
          <w:rFonts w:ascii="Arial" w:hAnsi="Arial" w:cs="Arial"/>
          <w:noProof/>
          <w:color w:val="000000" w:themeColor="text1"/>
        </w:rPr>
        <w:t>(Thoden, Boppré and Hallmann, 2009)</w:t>
      </w:r>
      <w:r w:rsidRPr="002B3D8A">
        <w:rPr>
          <w:rFonts w:ascii="Arial" w:hAnsi="Arial" w:cs="Arial"/>
          <w:color w:val="000000" w:themeColor="text1"/>
        </w:rPr>
        <w:fldChar w:fldCharType="end"/>
      </w:r>
      <w:r w:rsidRPr="002B3D8A">
        <w:rPr>
          <w:rFonts w:ascii="Arial" w:hAnsi="Arial" w:cs="Arial"/>
          <w:color w:val="000000" w:themeColor="text1"/>
        </w:rPr>
        <w:t xml:space="preserve">. An </w:t>
      </w:r>
      <w:r w:rsidRPr="00F63475">
        <w:rPr>
          <w:rFonts w:ascii="Arial" w:hAnsi="Arial" w:cs="Arial"/>
          <w:i/>
          <w:color w:val="000000" w:themeColor="text1"/>
        </w:rPr>
        <w:t>in</w:t>
      </w:r>
      <w:r w:rsidR="00A2395C" w:rsidRPr="00F63475">
        <w:rPr>
          <w:rFonts w:ascii="Arial" w:hAnsi="Arial" w:cs="Arial"/>
          <w:i/>
          <w:color w:val="000000" w:themeColor="text1"/>
        </w:rPr>
        <w:t xml:space="preserve"> </w:t>
      </w:r>
      <w:r w:rsidRPr="00F63475">
        <w:rPr>
          <w:rFonts w:ascii="Arial" w:hAnsi="Arial" w:cs="Arial"/>
          <w:i/>
          <w:color w:val="000000" w:themeColor="text1"/>
        </w:rPr>
        <w:t>vitro</w:t>
      </w:r>
      <w:r w:rsidRPr="002B3D8A">
        <w:rPr>
          <w:rFonts w:ascii="Arial" w:hAnsi="Arial" w:cs="Arial"/>
          <w:color w:val="000000" w:themeColor="text1"/>
        </w:rPr>
        <w:t xml:space="preserve"> experiment using leaf and stem extracts of Bean (</w:t>
      </w:r>
      <w:r w:rsidRPr="002B3D8A">
        <w:rPr>
          <w:rFonts w:ascii="Arial" w:hAnsi="Arial" w:cs="Arial"/>
          <w:i/>
          <w:color w:val="000000" w:themeColor="text1"/>
        </w:rPr>
        <w:t>Phaseolus vulgaris</w:t>
      </w:r>
      <w:r w:rsidRPr="002B3D8A">
        <w:rPr>
          <w:rFonts w:ascii="Arial" w:hAnsi="Arial" w:cs="Arial"/>
          <w:color w:val="000000" w:themeColor="text1"/>
        </w:rPr>
        <w:t xml:space="preserve"> L.) and leaf extracts of tobacco (</w:t>
      </w:r>
      <w:r w:rsidRPr="002B3D8A">
        <w:rPr>
          <w:rFonts w:ascii="Arial" w:hAnsi="Arial" w:cs="Arial"/>
          <w:i/>
          <w:color w:val="000000" w:themeColor="text1"/>
        </w:rPr>
        <w:t>Nicotiana tabacum</w:t>
      </w:r>
      <w:r w:rsidRPr="002B3D8A">
        <w:rPr>
          <w:rFonts w:ascii="Arial" w:hAnsi="Arial" w:cs="Arial"/>
          <w:color w:val="000000" w:themeColor="text1"/>
        </w:rPr>
        <w:t xml:space="preserve"> L.) showed that the extracts were able to slow down the movement of </w:t>
      </w:r>
      <w:r w:rsidRPr="002B3D8A">
        <w:rPr>
          <w:rFonts w:ascii="Arial" w:hAnsi="Arial" w:cs="Arial"/>
          <w:i/>
          <w:color w:val="000000" w:themeColor="text1"/>
        </w:rPr>
        <w:t xml:space="preserve">Hoplolaimus </w:t>
      </w:r>
      <w:r w:rsidRPr="002B3D8A">
        <w:rPr>
          <w:rFonts w:ascii="Arial" w:hAnsi="Arial" w:cs="Arial"/>
          <w:color w:val="000000" w:themeColor="text1"/>
        </w:rPr>
        <w:t xml:space="preserve">spp. and </w:t>
      </w:r>
      <w:r w:rsidRPr="002B3D8A">
        <w:rPr>
          <w:rFonts w:ascii="Arial" w:hAnsi="Arial" w:cs="Arial"/>
          <w:i/>
          <w:color w:val="000000" w:themeColor="text1"/>
        </w:rPr>
        <w:t>Tylenchorynchus dubius</w:t>
      </w:r>
      <w:r w:rsidRPr="002B3D8A">
        <w:rPr>
          <w:rFonts w:ascii="Arial" w:hAnsi="Arial" w:cs="Arial"/>
          <w:color w:val="000000" w:themeColor="text1"/>
        </w:rPr>
        <w:t xml:space="preserve"> (Bütschli) Filipjev at 1hour exposure time. The nematicidal activity was still observed when the extracts were added to the soil showing practicality in real field situations </w:t>
      </w:r>
      <w:r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{"citationItems":[{"id":"ITEM-1","itemData":{"abstract":"Abstract: Plant extracts, made by grinding 2 g of fresh tissue in 5 ml of water, were toxic to Tylen~horhynchus dubius and Hoplolaimus spp. Such extracts from leaves and stems of bean (Phaseolus vulgaris L.) and leaves of tobacco (Nicotiana tabacum L.) were most toxic; those from leaves of corn (Zea mays L.), tomato (Lycopersicon esculentum Mill.) and rhododendron (Rhododendron catawbiense L.) were less toxic; and extracts of bean roots were nontoxic. Nematode movement slowed markedly within 1 hr in tobacco leaf extract, and within 4 hr in bean leaf extract; both extracts completely inactivated or killed 95% of the nematodes in 24 hr. Heating leaf extract 10 min at 80 C eliminated toxicity. Absorption of fusicoccin, a phytotoxin produced by Fusicoccum amygdali Del., increased the toxicity of tomato leaf extracts, whereas water extracts of acetone-extracted powder preparations of leaves were about 15-fold more toxic than water extracts of fresh tissue. Addition of homogenized leaves of bean, tobacco and tomato to soil significantly reduced nematode populations within 3 days. Some","author":[{"dropping-particle":"","family":"Miller","given":"P M","non-dropping-particle":"","parse-names":false,"suffix":""},{"dropping-particle":"","family":"Turner","given":"N C","non-dropping-particle":"","parse-names":false,"suffix":""},{"dropping-particle":"","family":"Tomlinson","given":"H","non-dropping-particle":"","parse-names":false,"suffix":""}],"container-title":"J. Nematol.","id":"ITEM-1","issue":"3","issued":{"date-parts":[["1973"]]},"page":"174-177","publisher":"McGraw-HiU BookCo., Inc","title":"Toxicity of Leaf and Stem Extracts to Tylenchorhynchus dubius","type":"article-journal","volume":"5"},"uris":["http://www.mendeley.com/documents/?uuid=a28ebf1d-307d-36eb-af43-1d1078f4238f"]}],"mendeley":{"formattedCitation":"(Miller, Turner and Tomlinson, 1973)","plainTextFormattedCitation":"(Miller, Turner and Tomlinson, 1973)","previouslyFormattedCitation":"(Miller, Turner and Tomlinson, 1973)"},"properties":{"noteIndex":0},"schema":"https://github.com/citation-style-language/schema/raw/master/csl-citation.json"}</w:instrText>
      </w:r>
      <w:r w:rsidRPr="002B3D8A">
        <w:rPr>
          <w:rFonts w:ascii="Arial" w:hAnsi="Arial" w:cs="Arial"/>
          <w:color w:val="000000" w:themeColor="text1"/>
        </w:rPr>
        <w:fldChar w:fldCharType="separate"/>
      </w:r>
      <w:r w:rsidR="00A07F2C" w:rsidRPr="00A07F2C">
        <w:rPr>
          <w:rFonts w:ascii="Arial" w:hAnsi="Arial" w:cs="Arial"/>
          <w:noProof/>
          <w:color w:val="000000" w:themeColor="text1"/>
        </w:rPr>
        <w:t>(Miller, Turner and Tomlinson, 1973)</w:t>
      </w:r>
      <w:r w:rsidRPr="002B3D8A">
        <w:rPr>
          <w:rFonts w:ascii="Arial" w:hAnsi="Arial" w:cs="Arial"/>
          <w:color w:val="000000" w:themeColor="text1"/>
        </w:rPr>
        <w:fldChar w:fldCharType="end"/>
      </w:r>
      <w:r w:rsidRPr="002B3D8A">
        <w:rPr>
          <w:rFonts w:ascii="Arial" w:hAnsi="Arial" w:cs="Arial"/>
          <w:color w:val="000000" w:themeColor="text1"/>
        </w:rPr>
        <w:t>.</w:t>
      </w:r>
    </w:p>
    <w:p w14:paraId="57FBAF05" w14:textId="2C93222A" w:rsidR="00143922" w:rsidRPr="003418DA" w:rsidRDefault="00E44691" w:rsidP="003418DA">
      <w:pPr>
        <w:pStyle w:val="Heading5"/>
        <w:rPr>
          <w:rFonts w:ascii="Arial" w:hAnsi="Arial" w:cs="Arial"/>
          <w:b/>
          <w:color w:val="000000" w:themeColor="text1"/>
        </w:rPr>
      </w:pPr>
      <w:r w:rsidRPr="003418DA">
        <w:rPr>
          <w:rFonts w:ascii="Arial" w:hAnsi="Arial" w:cs="Arial"/>
          <w:b/>
          <w:caps w:val="0"/>
          <w:color w:val="000000" w:themeColor="text1"/>
          <w:sz w:val="24"/>
          <w:szCs w:val="24"/>
        </w:rPr>
        <w:t xml:space="preserve">c) Potential of biofumigation under field conditions </w:t>
      </w:r>
    </w:p>
    <w:p w14:paraId="694D420B" w14:textId="28303F5A" w:rsidR="000F5F6C" w:rsidRDefault="00E44691" w:rsidP="00616CDC">
      <w:pPr>
        <w:pStyle w:val="paragraph"/>
        <w:spacing w:after="0" w:line="360" w:lineRule="auto"/>
        <w:ind w:left="-284" w:right="-330"/>
        <w:jc w:val="both"/>
        <w:textAlignment w:val="baseline"/>
        <w:rPr>
          <w:rFonts w:ascii="Arial" w:hAnsi="Arial" w:cs="Arial"/>
          <w:color w:val="000000" w:themeColor="text1"/>
        </w:rPr>
      </w:pPr>
      <w:r w:rsidRPr="00143922">
        <w:rPr>
          <w:rFonts w:ascii="Arial" w:hAnsi="Arial" w:cs="Arial"/>
          <w:color w:val="000000" w:themeColor="text1"/>
        </w:rPr>
        <w:t>The potential of biofumigant brassica crops has also been extensively studied on different target nematodes under field conditions</w:t>
      </w:r>
      <w:r w:rsidR="000160FE">
        <w:rPr>
          <w:rFonts w:ascii="Arial" w:hAnsi="Arial" w:cs="Arial"/>
          <w:color w:val="000000" w:themeColor="text1"/>
        </w:rPr>
        <w:t xml:space="preserve"> (Table 2)</w:t>
      </w:r>
      <w:r w:rsidRPr="00143922">
        <w:rPr>
          <w:rFonts w:ascii="Arial" w:hAnsi="Arial" w:cs="Arial"/>
          <w:color w:val="000000" w:themeColor="text1"/>
        </w:rPr>
        <w:t xml:space="preserve">. The effects have been inconsistent with some studies recording high suppression upon incorporation of brassica residues (Lord et al., 2011) and in some no effect to the target species (Vervoort et al., 2014). </w:t>
      </w:r>
      <w:r w:rsidR="000160FE">
        <w:rPr>
          <w:rFonts w:ascii="Arial" w:hAnsi="Arial" w:cs="Arial"/>
          <w:color w:val="000000" w:themeColor="text1"/>
        </w:rPr>
        <w:t>T</w:t>
      </w:r>
      <w:r>
        <w:rPr>
          <w:rFonts w:ascii="Arial" w:hAnsi="Arial" w:cs="Arial"/>
          <w:color w:val="000000" w:themeColor="text1"/>
        </w:rPr>
        <w:t xml:space="preserve">o be effective, brassica green manures need to effectively release ITCs for soil fumigation under suitable conditions. </w:t>
      </w:r>
      <w:r w:rsidR="00650B43">
        <w:rPr>
          <w:rFonts w:ascii="Arial" w:hAnsi="Arial" w:cs="Arial"/>
          <w:color w:val="000000" w:themeColor="text1"/>
        </w:rPr>
        <w:t xml:space="preserve">A blend </w:t>
      </w:r>
      <w:r w:rsidR="008A4127">
        <w:rPr>
          <w:rFonts w:ascii="Arial" w:hAnsi="Arial" w:cs="Arial"/>
          <w:color w:val="000000" w:themeColor="text1"/>
        </w:rPr>
        <w:t xml:space="preserve">of </w:t>
      </w:r>
      <w:r w:rsidR="00650B43">
        <w:rPr>
          <w:rFonts w:ascii="Arial" w:hAnsi="Arial" w:cs="Arial"/>
          <w:color w:val="000000" w:themeColor="text1"/>
        </w:rPr>
        <w:t xml:space="preserve">high soil moisture content, thorough pulverization in the incorporation </w:t>
      </w:r>
      <w:r w:rsidR="008A4127" w:rsidRPr="003418DA">
        <w:rPr>
          <w:rFonts w:ascii="Arial" w:hAnsi="Arial" w:cs="Arial"/>
          <w:color w:val="000000" w:themeColor="text1"/>
        </w:rPr>
        <w:t xml:space="preserve">process </w:t>
      </w:r>
      <w:r w:rsidR="00650B43" w:rsidRPr="003418DA">
        <w:rPr>
          <w:rFonts w:ascii="Arial" w:hAnsi="Arial" w:cs="Arial"/>
          <w:color w:val="000000" w:themeColor="text1"/>
        </w:rPr>
        <w:t>and high plant biomass are vital in release of ITCs for biofumigation</w:t>
      </w:r>
      <w:r w:rsidR="00640690">
        <w:rPr>
          <w:rFonts w:ascii="Arial" w:hAnsi="Arial" w:cs="Arial"/>
          <w:color w:val="000000" w:themeColor="text1"/>
        </w:rPr>
        <w:t xml:space="preserve"> </w:t>
      </w:r>
      <w:r w:rsidR="00640690">
        <w:rPr>
          <w:rFonts w:ascii="Arial" w:hAnsi="Arial" w:cs="Arial"/>
          <w:color w:val="000000" w:themeColor="text1"/>
        </w:rPr>
        <w:fldChar w:fldCharType="begin" w:fldLock="1"/>
      </w:r>
      <w:r w:rsidR="00640690">
        <w:rPr>
          <w:rFonts w:ascii="Arial" w:hAnsi="Arial" w:cs="Arial"/>
          <w:color w:val="000000" w:themeColor="text1"/>
        </w:rPr>
        <w:instrText>ADDIN CSL_CITATION {"citationItems":[{"id":"ITEM-1","itemData":{"DOI":"10.1080/07352680600611543","ISSN":"07352689","abstract":"Management of soilborne pests and diseases in cropping systems is often highly challenging - in implementation of acceptable methodologies and in dealing with secondary problems. The phase-out of methyl bromide brings this into particularly sharp focus. There is a need for diversified options and alternatives to fill different roles across the soilborne pest and disease management spectrum, but flexibility is limited, as practicalities demand that they fit into a prophylactic methodology. It is against such a backdrop that expectations and promotion of alternatives must be set. There is also a need to recognize potentially serious problems that may have been masked under historical management regimes, but for which the nature of the system offers little scope to avoid or manage. Biofumigation is the beneficial use of Brassica green manures that release isothiocyanates chemically similar to methyl isothiocyanate, the active agent from the synthetic fumigant metam sodium, which is used as a substitute for methyl bromide in some systems. A systematic approach to research into biofumigation, specifically aimed at overcoming a long history of empiricism, has seen significant recent advances in both basic and applied knowledge. A key development has been achievement of maximal biofumigation potential through greatly enhanced release of appropriate isothiocyanates into soil. These advances have led to commercial adoption, demonstrating that biofumigation, when applied to appropriate production systems, can have efficacy and offer cost savings. Crucially, these systematically derived research and development findings and their adoption now provide the impetus for self-sustaining further development and market penetration of the concept. Despite this success, biofumigation is not seen as being sufficiently powerful or practical in implementation to be an alternative to methyl bromide on a broad scale and misdirection in that regard could be counterproductive to more appropriately targeted further development. Enhanced microbial biodegradation is a cryptic phenomenon that can diminish the efficacy of soil-applied pesticides, including isothiocyanates and most other currently available methyl bromide substitutes. Because methyl bromide is not susceptible, the phenomenon has potentially serious implications in intensive production systems switching from methyl bromide to reliance on other compounds that are. It is an intractable problem once induced. Avoidance of i…","author":[{"dropping-particle":"","family":"Matthiessen","given":"John","non-dropping-particle":"","parse-names":false,"suffix":""},{"dropping-particle":"","family":"Kirkegaard","given":"John","non-dropping-particle":"","parse-names":false,"suffix":""}],"container-title":"Critical Reviews in Plant Sciences","id":"ITEM-1","issue":"3","issued":{"date-parts":[["2006","5"]]},"page":"235-265","title":"Biofumigation and enhanced biodegradation: Opportunity and challenge in soilborne pest and disease management","type":"article","volume":"25"},"uris":["http://www.mendeley.com/documents/?uuid=c6d88a66-d55c-3c62-aa05-88d1d5cdba46"]}],"mendeley":{"formattedCitation":"(Matthiessen and Kirkegaard, 2006)","plainTextFormattedCitation":"(Matthiessen and Kirkegaard, 2006)","previouslyFormattedCitation":"(Matthiessen and Kirkegaard, 2006)"},"properties":{"noteIndex":0},"schema":"https://github.com/citation-style-language/schema/raw/master/csl-citation.json"}</w:instrText>
      </w:r>
      <w:r w:rsidR="00640690">
        <w:rPr>
          <w:rFonts w:ascii="Arial" w:hAnsi="Arial" w:cs="Arial"/>
          <w:color w:val="000000" w:themeColor="text1"/>
        </w:rPr>
        <w:fldChar w:fldCharType="separate"/>
      </w:r>
      <w:r w:rsidR="00640690" w:rsidRPr="00640690">
        <w:rPr>
          <w:rFonts w:ascii="Arial" w:hAnsi="Arial" w:cs="Arial"/>
          <w:noProof/>
          <w:color w:val="000000" w:themeColor="text1"/>
        </w:rPr>
        <w:t>(Matthiessen and Kirkegaard, 2006)</w:t>
      </w:r>
      <w:r w:rsidR="00640690">
        <w:rPr>
          <w:rFonts w:ascii="Arial" w:hAnsi="Arial" w:cs="Arial"/>
          <w:color w:val="000000" w:themeColor="text1"/>
        </w:rPr>
        <w:fldChar w:fldCharType="end"/>
      </w:r>
      <w:r w:rsidR="00650B43" w:rsidRPr="003418DA">
        <w:rPr>
          <w:rFonts w:ascii="Arial" w:hAnsi="Arial" w:cs="Arial"/>
        </w:rPr>
        <w:t xml:space="preserve"> </w:t>
      </w:r>
      <w:r w:rsidR="00EC630C" w:rsidRPr="00640690">
        <w:rPr>
          <w:rFonts w:ascii="Arial" w:hAnsi="Arial" w:cs="Arial"/>
        </w:rPr>
        <w:t>In the incorporation process</w:t>
      </w:r>
      <w:r w:rsidR="00D17C63" w:rsidRPr="00640690">
        <w:rPr>
          <w:rFonts w:ascii="Arial" w:hAnsi="Arial" w:cs="Arial"/>
        </w:rPr>
        <w:t>, the strategy of incorporation and proper timing is essential</w:t>
      </w:r>
      <w:r w:rsidR="00D17C63" w:rsidRPr="00474F68">
        <w:rPr>
          <w:rFonts w:ascii="Arial" w:hAnsi="Arial" w:cs="Arial"/>
        </w:rPr>
        <w:t xml:space="preserve">. </w:t>
      </w:r>
      <w:r w:rsidR="00D17C63" w:rsidRPr="00640690">
        <w:rPr>
          <w:rFonts w:ascii="Arial" w:hAnsi="Arial" w:cs="Arial"/>
        </w:rPr>
        <w:t>A</w:t>
      </w:r>
      <w:r w:rsidR="00D17C63" w:rsidRPr="00EF147D">
        <w:rPr>
          <w:rFonts w:ascii="Arial" w:hAnsi="Arial" w:cs="Arial"/>
        </w:rPr>
        <w:t xml:space="preserve"> study by</w:t>
      </w:r>
      <w:r w:rsidR="00640690">
        <w:rPr>
          <w:rFonts w:ascii="Arial" w:hAnsi="Arial" w:cs="Arial"/>
        </w:rPr>
        <w:t xml:space="preserve"> </w:t>
      </w:r>
      <w:r w:rsidR="00640690" w:rsidRPr="00B015F2">
        <w:rPr>
          <w:rFonts w:ascii="Arial" w:hAnsi="Arial" w:cs="Arial"/>
        </w:rPr>
        <w:fldChar w:fldCharType="begin" w:fldLock="1"/>
      </w:r>
      <w:r w:rsidR="00640690">
        <w:rPr>
          <w:rFonts w:ascii="Arial" w:hAnsi="Arial" w:cs="Arial"/>
        </w:rPr>
        <w:instrText>ADDIN CSL_CITATION {"citationItems":[{"id":"ITEM-1","itemData":{"author":[{"dropping-particle":"","family":"Matthiessen","given":"J N","non-dropping-particle":"","parse-names":false,"suffix":""},{"dropping-particle":"","family":"Warton","given":"B","non-dropping-particle":"","parse-names":false,"suffix":""},{"dropping-particle":"","family":"Shackleton","given":"M A","non-dropping-particle":"","parse-names":false,"suffix":""}],"container-title":"Agroindustria","id":"ITEM-1","issue":"3","issued":{"date-parts":[["2004"]]},"page":"277-280","title":"The importance of plant maceration and water addition in achieving high Brassica-derived isothiocyanate levels in soil","type":"article-journal","volume":"3"},"uris":["http://www.mendeley.com/documents/?uuid=38b3f63f-1644-4a6b-a347-9b677a6b119c"]}],"mendeley":{"formattedCitation":"(Matthiessen, Warton and Shackleton, 2004)","manualFormatting":"Matthiessen, Warton and Shackleton (2004)","plainTextFormattedCitation":"(Matthiessen, Warton and Shackleton, 2004)","previouslyFormattedCitation":"(Matthiessen, Warton and Shackleton, 2004)"},"properties":{"noteIndex":0},"schema":"https://github.com/citation-style-language/schema/raw/master/csl-citation.json"}</w:instrText>
      </w:r>
      <w:r w:rsidR="00640690" w:rsidRPr="00B015F2">
        <w:rPr>
          <w:rFonts w:ascii="Arial" w:hAnsi="Arial" w:cs="Arial"/>
        </w:rPr>
        <w:fldChar w:fldCharType="separate"/>
      </w:r>
      <w:r w:rsidR="00640690" w:rsidRPr="00B015F2">
        <w:rPr>
          <w:rFonts w:ascii="Arial" w:hAnsi="Arial" w:cs="Arial"/>
          <w:noProof/>
        </w:rPr>
        <w:t>Matthiessen, Warton and Shackleton (2004)</w:t>
      </w:r>
      <w:r w:rsidR="00640690" w:rsidRPr="00B015F2">
        <w:rPr>
          <w:rFonts w:ascii="Arial" w:hAnsi="Arial" w:cs="Arial"/>
        </w:rPr>
        <w:fldChar w:fldCharType="end"/>
      </w:r>
      <w:r w:rsidR="00640690" w:rsidRPr="00474F68">
        <w:rPr>
          <w:rFonts w:ascii="Arial" w:hAnsi="Arial" w:cs="Arial"/>
        </w:rPr>
        <w:t xml:space="preserve">, </w:t>
      </w:r>
      <w:r w:rsidR="00D17C63" w:rsidRPr="00B015F2">
        <w:rPr>
          <w:rFonts w:ascii="Arial" w:hAnsi="Arial" w:cs="Arial"/>
        </w:rPr>
        <w:t>sh</w:t>
      </w:r>
      <w:r w:rsidR="00D17C63" w:rsidRPr="00EF147D">
        <w:rPr>
          <w:rFonts w:ascii="Arial" w:hAnsi="Arial" w:cs="Arial"/>
        </w:rPr>
        <w:t>owed that approximately 100nmolg</w:t>
      </w:r>
      <w:r w:rsidR="00D17C63" w:rsidRPr="00EF147D">
        <w:rPr>
          <w:rFonts w:ascii="Arial" w:hAnsi="Arial" w:cs="Arial"/>
          <w:vertAlign w:val="superscript"/>
        </w:rPr>
        <w:t xml:space="preserve">-1 </w:t>
      </w:r>
      <w:r w:rsidR="00732581">
        <w:rPr>
          <w:rFonts w:ascii="Arial" w:hAnsi="Arial" w:cs="Arial"/>
          <w:vertAlign w:val="superscript"/>
        </w:rPr>
        <w:t>.</w:t>
      </w:r>
      <w:r w:rsidR="00D17C63" w:rsidRPr="00EF147D">
        <w:rPr>
          <w:rFonts w:ascii="Arial" w:hAnsi="Arial" w:cs="Arial"/>
        </w:rPr>
        <w:t>ITC soil concentration</w:t>
      </w:r>
      <w:r w:rsidR="00D17C63" w:rsidRPr="00EF147D">
        <w:rPr>
          <w:rFonts w:ascii="Arial" w:hAnsi="Arial" w:cs="Arial"/>
          <w:vertAlign w:val="superscript"/>
        </w:rPr>
        <w:t xml:space="preserve"> </w:t>
      </w:r>
      <w:r w:rsidR="00D17C63" w:rsidRPr="00EF147D">
        <w:rPr>
          <w:rFonts w:ascii="Arial" w:hAnsi="Arial" w:cs="Arial"/>
        </w:rPr>
        <w:t xml:space="preserve">was achieved following thorough pulverization and irrigation after incorporation of mustard. </w:t>
      </w:r>
      <w:r w:rsidR="00EA53AF">
        <w:rPr>
          <w:rFonts w:ascii="Arial" w:hAnsi="Arial" w:cs="Arial"/>
        </w:rPr>
        <w:t xml:space="preserve">Similarly, successful biofumigation was achieved by </w:t>
      </w:r>
      <w:r w:rsidR="00EA53AF">
        <w:rPr>
          <w:rFonts w:ascii="Arial" w:hAnsi="Arial" w:cs="Arial"/>
          <w:color w:val="000000" w:themeColor="text1"/>
        </w:rPr>
        <w:t>c</w:t>
      </w:r>
      <w:r w:rsidR="00EA53AF" w:rsidRPr="002B3D8A">
        <w:rPr>
          <w:rFonts w:ascii="Arial" w:hAnsi="Arial" w:cs="Arial"/>
          <w:color w:val="000000" w:themeColor="text1"/>
        </w:rPr>
        <w:t xml:space="preserve">ombined effect of using Indian mustard </w:t>
      </w:r>
      <w:r w:rsidR="00EA53AF" w:rsidRPr="6AC1B2C3">
        <w:rPr>
          <w:rFonts w:ascii="Arial" w:hAnsi="Arial" w:cs="Arial"/>
          <w:i/>
          <w:iCs/>
          <w:color w:val="000000" w:themeColor="text1"/>
        </w:rPr>
        <w:t>Brassica juncea</w:t>
      </w:r>
      <w:r w:rsidR="00EA53AF" w:rsidRPr="002B3D8A">
        <w:rPr>
          <w:rFonts w:ascii="Arial" w:hAnsi="Arial" w:cs="Arial"/>
          <w:color w:val="000000" w:themeColor="text1"/>
        </w:rPr>
        <w:t xml:space="preserve"> and intense mechanical tillage during green manuring </w:t>
      </w:r>
      <w:r w:rsidR="001F77D0">
        <w:rPr>
          <w:rFonts w:ascii="Arial" w:hAnsi="Arial" w:cs="Arial"/>
          <w:color w:val="000000" w:themeColor="text1"/>
        </w:rPr>
        <w:t xml:space="preserve">which effectively </w:t>
      </w:r>
      <w:r w:rsidR="00EA53AF" w:rsidRPr="002B3D8A">
        <w:rPr>
          <w:rFonts w:ascii="Arial" w:hAnsi="Arial" w:cs="Arial"/>
          <w:color w:val="000000" w:themeColor="text1"/>
        </w:rPr>
        <w:t>decreas</w:t>
      </w:r>
      <w:r w:rsidR="001F77D0">
        <w:rPr>
          <w:rFonts w:ascii="Arial" w:hAnsi="Arial" w:cs="Arial"/>
          <w:color w:val="000000" w:themeColor="text1"/>
        </w:rPr>
        <w:t xml:space="preserve">ed </w:t>
      </w:r>
      <w:r w:rsidR="00EA53AF" w:rsidRPr="002B3D8A">
        <w:rPr>
          <w:rFonts w:ascii="Arial" w:hAnsi="Arial" w:cs="Arial"/>
          <w:color w:val="000000" w:themeColor="text1"/>
        </w:rPr>
        <w:t xml:space="preserve"> the population densities of </w:t>
      </w:r>
      <w:r w:rsidR="00EA53AF" w:rsidRPr="6AC1B2C3">
        <w:rPr>
          <w:rFonts w:ascii="Arial" w:hAnsi="Arial" w:cs="Arial"/>
          <w:i/>
          <w:iCs/>
          <w:color w:val="000000" w:themeColor="text1"/>
        </w:rPr>
        <w:t>Trichodorus</w:t>
      </w:r>
      <w:r w:rsidR="00EA53AF" w:rsidRPr="002B3D8A">
        <w:rPr>
          <w:rFonts w:ascii="Arial" w:hAnsi="Arial" w:cs="Arial"/>
          <w:color w:val="000000" w:themeColor="text1"/>
        </w:rPr>
        <w:t xml:space="preserve"> spp and </w:t>
      </w:r>
      <w:r w:rsidR="00EA53AF" w:rsidRPr="6AC1B2C3">
        <w:rPr>
          <w:rFonts w:ascii="Arial" w:hAnsi="Arial" w:cs="Arial"/>
          <w:i/>
          <w:iCs/>
          <w:color w:val="000000" w:themeColor="text1"/>
        </w:rPr>
        <w:t xml:space="preserve">Tylenchorynchus </w:t>
      </w:r>
      <w:r w:rsidR="00EA53AF" w:rsidRPr="002B3D8A">
        <w:rPr>
          <w:rFonts w:ascii="Arial" w:hAnsi="Arial" w:cs="Arial"/>
          <w:color w:val="000000" w:themeColor="text1"/>
        </w:rPr>
        <w:lastRenderedPageBreak/>
        <w:t xml:space="preserve">spp rather than ITCs of </w:t>
      </w:r>
      <w:r w:rsidR="00EA53AF" w:rsidRPr="6AC1B2C3">
        <w:rPr>
          <w:rFonts w:ascii="Arial" w:hAnsi="Arial" w:cs="Arial"/>
          <w:i/>
          <w:iCs/>
          <w:color w:val="000000" w:themeColor="text1"/>
        </w:rPr>
        <w:t>B. juncea</w:t>
      </w:r>
      <w:r w:rsidR="00EA53AF" w:rsidRPr="002B3D8A">
        <w:rPr>
          <w:rFonts w:ascii="Arial" w:hAnsi="Arial" w:cs="Arial"/>
          <w:color w:val="000000" w:themeColor="text1"/>
        </w:rPr>
        <w:t xml:space="preserve"> alone </w:t>
      </w:r>
      <w:r w:rsidR="00EA53AF" w:rsidRPr="002B3D8A">
        <w:rPr>
          <w:rFonts w:ascii="Arial" w:hAnsi="Arial" w:cs="Arial"/>
          <w:color w:val="000000" w:themeColor="text1"/>
        </w:rPr>
        <w:fldChar w:fldCharType="begin" w:fldLock="1"/>
      </w:r>
      <w:r w:rsidR="00EA53AF">
        <w:rPr>
          <w:rFonts w:ascii="Arial" w:hAnsi="Arial" w:cs="Arial"/>
          <w:color w:val="000000" w:themeColor="text1"/>
        </w:rPr>
        <w:instrText>ADDIN CSL_CITATION {"citationItems":[{"id":"ITEM-1","itemData":{"DOI":"10.1016/j.soilbio.2013.10.008","ISSN":"00380717","abstract":"While soil biota play an essential role in ecosystem services, the plant-pathogenic fraction may have a large, negative economic impact on food and feed production. For decades, the use of so-called fumigants (=general biocides) has been a common practice for controlling soil pathogens, including plant-parasitic nematodes. Due to their adverse environmental impact, many fumigants have been banned. Biofumigation - a possible alternative - encompasses the incorporation of mulched Brassicaceous debris into topsoil, and its mode of action is based on the conversion of glucosinolates (GSLs) into nematicidal isothiocyanates (ITCs). Contrary to the relatively well-characterized impact of biofumigation on plant-parasitic nematodes, the effects on the non-parasitic part of the community is largely unknown. We investigated the field effects of biofumigation with four Indian mustard (Brassica juncea) cultivars on both plant-parasitic and free-living nematodes. Prior to biofumigation, GSL contents of B.juncea were determined, and from this, the expected ITC concentrations in the topsoil were calculated. As positive controls, two concentrations of 2-propenyl ITC - corresponding to the average expected ITC concentration, and two times the concentration predicted for the highest producer - were directly applied to wheat (=non Brassica control) plots. Although biofumigation resulted in significant changes for most nematode taxa, none of these shifts could be attributed to the release of ITCs. Moreover, none of the two directly applied ITC concentrations resulted in effects on the nematode community distinct from the water control. We therefore conclude that the observed changes in nematode assemblages are related to intense mechanical disturbance, green manure and the absence of host plants for obligatory plant-parasitic nematodes, rather than to the release of ITCs. © 2013 Elsevier Ltd.","author":[{"dropping-particle":"","family":"Vervoort","given":"Mariëtte T.W.","non-dropping-particle":"","parse-names":false,"suffix":""},{"dropping-particle":"","family":"Vonk","given":"J. Arie","non-dropping-particle":"","parse-names":false,"suffix":""},{"dropping-particle":"","family":"Brolsma","given":"Karst M.","non-dropping-particle":"","parse-names":false,"suffix":""},{"dropping-particle":"","family":"Schütze","given":"Wolfgang","non-dropping-particle":"","parse-names":false,"suffix":""},{"dropping-particle":"","family":"Quist","given":"Casper W.","non-dropping-particle":"","parse-names":false,"suffix":""},{"dropping-particle":"","family":"Goede","given":"Ron G.M.","non-dropping-particle":"De","parse-names":false,"suffix":""},{"dropping-particle":"","family":"Hoffland","given":"Ellis","non-dropping-particle":"","parse-names":false,"suffix":""},{"dropping-particle":"","family":"Bakker","given":"Jaap","non-dropping-particle":"","parse-names":false,"suffix":""},{"dropping-particle":"","family":"Mulder","given":"Christian","non-dropping-particle":"","parse-names":false,"suffix":""},{"dropping-particle":"","family":"Hallmann","given":"Johannes","non-dropping-particle":"","parse-names":false,"suffix":""},{"dropping-particle":"","family":"Helder","given":"Johannes","non-dropping-particle":"","parse-names":false,"suffix":""}],"container-title":"Soil Biology and Biochemistry","id":"ITEM-1","issued":{"date-parts":[["2014","1"]]},"page":"200-207","title":"Release of isothiocyanates does not explain the effects of biofumigation with Indian mustard cultivars on nematode assemblages","type":"article-journal","volume":"68"},"uris":["http://www.mendeley.com/documents/?uuid=1ff88e34-9a2a-379e-94b8-99981ad80ddb"]}],"mendeley":{"formattedCitation":"(Vervoort &lt;i&gt;et al.&lt;/i&gt;, 2014)","manualFormatting":"(Vervoort et al., 2014","plainTextFormattedCitation":"(Vervoort et al., 2014)","previouslyFormattedCitation":"(Vervoort &lt;i&gt;et al.&lt;/i&gt;, 2014)"},"properties":{"noteIndex":0},"schema":"https://github.com/citation-style-language/schema/raw/master/csl-citation.json"}</w:instrText>
      </w:r>
      <w:r w:rsidR="00EA53AF" w:rsidRPr="002B3D8A">
        <w:rPr>
          <w:rFonts w:ascii="Arial" w:hAnsi="Arial" w:cs="Arial"/>
          <w:color w:val="000000" w:themeColor="text1"/>
        </w:rPr>
        <w:fldChar w:fldCharType="separate"/>
      </w:r>
      <w:r w:rsidR="00EA53AF" w:rsidRPr="002B3D8A">
        <w:rPr>
          <w:rFonts w:ascii="Arial" w:hAnsi="Arial" w:cs="Arial"/>
          <w:noProof/>
          <w:color w:val="000000" w:themeColor="text1"/>
          <w:lang w:val="de-DE"/>
        </w:rPr>
        <w:t>(Vervoort et al., 2014</w:t>
      </w:r>
      <w:r w:rsidR="00EA53AF" w:rsidRPr="002B3D8A">
        <w:rPr>
          <w:rFonts w:ascii="Arial" w:hAnsi="Arial" w:cs="Arial"/>
          <w:color w:val="000000" w:themeColor="text1"/>
        </w:rPr>
        <w:fldChar w:fldCharType="end"/>
      </w:r>
      <w:r w:rsidR="00EA53AF" w:rsidRPr="002B3D8A">
        <w:rPr>
          <w:rFonts w:ascii="Arial" w:hAnsi="Arial" w:cs="Arial"/>
          <w:color w:val="000000" w:themeColor="text1"/>
          <w:lang w:val="de-DE"/>
        </w:rPr>
        <w:t>;</w:t>
      </w:r>
      <w:r w:rsidR="00EA53AF" w:rsidRPr="002B3D8A">
        <w:rPr>
          <w:rFonts w:ascii="Arial" w:hAnsi="Arial" w:cs="Arial"/>
          <w:color w:val="000000" w:themeColor="text1"/>
        </w:rPr>
        <w:fldChar w:fldCharType="begin" w:fldLock="1"/>
      </w:r>
      <w:r w:rsidR="00D36042">
        <w:rPr>
          <w:rFonts w:ascii="Arial" w:hAnsi="Arial" w:cs="Arial"/>
          <w:color w:val="000000" w:themeColor="text1"/>
          <w:lang w:val="de-DE"/>
        </w:rPr>
        <w:instrText>ADDIN CSL_CITATION {"citationItems":[{"id":"ITEM-1","itemData":{"DOI":"10.1016/j.cpb.2019.02.001","ISSN":"22146628","abstract":"Plant-parasitic nematodes (PPNs)are considered as one of the major limiting factors in global crop production system. Due to the introduction of tighter limits in registering new biocidal molecules and a gradual phase-out of nematicides for high environmental impact, considerations for non-chemical alternatives have been realised. The biofumigation technique which involves the incorporation of mechanically chopped brassicaceous plant material into the soil to control soilborne nematodes offers an attractive alternative for PPN management. Biofumigant effect is mainly caused by the volatile and toxic isothiocynates originated from the hydrolysis of secondary metabolite glucosinolate present in the Brassica tissues. The scope of biofumigation has been expanded to other non-brassica plants which produce volatile pathogen-suppressing molecules. The graminaceous plants such as sorghum and sudangrass are known to produce nematicidal cyanides via enzymatic hydrolysis of precursor cyanogenic glycoside/dhurrin. The allelopathic plant marigold is known to produce α-terthienyl, which has shown potential biofumigation effect against PPNs. The objective of this review is to detail the tactics used to manipulate various brassica and non-brassica biofumigant crops and to present the mechanisms responsible for PPN suppression by these crops. The ecological aspects underpinning the responses of PPNs to these crops were not austerely discussed in earlier literature. Herein, we present a holistic assessment of the impact of biofumigation technique in managing PPNs in various crops and explore the employability of this technique in integrated nematode management (INM)practices.","author":[{"dropping-particle":"","family":"Dutta","given":"Tushar K.","non-dropping-particle":"","parse-names":false,"suffix":""},{"dropping-particle":"","family":"Khan","given":"Matiyar R.","non-dropping-particle":"","parse-names":false,"suffix":""},{"dropping-particle":"","family":"Phani","given":"Victor","non-dropping-particle":"","parse-names":false,"suffix":""}],"container-title":"Current Plant Biology","id":"ITEM-1","issue":"February","issued":{"date-parts":[["2019"]]},"page":"17-32","publisher":"Elsevier","title":"Plant-parasitic nematode management via biofumigation using brassica and non-brassica plants: Current status and future prospects","type":"article-journal","volume":"17"},"uris":["http://www.mendeley.com/documents/?uuid=da3fa037-8177-4777-80c8-9f65769c50a4"]}],"mendeley":{"formattedCitation":"(Dutta, Khan and Phani, 2019)","manualFormatting":"Dutta et al., 2019b)","plainTextFormattedCitation":"(Dutta, Khan and Phani, 2019)","previouslyFormattedCitation":"(Dutta, Khan and Phani, 2019)"},"properties":{"noteIndex":0},"schema":"https://github.com/citation-style-language/schema/raw/master/csl-citation.json"}</w:instrText>
      </w:r>
      <w:r w:rsidR="00EA53AF" w:rsidRPr="002B3D8A">
        <w:rPr>
          <w:rFonts w:ascii="Arial" w:hAnsi="Arial" w:cs="Arial"/>
          <w:color w:val="000000" w:themeColor="text1"/>
        </w:rPr>
        <w:fldChar w:fldCharType="separate"/>
      </w:r>
      <w:r w:rsidR="00EA53AF" w:rsidRPr="002B3D8A">
        <w:rPr>
          <w:rFonts w:ascii="Arial" w:hAnsi="Arial" w:cs="Arial"/>
          <w:noProof/>
          <w:color w:val="000000" w:themeColor="text1"/>
          <w:lang w:val="de-DE"/>
        </w:rPr>
        <w:t>Dutta et al., 2019b)</w:t>
      </w:r>
      <w:r w:rsidR="00EA53AF" w:rsidRPr="002B3D8A">
        <w:rPr>
          <w:rFonts w:ascii="Arial" w:hAnsi="Arial" w:cs="Arial"/>
          <w:color w:val="000000" w:themeColor="text1"/>
        </w:rPr>
        <w:fldChar w:fldCharType="end"/>
      </w:r>
      <w:r w:rsidR="00EA53AF">
        <w:rPr>
          <w:rFonts w:ascii="Arial" w:hAnsi="Arial" w:cs="Arial"/>
          <w:color w:val="000000" w:themeColor="text1"/>
        </w:rPr>
        <w:t xml:space="preserve">. On the contrary, </w:t>
      </w:r>
      <w:r w:rsidR="00EA53AF" w:rsidRPr="00EF147D">
        <w:rPr>
          <w:rFonts w:ascii="Arial" w:hAnsi="Arial" w:cs="Arial"/>
        </w:rPr>
        <w:t xml:space="preserve">a study by </w:t>
      </w:r>
      <w:r w:rsidR="00DA3218" w:rsidRPr="00AB1934">
        <w:rPr>
          <w:rFonts w:ascii="Arial" w:hAnsi="Arial" w:cs="Arial"/>
        </w:rPr>
        <w:fldChar w:fldCharType="begin" w:fldLock="1"/>
      </w:r>
      <w:r w:rsidR="00DA3218" w:rsidRPr="00AB1934">
        <w:rPr>
          <w:rFonts w:ascii="Arial" w:hAnsi="Arial" w:cs="Arial"/>
        </w:rPr>
        <w:instrText>ADDIN CSL_CITATION {"citationItems":[{"id":"ITEM-1","itemData":{"DOI":"10.1021/jf9812679","ISSN":"00218561","PMID":"10552731","abstract":"Plant-derived allelochemicals such as those produced by glucosinolate hydrolysis in Brassica napus, or rapeseed, are viable alternatives to synthetic compounds for the control of soil-borne plant pests. However, allelochemical production and residence times in field soils have not been determined. Soil samples were taken at 0-7.5 and 7.5-15 cm during a period of 3 weeks following plow-down of two winter rapeseed cultivars (Humus and Dwarf Essex). Soil samples were extracted with dichloromethane and analyzed using gas chromatography. Nine glucosinolate degradation products were identified - five isothiocyanates, three nitriles, and one oxazolidinethione. Maximum concentrations were observed 30 h after plow-down. Compounds derived from 2- phenylethyl glucosinolate, the principal glucosinolate in rapeseed roots, dominated the profile of degradation products. Shoot glucosinolates left few traces. This indicates that rapeseed roots may be a more important source of toxic fumigants than above-ground parts of the plant.","author":[{"dropping-particle":"","family":"Gardiner","given":"J. B.","non-dropping-particle":"","parse-names":false,"suffix":""},{"dropping-particle":"","family":"Morra","given":"M. J.","non-dropping-particle":"","parse-names":false,"suffix":""},{"dropping-particle":"V.","family":"Eberlein","given":"C.","non-dropping-particle":"","parse-names":false,"suffix":""},{"dropping-particle":"","family":"Brown","given":"P. D.","non-dropping-particle":"","parse-names":false,"suffix":""},{"dropping-particle":"","family":"Borek","given":"V.","non-dropping-particle":"","parse-names":false,"suffix":""}],"container-title":"Journal of Agricultural and Food Chemistry","id":"ITEM-1","issue":"9","issued":{"date-parts":[["1999"]]},"page":"3837-3842","title":"Allelochemicals released in soil following incorporation of rapeseed (Brassica napus) green manures","type":"article-journal","volume":"47"},"uris":["http://www.mendeley.com/documents/?uuid=6b358f0f-4b4a-4327-ba72-438bcb52d52e"]}],"mendeley":{"formattedCitation":"(Gardiner &lt;i&gt;et al.&lt;/i&gt;, 1999)","manualFormatting":"Gardiner et al., (1999)","plainTextFormattedCitation":"(Gardiner et al., 1999)","previouslyFormattedCitation":"(Gardiner &lt;i&gt;et al.&lt;/i&gt;, 1999)"},"properties":{"noteIndex":0},"schema":"https://github.com/citation-style-language/schema/raw/master/csl-citation.json"}</w:instrText>
      </w:r>
      <w:r w:rsidR="00DA3218" w:rsidRPr="00AB1934">
        <w:rPr>
          <w:rFonts w:ascii="Arial" w:hAnsi="Arial" w:cs="Arial"/>
        </w:rPr>
        <w:fldChar w:fldCharType="separate"/>
      </w:r>
      <w:r w:rsidR="00DA3218" w:rsidRPr="00AB1934">
        <w:rPr>
          <w:rFonts w:ascii="Arial" w:hAnsi="Arial" w:cs="Arial"/>
          <w:noProof/>
        </w:rPr>
        <w:t xml:space="preserve">Gardiner </w:t>
      </w:r>
      <w:r w:rsidR="00DA3218" w:rsidRPr="6AC1B2C3">
        <w:rPr>
          <w:rFonts w:ascii="Arial" w:hAnsi="Arial" w:cs="Arial"/>
          <w:i/>
          <w:iCs/>
          <w:noProof/>
        </w:rPr>
        <w:t>et al.</w:t>
      </w:r>
      <w:r w:rsidR="00DA3218" w:rsidRPr="00AB1934">
        <w:rPr>
          <w:rFonts w:ascii="Arial" w:hAnsi="Arial" w:cs="Arial"/>
          <w:noProof/>
        </w:rPr>
        <w:t>, (1999)</w:t>
      </w:r>
      <w:r w:rsidR="00DA3218" w:rsidRPr="00AB1934">
        <w:rPr>
          <w:rFonts w:ascii="Arial" w:hAnsi="Arial" w:cs="Arial"/>
        </w:rPr>
        <w:fldChar w:fldCharType="end"/>
      </w:r>
      <w:r w:rsidR="00DA3218" w:rsidRPr="00AB1934">
        <w:rPr>
          <w:rFonts w:ascii="Arial" w:hAnsi="Arial" w:cs="Arial"/>
        </w:rPr>
        <w:t>,</w:t>
      </w:r>
      <w:r w:rsidR="00EA53AF" w:rsidRPr="00616CDC">
        <w:rPr>
          <w:rFonts w:ascii="Arial" w:hAnsi="Arial" w:cs="Arial"/>
        </w:rPr>
        <w:t xml:space="preserve"> </w:t>
      </w:r>
      <w:r w:rsidR="00EA53AF" w:rsidRPr="00AB1934">
        <w:rPr>
          <w:rFonts w:ascii="Arial" w:hAnsi="Arial" w:cs="Arial"/>
        </w:rPr>
        <w:t>record</w:t>
      </w:r>
      <w:r w:rsidR="00EA53AF" w:rsidRPr="00EF147D">
        <w:rPr>
          <w:rFonts w:ascii="Arial" w:hAnsi="Arial" w:cs="Arial"/>
        </w:rPr>
        <w:t>ed a different concentration of  1nmolg</w:t>
      </w:r>
      <w:r w:rsidR="00EA53AF" w:rsidRPr="00EF147D">
        <w:rPr>
          <w:rFonts w:ascii="Arial" w:hAnsi="Arial" w:cs="Arial"/>
          <w:vertAlign w:val="superscript"/>
        </w:rPr>
        <w:t xml:space="preserve">-1 </w:t>
      </w:r>
      <w:r w:rsidR="00EA53AF" w:rsidRPr="00646DDF">
        <w:rPr>
          <w:rFonts w:ascii="Arial" w:hAnsi="Arial" w:cs="Arial"/>
        </w:rPr>
        <w:t>following</w:t>
      </w:r>
      <w:r w:rsidR="00EA53AF" w:rsidRPr="00EF147D">
        <w:rPr>
          <w:rFonts w:ascii="Arial" w:hAnsi="Arial" w:cs="Arial"/>
        </w:rPr>
        <w:t xml:space="preserve"> plough down of winter rapeseed which is below the recommended rate of 260 pounds per acre of Methyl ITC required for effective suppression of pests and pathogens</w:t>
      </w:r>
      <w:r w:rsidR="00EA53AF">
        <w:rPr>
          <w:rFonts w:ascii="Arial" w:hAnsi="Arial" w:cs="Arial"/>
        </w:rPr>
        <w:t>. Nevertheless,</w:t>
      </w:r>
      <w:r w:rsidR="00222B36">
        <w:rPr>
          <w:rFonts w:ascii="Arial" w:hAnsi="Arial" w:cs="Arial"/>
        </w:rPr>
        <w:t xml:space="preserve"> release of low concentrations over a long period of time can ultimately lead to suppression of </w:t>
      </w:r>
      <w:r w:rsidR="00EF147D">
        <w:rPr>
          <w:rFonts w:ascii="Arial" w:hAnsi="Arial" w:cs="Arial"/>
        </w:rPr>
        <w:t>pests and pathogens</w:t>
      </w:r>
      <w:r w:rsidR="00DA3218">
        <w:rPr>
          <w:rFonts w:ascii="Arial" w:hAnsi="Arial" w:cs="Arial"/>
        </w:rPr>
        <w:t xml:space="preserve"> </w:t>
      </w:r>
      <w:r w:rsidR="00DA3218">
        <w:rPr>
          <w:rFonts w:ascii="Arial" w:hAnsi="Arial" w:cs="Arial"/>
        </w:rPr>
        <w:fldChar w:fldCharType="begin" w:fldLock="1"/>
      </w:r>
      <w:r w:rsidR="00DA3218">
        <w:rPr>
          <w:rFonts w:ascii="Arial" w:hAnsi="Arial" w:cs="Arial"/>
        </w:rPr>
        <w:instrText>ADDIN CSL_CITATION {"citationItems":[{"id":"ITEM-1","itemData":{"ISSN":"0261-2194","author":[{"dropping-particle":"","family":"Mattner","given":"S W","non-dropping-particle":"","parse-names":false,"suffix":""},{"dropping-particle":"","family":"Porter","given":"I J","non-dropping-particle":"","parse-names":false,"suffix":""},{"dropping-particle":"","family":"Gounder","given":"R K","non-dropping-particle":"","parse-names":false,"suffix":""},{"dropping-particle":"","family":"Shanks","given":"A L","non-dropping-particle":"","parse-names":false,"suffix":""},{"dropping-particle":"","family":"Wren","given":"D J","non-dropping-particle":"","parse-names":false,"suffix":""},{"dropping-particle":"","family":"Allen","given":"D","non-dropping-particle":"","parse-names":false,"suffix":""}],"container-title":"Crop Protection","id":"ITEM-1","issue":"8","issued":{"date-parts":[["2008"]]},"page":"1165-1173","publisher":"Elsevier","title":"Factors that impact on the ability of biofumigants to suppress fungal pathogens and weeds of strawberry","type":"article-journal","volume":"27"},"uris":["http://www.mendeley.com/documents/?uuid=68d6f00c-2050-4e29-8383-576ffb0a4e3f"]}],"mendeley":{"formattedCitation":"(Mattner &lt;i&gt;et al.&lt;/i&gt;, 2008)","plainTextFormattedCitation":"(Mattner et al., 2008)","previouslyFormattedCitation":"(Mattner &lt;i&gt;et al.&lt;/i&gt;, 2008)"},"properties":{"noteIndex":0},"schema":"https://github.com/citation-style-language/schema/raw/master/csl-citation.json"}</w:instrText>
      </w:r>
      <w:r w:rsidR="00DA3218">
        <w:rPr>
          <w:rFonts w:ascii="Arial" w:hAnsi="Arial" w:cs="Arial"/>
        </w:rPr>
        <w:fldChar w:fldCharType="separate"/>
      </w:r>
      <w:r w:rsidR="00DA3218" w:rsidRPr="00DA3218">
        <w:rPr>
          <w:rFonts w:ascii="Arial" w:hAnsi="Arial" w:cs="Arial"/>
          <w:noProof/>
        </w:rPr>
        <w:t xml:space="preserve">(Mattner </w:t>
      </w:r>
      <w:r w:rsidR="00DA3218" w:rsidRPr="6AC1B2C3">
        <w:rPr>
          <w:rFonts w:ascii="Arial" w:hAnsi="Arial" w:cs="Arial"/>
          <w:i/>
          <w:iCs/>
          <w:noProof/>
        </w:rPr>
        <w:t>et al.</w:t>
      </w:r>
      <w:r w:rsidR="00DA3218" w:rsidRPr="00DA3218">
        <w:rPr>
          <w:rFonts w:ascii="Arial" w:hAnsi="Arial" w:cs="Arial"/>
          <w:noProof/>
        </w:rPr>
        <w:t>, 2008)</w:t>
      </w:r>
      <w:r w:rsidR="00DA3218">
        <w:rPr>
          <w:rFonts w:ascii="Arial" w:hAnsi="Arial" w:cs="Arial"/>
        </w:rPr>
        <w:fldChar w:fldCharType="end"/>
      </w:r>
      <w:r w:rsidR="00EF147D">
        <w:rPr>
          <w:rFonts w:ascii="Arial" w:hAnsi="Arial" w:cs="Arial"/>
        </w:rPr>
        <w:t xml:space="preserve"> </w:t>
      </w:r>
      <w:r w:rsidR="00EF147D" w:rsidRPr="00EF147D">
        <w:rPr>
          <w:rFonts w:ascii="Arial" w:hAnsi="Arial" w:cs="Arial"/>
        </w:rPr>
        <w:t xml:space="preserve">This is especially in the case of partial biofumigation, where brassica crops are grown but not incorporated. GSLs released from the plant roots during its growth </w:t>
      </w:r>
      <w:r w:rsidR="00A71AD0">
        <w:rPr>
          <w:rFonts w:ascii="Arial" w:hAnsi="Arial" w:cs="Arial"/>
        </w:rPr>
        <w:t xml:space="preserve">period </w:t>
      </w:r>
      <w:r w:rsidR="00EF147D" w:rsidRPr="00EF147D">
        <w:rPr>
          <w:rFonts w:ascii="Arial" w:hAnsi="Arial" w:cs="Arial"/>
        </w:rPr>
        <w:t>are slowly hydrolysed by enzymes released by soil microbes</w:t>
      </w:r>
      <w:r w:rsidR="00A71AD0">
        <w:rPr>
          <w:rFonts w:ascii="Arial" w:hAnsi="Arial" w:cs="Arial"/>
        </w:rPr>
        <w:t>,</w:t>
      </w:r>
      <w:r w:rsidR="00640690">
        <w:rPr>
          <w:rFonts w:ascii="Arial" w:hAnsi="Arial" w:cs="Arial"/>
        </w:rPr>
        <w:fldChar w:fldCharType="begin" w:fldLock="1"/>
      </w:r>
      <w:r w:rsidR="00DA3218">
        <w:rPr>
          <w:rFonts w:ascii="Arial" w:hAnsi="Arial" w:cs="Arial"/>
        </w:rPr>
        <w:instrText>ADDIN CSL_CITATION {"citationItems":[{"id":"ITEM-1","itemData":{"DOI":"10.1016/j.apsoil.2015.05.009","abstract":"Inter-cropping mustard and oilseed radish in potato production has been shown to suppress potato cyst nematode (PCN) reproduction in field plots. This suppressive effect is mostly attributed to the release of glucosinolate (GSL) hydrolysis products such as isothiocyanates, following chopping and incorporation of the crop biomass. This study examined the degradation of sinigrin introduced into soil where Indian mustard and oilseed radish were cultivated and the effect on PCN suppression. Glucosinolate degradation was measured by introducing sinigrin into the soil samples pre-planting, pre-and post-incorporation of the brassicas, while the soil microbial activity was quantified as the concentration of fluorescein di-acetate (FDA) g −1 oven dry soil. Sinigrin was significantly (P &lt; 0.001) degraded pre-and post-incorporation of the brassicas cultivated in unsterilized soil. The total microbial activity increased significantly (P &lt; 0.001) pre-and post-incorporation of brassicas when compared with fallow controls. Unsterilized soils planted with oilseed radish resulted in a significant (P &lt; 0.027) suppression of G. pallida encysted eggs (30-35% mortality). Microbial activity correlated positively with G. pallida mortality (R 2 = 0.94, P &lt; 0.001), but inversely with sinigrin degradation. This study has revealed that brassicas used for biofumigation may affect soil borne pests and pathogens not just after incorporation of the crop residues, but also during active growth of these plants.","author":[{"dropping-particle":"","family":"Ngala","given":"Bruno M","non-dropping-particle":"","parse-names":false,"suffix":""},{"dropping-particle":"","family":"Woods","given":"Simon R","non-dropping-particle":"","parse-names":false,"suffix":""},{"dropping-particle":"","family":"Back","given":"Matthew A","non-dropping-particle":"","parse-names":false,"suffix":""}],"container-title":"Applied Soil Ecology","id":"ITEM-1","issued":{"date-parts":[["2015"]]},"page":"9-14","title":"Sinigrin degradation and G. pallida suppression in soil cultivated with brassicas under controlled environmental conditions","type":"article-journal","volume":"95"},"uris":["http://www.mendeley.com/documents/?uuid=c9786827-ed44-3862-8c15-8f8b487ec9b4"]}],"mendeley":{"formattedCitation":"(Ngala, Woods and Back, 2015)","plainTextFormattedCitation":"(Ngala, Woods and Back, 2015)","previouslyFormattedCitation":"(Ngala, Woods and Back, 2015)"},"properties":{"noteIndex":0},"schema":"https://github.com/citation-style-language/schema/raw/master/csl-citation.json"}</w:instrText>
      </w:r>
      <w:r w:rsidR="00640690">
        <w:rPr>
          <w:rFonts w:ascii="Arial" w:hAnsi="Arial" w:cs="Arial"/>
        </w:rPr>
        <w:fldChar w:fldCharType="separate"/>
      </w:r>
      <w:r w:rsidR="00640690" w:rsidRPr="00640690">
        <w:rPr>
          <w:rFonts w:ascii="Arial" w:hAnsi="Arial" w:cs="Arial"/>
          <w:noProof/>
        </w:rPr>
        <w:t>(Ngala, Woods and Back, 2015)</w:t>
      </w:r>
      <w:r w:rsidR="00640690">
        <w:rPr>
          <w:rFonts w:ascii="Arial" w:hAnsi="Arial" w:cs="Arial"/>
        </w:rPr>
        <w:fldChar w:fldCharType="end"/>
      </w:r>
      <w:r w:rsidR="00A71AD0">
        <w:rPr>
          <w:rFonts w:ascii="Arial" w:hAnsi="Arial" w:cs="Arial"/>
        </w:rPr>
        <w:t xml:space="preserve"> This strategy is beneficial to winter hardy crops biofumigants such as </w:t>
      </w:r>
      <w:r w:rsidR="00A71AD0" w:rsidRPr="6AC1B2C3">
        <w:rPr>
          <w:rFonts w:ascii="Arial" w:hAnsi="Arial" w:cs="Arial"/>
          <w:i/>
          <w:iCs/>
        </w:rPr>
        <w:t>Raphanus sativus</w:t>
      </w:r>
      <w:r w:rsidR="00A71AD0">
        <w:rPr>
          <w:rFonts w:ascii="Arial" w:hAnsi="Arial" w:cs="Arial"/>
        </w:rPr>
        <w:t xml:space="preserve"> which was found to have large root biomass hence release of good amounts of GSLs which effectively in suppressed of </w:t>
      </w:r>
      <w:r w:rsidR="00A71AD0" w:rsidRPr="6AC1B2C3">
        <w:rPr>
          <w:rFonts w:ascii="Arial" w:hAnsi="Arial" w:cs="Arial"/>
          <w:i/>
          <w:iCs/>
        </w:rPr>
        <w:t>Globodera pallida</w:t>
      </w:r>
      <w:r w:rsidR="00A71AD0">
        <w:rPr>
          <w:rFonts w:ascii="Arial" w:hAnsi="Arial" w:cs="Arial"/>
        </w:rPr>
        <w:t xml:space="preserve"> </w:t>
      </w:r>
      <w:r w:rsidR="00DA3218">
        <w:rPr>
          <w:rFonts w:ascii="Arial" w:hAnsi="Arial" w:cs="Arial"/>
        </w:rPr>
        <w:fldChar w:fldCharType="begin" w:fldLock="1"/>
      </w:r>
      <w:r w:rsidR="00DA3218">
        <w:rPr>
          <w:rFonts w:ascii="Arial" w:hAnsi="Arial" w:cs="Arial"/>
        </w:rPr>
        <w:instrText>ADDIN CSL_CITATION {"citationItems":[{"id":"ITEM-1","itemData":{"DOI":"10.1016/j.apsoil.2015.05.009","abstract":"Inter-cropping mustard and oilseed radish in potato production has been shown to suppress potato cyst nematode (PCN) reproduction in field plots. This suppressive effect is mostly attributed to the release of glucosinolate (GSL) hydrolysis products such as isothiocyanates, following chopping and incorporation of the crop biomass. This study examined the degradation of sinigrin introduced into soil where Indian mustard and oilseed radish were cultivated and the effect on PCN suppression. Glucosinolate degradation was measured by introducing sinigrin into the soil samples pre-planting, pre-and post-incorporation of the brassicas, while the soil microbial activity was quantified as the concentration of fluorescein di-acetate (FDA) g −1 oven dry soil. Sinigrin was significantly (P &lt; 0.001) degraded pre-and post-incorporation of the brassicas cultivated in unsterilized soil. The total microbial activity increased significantly (P &lt; 0.001) pre-and post-incorporation of brassicas when compared with fallow controls. Unsterilized soils planted with oilseed radish resulted in a significant (P &lt; 0.027) suppression of G. pallida encysted eggs (30-35% mortality). Microbial activity correlated positively with G. pallida mortality (R 2 = 0.94, P &lt; 0.001), but inversely with sinigrin degradation. This study has revealed that brassicas used for biofumigation may affect soil borne pests and pathogens not just after incorporation of the crop residues, but also during active growth of these plants.","author":[{"dropping-particle":"","family":"Ngala","given":"Bruno M","non-dropping-particle":"","parse-names":false,"suffix":""},{"dropping-particle":"","family":"Woods","given":"Simon R","non-dropping-particle":"","parse-names":false,"suffix":""},{"dropping-particle":"","family":"Back","given":"Matthew A","non-dropping-particle":"","parse-names":false,"suffix":""}],"container-title":"Applied Soil Ecology","id":"ITEM-1","issued":{"date-parts":[["2015"]]},"page":"9-14","title":"Sinigrin degradation and G. pallida suppression in soil cultivated with brassicas under controlled environmental conditions","type":"article-journal","volume":"95"},"uris":["http://www.mendeley.com/documents/?uuid=c9786827-ed44-3862-8c15-8f8b487ec9b4"]}],"mendeley":{"formattedCitation":"(Ngala, Woods and Back, 2015)","plainTextFormattedCitation":"(Ngala, Woods and Back, 2015)","previouslyFormattedCitation":"(Ngala, Woods and Back, 2015)"},"properties":{"noteIndex":0},"schema":"https://github.com/citation-style-language/schema/raw/master/csl-citation.json"}</w:instrText>
      </w:r>
      <w:r w:rsidR="00DA3218">
        <w:rPr>
          <w:rFonts w:ascii="Arial" w:hAnsi="Arial" w:cs="Arial"/>
        </w:rPr>
        <w:fldChar w:fldCharType="separate"/>
      </w:r>
      <w:r w:rsidR="00DA3218" w:rsidRPr="00DA3218">
        <w:rPr>
          <w:rFonts w:ascii="Arial" w:hAnsi="Arial" w:cs="Arial"/>
          <w:noProof/>
        </w:rPr>
        <w:t>(Ngala, Woods and Back, 2015)</w:t>
      </w:r>
      <w:r w:rsidR="00DA3218">
        <w:rPr>
          <w:rFonts w:ascii="Arial" w:hAnsi="Arial" w:cs="Arial"/>
        </w:rPr>
        <w:fldChar w:fldCharType="end"/>
      </w:r>
      <w:r w:rsidR="00DA3218">
        <w:rPr>
          <w:rFonts w:ascii="Arial" w:hAnsi="Arial" w:cs="Arial"/>
        </w:rPr>
        <w:t>.</w:t>
      </w:r>
      <w:r w:rsidR="00EC630C">
        <w:rPr>
          <w:rFonts w:ascii="Arial" w:hAnsi="Arial" w:cs="Arial"/>
          <w:color w:val="000000" w:themeColor="text1"/>
        </w:rPr>
        <w:t xml:space="preserve">Timely incorporation of </w:t>
      </w:r>
      <w:r w:rsidR="00EC630C" w:rsidRPr="00892F21">
        <w:rPr>
          <w:rFonts w:ascii="Arial" w:hAnsi="Arial" w:cs="Arial"/>
          <w:color w:val="000000" w:themeColor="text1"/>
        </w:rPr>
        <w:t>brassica materials</w:t>
      </w:r>
      <w:r w:rsidR="00D3340D" w:rsidRPr="00646DDF">
        <w:rPr>
          <w:rFonts w:ascii="Arial" w:hAnsi="Arial" w:cs="Arial"/>
          <w:color w:val="000000" w:themeColor="text1"/>
        </w:rPr>
        <w:t xml:space="preserve"> is </w:t>
      </w:r>
      <w:r w:rsidR="005A4D3A" w:rsidRPr="00646DDF">
        <w:rPr>
          <w:rFonts w:ascii="Arial" w:hAnsi="Arial" w:cs="Arial"/>
          <w:color w:val="000000" w:themeColor="text1"/>
        </w:rPr>
        <w:t>another key</w:t>
      </w:r>
      <w:r w:rsidR="00EC630C" w:rsidRPr="00646DDF">
        <w:rPr>
          <w:rFonts w:ascii="Arial" w:hAnsi="Arial" w:cs="Arial"/>
          <w:color w:val="000000" w:themeColor="text1"/>
        </w:rPr>
        <w:t xml:space="preserve"> </w:t>
      </w:r>
      <w:r w:rsidR="00D3340D" w:rsidRPr="00646DDF">
        <w:rPr>
          <w:rFonts w:ascii="Arial" w:hAnsi="Arial" w:cs="Arial"/>
          <w:color w:val="000000" w:themeColor="text1"/>
        </w:rPr>
        <w:t xml:space="preserve">factor in maximising efficacy of biofumigants. Studies by </w:t>
      </w:r>
      <w:r w:rsidR="00D3340D" w:rsidRPr="00646DDF">
        <w:rPr>
          <w:rFonts w:ascii="Arial" w:hAnsi="Arial" w:cs="Arial"/>
        </w:rPr>
        <w:t xml:space="preserve">Mattner </w:t>
      </w:r>
      <w:r w:rsidR="00D3340D" w:rsidRPr="6AC1B2C3">
        <w:rPr>
          <w:rFonts w:ascii="Arial" w:hAnsi="Arial" w:cs="Arial"/>
          <w:i/>
          <w:iCs/>
        </w:rPr>
        <w:t>et al</w:t>
      </w:r>
      <w:r w:rsidR="00D3340D" w:rsidRPr="00646DDF">
        <w:rPr>
          <w:rFonts w:ascii="Arial" w:hAnsi="Arial" w:cs="Arial"/>
        </w:rPr>
        <w:t>., (2008) indicated</w:t>
      </w:r>
      <w:r w:rsidR="00D3340D">
        <w:rPr>
          <w:sz w:val="23"/>
          <w:szCs w:val="23"/>
        </w:rPr>
        <w:t xml:space="preserve"> </w:t>
      </w:r>
      <w:r w:rsidR="00D3340D" w:rsidRPr="00646DDF">
        <w:rPr>
          <w:rFonts w:ascii="Arial" w:hAnsi="Arial" w:cs="Arial"/>
        </w:rPr>
        <w:t xml:space="preserve">that </w:t>
      </w:r>
      <w:r w:rsidR="00EC630C" w:rsidRPr="00892F21">
        <w:rPr>
          <w:rFonts w:ascii="Arial" w:hAnsi="Arial" w:cs="Arial"/>
          <w:color w:val="000000" w:themeColor="text1"/>
        </w:rPr>
        <w:t>higher efficacy was obtained from maceration and incorporation of mature plants as compared to immarture plants</w:t>
      </w:r>
      <w:r w:rsidR="001F77D0">
        <w:rPr>
          <w:rFonts w:ascii="Arial" w:hAnsi="Arial" w:cs="Arial"/>
          <w:color w:val="000000" w:themeColor="text1"/>
        </w:rPr>
        <w:t xml:space="preserve">. </w:t>
      </w:r>
      <w:r w:rsidR="00EC630C" w:rsidRPr="00646DDF">
        <w:rPr>
          <w:rFonts w:ascii="Arial" w:hAnsi="Arial" w:cs="Arial"/>
          <w:color w:val="000000" w:themeColor="text1"/>
        </w:rPr>
        <w:t xml:space="preserve">Similarly, the suppression of </w:t>
      </w:r>
      <w:r w:rsidR="00EC630C" w:rsidRPr="6AC1B2C3">
        <w:rPr>
          <w:rFonts w:ascii="Arial" w:hAnsi="Arial" w:cs="Arial"/>
          <w:i/>
          <w:iCs/>
          <w:color w:val="000000" w:themeColor="text1"/>
        </w:rPr>
        <w:t>Rhizoctonia fragarie</w:t>
      </w:r>
      <w:r w:rsidR="00EC630C" w:rsidRPr="00646DDF">
        <w:rPr>
          <w:rFonts w:ascii="Arial" w:hAnsi="Arial" w:cs="Arial"/>
          <w:color w:val="000000" w:themeColor="text1"/>
        </w:rPr>
        <w:t xml:space="preserve"> using </w:t>
      </w:r>
      <w:r w:rsidR="00EC630C" w:rsidRPr="6AC1B2C3">
        <w:rPr>
          <w:rFonts w:ascii="Arial" w:hAnsi="Arial" w:cs="Arial"/>
          <w:i/>
          <w:iCs/>
          <w:color w:val="000000" w:themeColor="text1"/>
        </w:rPr>
        <w:t>Brassica rapa</w:t>
      </w:r>
      <w:r w:rsidR="00EC630C" w:rsidRPr="00646DDF">
        <w:rPr>
          <w:rFonts w:ascii="Arial" w:hAnsi="Arial" w:cs="Arial"/>
          <w:color w:val="000000" w:themeColor="text1"/>
        </w:rPr>
        <w:t xml:space="preserve"> and</w:t>
      </w:r>
      <w:r w:rsidR="00EC630C" w:rsidRPr="009574C8">
        <w:rPr>
          <w:rFonts w:ascii="Arial" w:hAnsi="Arial" w:cs="Arial"/>
          <w:color w:val="000000" w:themeColor="text1"/>
        </w:rPr>
        <w:t xml:space="preserve"> </w:t>
      </w:r>
      <w:r w:rsidR="00EC630C" w:rsidRPr="6AC1B2C3">
        <w:rPr>
          <w:rFonts w:ascii="Arial" w:hAnsi="Arial" w:cs="Arial"/>
          <w:i/>
          <w:iCs/>
          <w:color w:val="000000" w:themeColor="text1"/>
        </w:rPr>
        <w:t>Brassica napus</w:t>
      </w:r>
      <w:r w:rsidR="00EC630C">
        <w:rPr>
          <w:rFonts w:ascii="Arial" w:hAnsi="Arial" w:cs="Arial"/>
          <w:color w:val="000000" w:themeColor="text1"/>
        </w:rPr>
        <w:t xml:space="preserve"> green manures was greatest when maceration and incorporation was done at anthesis compared to maceration at establishment stage</w:t>
      </w:r>
      <w:r w:rsidR="000F5F6C">
        <w:rPr>
          <w:rFonts w:ascii="Arial" w:hAnsi="Arial" w:cs="Arial"/>
          <w:color w:val="000000" w:themeColor="text1"/>
        </w:rPr>
        <w:t xml:space="preserve"> </w:t>
      </w:r>
      <w:r w:rsidR="00DA3218">
        <w:rPr>
          <w:rFonts w:ascii="Arial" w:hAnsi="Arial" w:cs="Arial"/>
          <w:color w:val="000000" w:themeColor="text1"/>
        </w:rPr>
        <w:fldChar w:fldCharType="begin" w:fldLock="1"/>
      </w:r>
      <w:r w:rsidR="008F4396">
        <w:rPr>
          <w:rFonts w:ascii="Arial" w:hAnsi="Arial" w:cs="Arial"/>
          <w:color w:val="000000" w:themeColor="text1"/>
        </w:rPr>
        <w:instrText>ADDIN CSL_CITATION {"citationItems":[{"id":"ITEM-1","itemData":{"ISSN":"0261-2194","author":[{"dropping-particle":"","family":"Mattner","given":"S W","non-dropping-particle":"","parse-names":false,"suffix":""},{"dropping-particle":"","family":"Porter","given":"I J","non-dropping-particle":"","parse-names":false,"suffix":""},{"dropping-particle":"","family":"Gounder","given":"R K","non-dropping-particle":"","parse-names":false,"suffix":""},{"dropping-particle":"","family":"Shanks","given":"A L","non-dropping-particle":"","parse-names":false,"suffix":""},{"dropping-particle":"","family":"Wren","given":"D J","non-dropping-particle":"","parse-names":false,"suffix":""},{"dropping-particle":"","family":"Allen","given":"D","non-dropping-particle":"","parse-names":false,"suffix":""}],"container-title":"Crop Protection","id":"ITEM-1","issue":"8","issued":{"date-parts":[["2008"]]},"page":"1165-1173","publisher":"Elsevier","title":"Factors that impact on the ability of biofumigants to suppress fungal pathogens and weeds of strawberry","type":"article-journal","volume":"27"},"uris":["http://www.mendeley.com/documents/?uuid=68d6f00c-2050-4e29-8383-576ffb0a4e3f"]}],"mendeley":{"formattedCitation":"(Mattner &lt;i&gt;et al.&lt;/i&gt;, 2008)","manualFormatting":"(Mattner et al., 2008)￼","plainTextFormattedCitation":"(Mattner et al., 2008)","previouslyFormattedCitation":"(Mattner &lt;i&gt;et al.&lt;/i&gt;, 2008)"},"properties":{"noteIndex":0},"schema":"https://github.com/citation-style-language/schema/raw/master/csl-citation.json"}</w:instrText>
      </w:r>
      <w:r w:rsidR="00DA3218">
        <w:rPr>
          <w:rFonts w:ascii="Arial" w:hAnsi="Arial" w:cs="Arial"/>
          <w:color w:val="000000" w:themeColor="text1"/>
        </w:rPr>
        <w:fldChar w:fldCharType="separate"/>
      </w:r>
      <w:r w:rsidR="00DA3218" w:rsidRPr="00DA3218">
        <w:rPr>
          <w:rFonts w:ascii="Arial" w:hAnsi="Arial" w:cs="Arial"/>
          <w:noProof/>
          <w:color w:val="000000" w:themeColor="text1"/>
        </w:rPr>
        <w:t xml:space="preserve">(Mattner </w:t>
      </w:r>
      <w:r w:rsidR="00DA3218" w:rsidRPr="6AC1B2C3">
        <w:rPr>
          <w:rFonts w:ascii="Arial" w:hAnsi="Arial" w:cs="Arial"/>
          <w:i/>
          <w:iCs/>
          <w:noProof/>
          <w:color w:val="000000" w:themeColor="text1"/>
        </w:rPr>
        <w:t>et al.</w:t>
      </w:r>
      <w:r w:rsidR="00DA3218" w:rsidRPr="00DA3218">
        <w:rPr>
          <w:rFonts w:ascii="Arial" w:hAnsi="Arial" w:cs="Arial"/>
          <w:noProof/>
          <w:color w:val="000000" w:themeColor="text1"/>
        </w:rPr>
        <w:t>, 2008)</w:t>
      </w:r>
      <w:r w:rsidR="00DA3218" w:rsidRPr="6AC1B2C3">
        <w:rPr>
          <w:noProof/>
        </w:rPr>
        <w:t>￼</w:t>
      </w:r>
      <w:r w:rsidR="00DA3218">
        <w:rPr>
          <w:rFonts w:ascii="Arial" w:hAnsi="Arial" w:cs="Arial"/>
          <w:color w:val="000000" w:themeColor="text1"/>
        </w:rPr>
        <w:fldChar w:fldCharType="end"/>
      </w:r>
      <w:r w:rsidR="00D3340D">
        <w:rPr>
          <w:rFonts w:ascii="Arial" w:hAnsi="Arial" w:cs="Arial"/>
        </w:rPr>
        <w:t xml:space="preserve">This is because the GSL concentration is highest/at peak </w:t>
      </w:r>
      <w:r w:rsidR="000A46EA">
        <w:rPr>
          <w:rFonts w:ascii="Arial" w:hAnsi="Arial" w:cs="Arial"/>
        </w:rPr>
        <w:t>during mid</w:t>
      </w:r>
      <w:r w:rsidR="00D3340D">
        <w:rPr>
          <w:rFonts w:ascii="Arial" w:hAnsi="Arial" w:cs="Arial"/>
        </w:rPr>
        <w:t xml:space="preserve">-flowering and this </w:t>
      </w:r>
      <w:r w:rsidR="000F5F6C">
        <w:rPr>
          <w:rFonts w:ascii="Arial" w:hAnsi="Arial" w:cs="Arial"/>
        </w:rPr>
        <w:t>timing</w:t>
      </w:r>
      <w:r w:rsidR="00D3340D">
        <w:rPr>
          <w:rFonts w:ascii="Arial" w:hAnsi="Arial" w:cs="Arial"/>
        </w:rPr>
        <w:t xml:space="preserve"> should be closely monitored</w:t>
      </w:r>
      <w:r w:rsidR="00DA3218">
        <w:rPr>
          <w:rFonts w:ascii="Arial" w:hAnsi="Arial" w:cs="Arial"/>
        </w:rPr>
        <w:t xml:space="preserve"> </w:t>
      </w:r>
      <w:r w:rsidR="00DA3218">
        <w:rPr>
          <w:rFonts w:ascii="Arial" w:hAnsi="Arial" w:cs="Arial"/>
        </w:rPr>
        <w:fldChar w:fldCharType="begin" w:fldLock="1"/>
      </w:r>
      <w:r w:rsidR="008F4396">
        <w:rPr>
          <w:rFonts w:ascii="Arial" w:hAnsi="Arial" w:cs="Arial"/>
        </w:rPr>
        <w:instrText>ADDIN CSL_CITATION {"citationItems":[{"id":"ITEM-1","itemData":{"DOI":"10.1002/ps.3849","ISSN":"15264998","PMID":"24965697","abstract":"The viability of potato cyst nematode (PCN) populations (Globodera pallida) was evaluated in three field experiments using Brassica juncea, Raphanus sativus and Eruca sativa amendments. These species were summer cultivated and autumn incorporated in experiment 1; in experiment 2, overwintered brassicaceous cover crops were spring incorporated. Experiment 3 involved determination of effects of metconazole application on biomass/glucosinolate production by B. juncea and R. sativus and on PCN pre- and post-incorporation. Glucosinolate contents were determined before incorporation. Following cover crop incorporation, field plots were planted with susceptible potatoes to evaluate the biofumigation effects on PCN reproduction. RESULTS: In experiment 1, PCN population post-potato harvest was reduced (P = 0.03) in B. juncea-treated plots, while R. sativus prevented further multiplication, but in experiment 2 there were no significant effects on PCN reproduction. In experiment 3, B. juncea or R. sativus either untreated or treated with metconazole reduced PCN populations. Glucosinolate concentrations varied significantly between different plant regions and cultivation seasons. Metconazole application increased the sinigrin concentration in B. juncea tissues. Glucosinolate concentrations correlated positively with PCN mortality for summer-cultivated brassicaceous plants. CONCLUSION: The results demonstrated that B. juncea and R. sativus green manures can play an important role in PCN management, particularly if included in an integrated pest management scheme.","author":[{"dropping-particle":"","family":"Ngala","given":"Bruno M.","non-dropping-particle":"","parse-names":false,"suffix":""},{"dropping-particle":"","family":"Haydock","given":"Patrick Pj J","non-dropping-particle":"","parse-names":false,"suffix":""},{"dropping-particle":"","family":"Woods","given":"Simon","non-dropping-particle":"","parse-names":false,"suffix":""},{"dropping-particle":"","family":"Back","given":"Matthew A.","non-dropping-particle":"","parse-names":false,"suffix":""}],"container-title":"Pest Management Science","id":"ITEM-1","issue":"February","issued":{"date-parts":[["2014","5","1"]]},"page":"759-769","publisher":"John Wiley and Sons Ltd","title":"Biofumigation with Brassica juncea , Raphanus sativus and Eruca sativa for the management of field populations of the potato cyst nematode Globodera pallida","type":"article-journal","volume":"71"},"uris":["http://www.mendeley.com/documents/?uuid=e4ec2c3f-f48e-4d54-be48-2a5c0e5b4b6a"]}],"mendeley":{"formattedCitation":"(Ngala &lt;i&gt;et al.&lt;/i&gt;, 2014)","manualFormatting":"(Ngala et al., 2014)￼","plainTextFormattedCitation":"(Ngala et al., 2014)","previouslyFormattedCitation":"(Ngala &lt;i&gt;et al.&lt;/i&gt;, 2014)"},"properties":{"noteIndex":0},"schema":"https://github.com/citation-style-language/schema/raw/master/csl-citation.json"}</w:instrText>
      </w:r>
      <w:r w:rsidR="00DA3218">
        <w:rPr>
          <w:rFonts w:ascii="Arial" w:hAnsi="Arial" w:cs="Arial"/>
        </w:rPr>
        <w:fldChar w:fldCharType="separate"/>
      </w:r>
      <w:r w:rsidR="00DA3218" w:rsidRPr="00DA3218">
        <w:rPr>
          <w:rFonts w:ascii="Arial" w:hAnsi="Arial" w:cs="Arial"/>
          <w:noProof/>
        </w:rPr>
        <w:t xml:space="preserve">(Ngala </w:t>
      </w:r>
      <w:r w:rsidR="00DA3218" w:rsidRPr="6AC1B2C3">
        <w:rPr>
          <w:rFonts w:ascii="Arial" w:hAnsi="Arial" w:cs="Arial"/>
          <w:i/>
          <w:iCs/>
          <w:noProof/>
        </w:rPr>
        <w:t>et al.</w:t>
      </w:r>
      <w:r w:rsidR="00DA3218" w:rsidRPr="00DA3218">
        <w:rPr>
          <w:rFonts w:ascii="Arial" w:hAnsi="Arial" w:cs="Arial"/>
          <w:noProof/>
        </w:rPr>
        <w:t>, 2014)</w:t>
      </w:r>
      <w:r w:rsidR="00DA3218" w:rsidRPr="6AC1B2C3">
        <w:rPr>
          <w:noProof/>
        </w:rPr>
        <w:t>￼</w:t>
      </w:r>
      <w:r w:rsidR="00DA3218">
        <w:rPr>
          <w:rFonts w:ascii="Arial" w:hAnsi="Arial" w:cs="Arial"/>
        </w:rPr>
        <w:fldChar w:fldCharType="end"/>
      </w:r>
      <w:r w:rsidR="00D3340D">
        <w:rPr>
          <w:rFonts w:ascii="Arial" w:hAnsi="Arial" w:cs="Arial"/>
        </w:rPr>
        <w:t xml:space="preserve"> </w:t>
      </w:r>
      <w:r w:rsidR="00650B43" w:rsidRPr="00646DDF">
        <w:rPr>
          <w:rFonts w:ascii="Arial" w:hAnsi="Arial" w:cs="Arial"/>
        </w:rPr>
        <w:t xml:space="preserve">Plant biomass </w:t>
      </w:r>
      <w:r w:rsidR="000A46EA" w:rsidRPr="00646DDF">
        <w:rPr>
          <w:rFonts w:ascii="Arial" w:hAnsi="Arial" w:cs="Arial"/>
        </w:rPr>
        <w:t xml:space="preserve">which is another contributor to efficacy, </w:t>
      </w:r>
      <w:r w:rsidR="00650B43" w:rsidRPr="00646DDF">
        <w:rPr>
          <w:rFonts w:ascii="Arial" w:hAnsi="Arial" w:cs="Arial"/>
        </w:rPr>
        <w:t xml:space="preserve">can vary greatly between and </w:t>
      </w:r>
      <w:r w:rsidR="008A662A" w:rsidRPr="00646DDF">
        <w:rPr>
          <w:rFonts w:ascii="Arial" w:hAnsi="Arial" w:cs="Arial"/>
        </w:rPr>
        <w:t>within various</w:t>
      </w:r>
      <w:r w:rsidR="00650B43" w:rsidRPr="00646DDF">
        <w:rPr>
          <w:rFonts w:ascii="Arial" w:hAnsi="Arial" w:cs="Arial"/>
        </w:rPr>
        <w:t xml:space="preserve"> brassicas </w:t>
      </w:r>
      <w:r w:rsidR="00650B43" w:rsidRPr="005A4D3A">
        <w:rPr>
          <w:rFonts w:ascii="Arial" w:hAnsi="Arial" w:cs="Arial"/>
        </w:rPr>
        <w:t xml:space="preserve">species, </w:t>
      </w:r>
      <w:r w:rsidR="00B56FF0" w:rsidRPr="005A4D3A">
        <w:rPr>
          <w:rFonts w:ascii="Arial" w:hAnsi="Arial" w:cs="Arial"/>
        </w:rPr>
        <w:t>For</w:t>
      </w:r>
      <w:r w:rsidR="00B56FF0" w:rsidRPr="00317794">
        <w:rPr>
          <w:rFonts w:ascii="Arial" w:hAnsi="Arial" w:cs="Arial"/>
        </w:rPr>
        <w:t xml:space="preserve"> instance 70t ha</w:t>
      </w:r>
      <w:r w:rsidR="00B56FF0" w:rsidRPr="00317794">
        <w:rPr>
          <w:rFonts w:ascii="Arial" w:hAnsi="Arial" w:cs="Arial"/>
          <w:position w:val="8"/>
          <w:vertAlign w:val="superscript"/>
        </w:rPr>
        <w:t xml:space="preserve">-1 </w:t>
      </w:r>
      <w:r w:rsidR="00B56FF0" w:rsidRPr="00317794">
        <w:rPr>
          <w:rFonts w:ascii="Arial" w:hAnsi="Arial" w:cs="Arial"/>
          <w:color w:val="000000" w:themeColor="text1"/>
        </w:rPr>
        <w:t xml:space="preserve">fresh weight biomass was recorded in </w:t>
      </w:r>
      <w:r w:rsidR="00B56FF0" w:rsidRPr="6AC1B2C3">
        <w:rPr>
          <w:rFonts w:ascii="Arial" w:hAnsi="Arial" w:cs="Arial"/>
          <w:i/>
          <w:iCs/>
          <w:color w:val="000000" w:themeColor="text1"/>
        </w:rPr>
        <w:t>Brassica juncea</w:t>
      </w:r>
      <w:r w:rsidR="00B56FF0" w:rsidRPr="00317794">
        <w:rPr>
          <w:rFonts w:ascii="Arial" w:hAnsi="Arial" w:cs="Arial"/>
          <w:color w:val="000000" w:themeColor="text1"/>
        </w:rPr>
        <w:t xml:space="preserve"> which was two times higher than </w:t>
      </w:r>
      <w:r w:rsidR="00B56FF0" w:rsidRPr="6AC1B2C3">
        <w:rPr>
          <w:rFonts w:ascii="Arial" w:hAnsi="Arial" w:cs="Arial"/>
          <w:i/>
          <w:iCs/>
          <w:color w:val="000000" w:themeColor="text1"/>
        </w:rPr>
        <w:t>Eruca sativa</w:t>
      </w:r>
      <w:r w:rsidR="00B56FF0" w:rsidRPr="00317794">
        <w:rPr>
          <w:rFonts w:ascii="Arial" w:hAnsi="Arial" w:cs="Arial"/>
          <w:color w:val="000000" w:themeColor="text1"/>
        </w:rPr>
        <w:t xml:space="preserve"> grown under similar field conditions </w:t>
      </w:r>
      <w:r w:rsidR="008A662A">
        <w:rPr>
          <w:rFonts w:ascii="Arial" w:hAnsi="Arial" w:cs="Arial"/>
          <w:color w:val="000000" w:themeColor="text1"/>
        </w:rPr>
        <w:t>during mid-flowering stage</w:t>
      </w:r>
      <w:r w:rsidR="000F5F6C" w:rsidRPr="000F5F6C">
        <w:rPr>
          <w:rFonts w:ascii="Arial" w:hAnsi="Arial" w:cs="Arial"/>
          <w:noProof/>
          <w:color w:val="000000" w:themeColor="text1"/>
        </w:rPr>
        <w:t xml:space="preserve"> ( Ngala </w:t>
      </w:r>
      <w:r w:rsidR="000F5F6C" w:rsidRPr="6AC1B2C3">
        <w:rPr>
          <w:rFonts w:ascii="Arial" w:hAnsi="Arial" w:cs="Arial"/>
          <w:i/>
          <w:iCs/>
          <w:noProof/>
          <w:color w:val="000000" w:themeColor="text1"/>
        </w:rPr>
        <w:t>et al.</w:t>
      </w:r>
      <w:r w:rsidR="000F5F6C" w:rsidRPr="000F5F6C">
        <w:rPr>
          <w:rFonts w:ascii="Arial" w:hAnsi="Arial" w:cs="Arial"/>
          <w:noProof/>
          <w:color w:val="000000" w:themeColor="text1"/>
        </w:rPr>
        <w:t>, 2014</w:t>
      </w:r>
      <w:r w:rsidR="000F5F6C" w:rsidRPr="000F5F6C">
        <w:rPr>
          <w:rFonts w:ascii="Arial" w:hAnsi="Arial" w:cs="Arial"/>
          <w:color w:val="000000" w:themeColor="text1"/>
        </w:rPr>
        <w:t xml:space="preserve"> </w:t>
      </w:r>
      <w:r w:rsidR="000F5F6C" w:rsidRPr="002B3D8A">
        <w:rPr>
          <w:rFonts w:ascii="Arial" w:hAnsi="Arial" w:cs="Arial"/>
          <w:color w:val="000000" w:themeColor="text1"/>
        </w:rPr>
        <w:t>;</w:t>
      </w:r>
      <w:r w:rsidR="000F5F6C" w:rsidRPr="000F5F6C">
        <w:rPr>
          <w:rFonts w:ascii="Arial" w:hAnsi="Arial" w:cs="Arial"/>
          <w:noProof/>
          <w:color w:val="000000" w:themeColor="text1"/>
        </w:rPr>
        <w:t xml:space="preserve">Watts </w:t>
      </w:r>
      <w:r w:rsidR="000F5F6C" w:rsidRPr="6AC1B2C3">
        <w:rPr>
          <w:rFonts w:ascii="Arial" w:hAnsi="Arial" w:cs="Arial"/>
          <w:i/>
          <w:iCs/>
          <w:noProof/>
          <w:color w:val="000000" w:themeColor="text1"/>
        </w:rPr>
        <w:t>et al.</w:t>
      </w:r>
      <w:r w:rsidR="000F5F6C" w:rsidRPr="000F5F6C">
        <w:rPr>
          <w:rFonts w:ascii="Arial" w:hAnsi="Arial" w:cs="Arial"/>
          <w:noProof/>
          <w:color w:val="000000" w:themeColor="text1"/>
        </w:rPr>
        <w:t>, 2014</w:t>
      </w:r>
    </w:p>
    <w:p w14:paraId="193E06A6" w14:textId="79AA87C4" w:rsidR="00B015F2" w:rsidRDefault="008A662A" w:rsidP="00616CDC">
      <w:pPr>
        <w:pStyle w:val="paragraph"/>
        <w:spacing w:after="0" w:line="360" w:lineRule="auto"/>
        <w:ind w:left="-284" w:right="-330"/>
        <w:jc w:val="both"/>
        <w:textAlignment w:val="baseline"/>
        <w:rPr>
          <w:rFonts w:ascii="Arial" w:hAnsi="Arial" w:cs="Arial"/>
        </w:rPr>
      </w:pPr>
      <w:r w:rsidRPr="00646DDF">
        <w:rPr>
          <w:rFonts w:ascii="Arial" w:hAnsi="Arial" w:cs="Arial"/>
        </w:rPr>
        <w:t xml:space="preserve">High </w:t>
      </w:r>
      <w:r w:rsidR="0083419B" w:rsidRPr="00646DDF">
        <w:rPr>
          <w:rFonts w:ascii="Arial" w:hAnsi="Arial" w:cs="Arial"/>
        </w:rPr>
        <w:t>glucosinolates</w:t>
      </w:r>
      <w:r w:rsidRPr="00646DDF">
        <w:rPr>
          <w:rFonts w:ascii="Arial" w:hAnsi="Arial" w:cs="Arial"/>
        </w:rPr>
        <w:t xml:space="preserve"> brassica crops can achieve more than </w:t>
      </w:r>
      <w:r w:rsidRPr="005A4D3A">
        <w:rPr>
          <w:rFonts w:ascii="Arial" w:hAnsi="Arial" w:cs="Arial"/>
        </w:rPr>
        <w:t>40 μmol GSL g</w:t>
      </w:r>
      <w:r w:rsidRPr="005A4D3A">
        <w:rPr>
          <w:rFonts w:ascii="Arial" w:hAnsi="Arial" w:cs="Arial"/>
          <w:position w:val="8"/>
          <w:vertAlign w:val="superscript"/>
        </w:rPr>
        <w:t xml:space="preserve">-1 </w:t>
      </w:r>
      <w:r w:rsidRPr="005A4D3A">
        <w:rPr>
          <w:rFonts w:ascii="Arial" w:hAnsi="Arial" w:cs="Arial"/>
        </w:rPr>
        <w:t>dry-weight tissue (Kirkeg</w:t>
      </w:r>
      <w:r w:rsidRPr="00317794">
        <w:rPr>
          <w:rFonts w:ascii="Arial" w:hAnsi="Arial" w:cs="Arial"/>
        </w:rPr>
        <w:t xml:space="preserve">aard &amp; Sarwar, 1998; Lord </w:t>
      </w:r>
      <w:r w:rsidRPr="6AC1B2C3">
        <w:rPr>
          <w:rFonts w:ascii="Arial" w:hAnsi="Arial" w:cs="Arial"/>
          <w:i/>
          <w:iCs/>
        </w:rPr>
        <w:t>et al</w:t>
      </w:r>
      <w:r w:rsidRPr="00317794">
        <w:rPr>
          <w:rFonts w:ascii="Arial" w:hAnsi="Arial" w:cs="Arial"/>
        </w:rPr>
        <w:t xml:space="preserve">., 2011). </w:t>
      </w:r>
      <w:r w:rsidR="000A46EA">
        <w:rPr>
          <w:rFonts w:ascii="Arial" w:hAnsi="Arial" w:cs="Arial"/>
          <w:color w:val="000000" w:themeColor="text1"/>
        </w:rPr>
        <w:t>L</w:t>
      </w:r>
      <w:r w:rsidR="000A46EA" w:rsidRPr="002B3D8A">
        <w:rPr>
          <w:rFonts w:ascii="Arial" w:hAnsi="Arial" w:cs="Arial"/>
          <w:color w:val="000000" w:themeColor="text1"/>
        </w:rPr>
        <w:t xml:space="preserve">ow levels of </w:t>
      </w:r>
      <w:r w:rsidR="000A46EA">
        <w:rPr>
          <w:rFonts w:ascii="Arial" w:hAnsi="Arial" w:cs="Arial"/>
          <w:color w:val="000000" w:themeColor="text1"/>
        </w:rPr>
        <w:t>brassicaceous</w:t>
      </w:r>
      <w:r w:rsidR="000A46EA" w:rsidRPr="002B3D8A">
        <w:rPr>
          <w:rFonts w:ascii="Arial" w:hAnsi="Arial" w:cs="Arial"/>
          <w:color w:val="000000" w:themeColor="text1"/>
        </w:rPr>
        <w:t xml:space="preserve"> residues incorporated (20kg/ha) were not effective in suppression of </w:t>
      </w:r>
      <w:r w:rsidR="000A46EA" w:rsidRPr="6AC1B2C3">
        <w:rPr>
          <w:rFonts w:ascii="Arial" w:hAnsi="Arial" w:cs="Arial"/>
          <w:i/>
          <w:iCs/>
          <w:color w:val="000000" w:themeColor="text1"/>
        </w:rPr>
        <w:t>Meloidogyne incognita</w:t>
      </w:r>
      <w:r w:rsidR="000A46EA" w:rsidRPr="002B3D8A">
        <w:rPr>
          <w:rFonts w:ascii="Arial" w:hAnsi="Arial" w:cs="Arial"/>
          <w:color w:val="000000" w:themeColor="text1"/>
        </w:rPr>
        <w:t xml:space="preserve"> as compared to 60kg/ha which effectively reduced infection and damage of </w:t>
      </w:r>
      <w:r w:rsidR="000A46EA" w:rsidRPr="6AC1B2C3">
        <w:rPr>
          <w:rFonts w:ascii="Arial" w:hAnsi="Arial" w:cs="Arial"/>
          <w:i/>
          <w:iCs/>
          <w:color w:val="000000" w:themeColor="text1"/>
        </w:rPr>
        <w:t>Meloidogyne incognita</w:t>
      </w:r>
      <w:r w:rsidR="000A46EA" w:rsidRPr="002B3D8A">
        <w:rPr>
          <w:rFonts w:ascii="Arial" w:hAnsi="Arial" w:cs="Arial"/>
          <w:color w:val="000000" w:themeColor="text1"/>
        </w:rPr>
        <w:t xml:space="preserve"> in </w:t>
      </w:r>
      <w:r w:rsidR="000A46EA" w:rsidRPr="6AC1B2C3">
        <w:rPr>
          <w:rFonts w:ascii="Arial" w:hAnsi="Arial" w:cs="Arial"/>
          <w:i/>
          <w:iCs/>
          <w:color w:val="000000" w:themeColor="text1"/>
        </w:rPr>
        <w:t>Vigna subterranean (Fourie,2015)</w:t>
      </w:r>
      <w:r w:rsidR="000A46EA" w:rsidRPr="002B3D8A">
        <w:rPr>
          <w:rFonts w:ascii="Arial" w:hAnsi="Arial" w:cs="Arial"/>
          <w:color w:val="000000" w:themeColor="text1"/>
        </w:rPr>
        <w:t>.The high amount of root biomass produced by</w:t>
      </w:r>
      <w:r w:rsidR="000A46EA" w:rsidRPr="6AC1B2C3">
        <w:rPr>
          <w:rFonts w:ascii="Arial" w:hAnsi="Arial" w:cs="Arial"/>
          <w:i/>
          <w:iCs/>
          <w:color w:val="000000" w:themeColor="text1"/>
        </w:rPr>
        <w:t xml:space="preserve"> Raphanus sativus </w:t>
      </w:r>
      <w:r w:rsidR="000A46EA" w:rsidRPr="002B3D8A">
        <w:rPr>
          <w:rFonts w:ascii="Arial" w:hAnsi="Arial" w:cs="Arial"/>
          <w:color w:val="000000" w:themeColor="text1"/>
        </w:rPr>
        <w:t xml:space="preserve">(oilseed radish) was linked to its </w:t>
      </w:r>
      <w:r w:rsidR="000A46EA" w:rsidRPr="00AB1934">
        <w:rPr>
          <w:rFonts w:ascii="Arial" w:hAnsi="Arial" w:cs="Arial"/>
          <w:color w:val="000000" w:themeColor="text1"/>
        </w:rPr>
        <w:t xml:space="preserve">effective partial biofumigation in reducing the viability of encysted eggs of </w:t>
      </w:r>
      <w:r w:rsidR="000A46EA" w:rsidRPr="6AC1B2C3">
        <w:rPr>
          <w:rFonts w:ascii="Arial" w:hAnsi="Arial" w:cs="Arial"/>
          <w:i/>
          <w:iCs/>
          <w:color w:val="000000" w:themeColor="text1"/>
        </w:rPr>
        <w:t>Globodera pallida</w:t>
      </w:r>
      <w:r w:rsidR="000160FE" w:rsidRPr="6AC1B2C3">
        <w:rPr>
          <w:rFonts w:ascii="Arial" w:hAnsi="Arial" w:cs="Arial"/>
          <w:i/>
          <w:iCs/>
          <w:color w:val="000000" w:themeColor="text1"/>
        </w:rPr>
        <w:t xml:space="preserve">, the </w:t>
      </w:r>
      <w:r w:rsidR="000160FE" w:rsidRPr="00616CDC">
        <w:rPr>
          <w:rFonts w:ascii="Arial" w:hAnsi="Arial" w:cs="Arial"/>
          <w:color w:val="000000" w:themeColor="text1"/>
        </w:rPr>
        <w:t xml:space="preserve">high root biomass which was linked to production of high concentration of glucosinolates hence toxic isothiocyanates </w:t>
      </w:r>
      <w:r w:rsidR="000A46EA" w:rsidRPr="6AC1B2C3">
        <w:rPr>
          <w:rFonts w:ascii="Arial" w:hAnsi="Arial" w:cs="Arial"/>
          <w:i/>
          <w:iCs/>
          <w:color w:val="000000" w:themeColor="text1"/>
        </w:rPr>
        <w:fldChar w:fldCharType="begin" w:fldLock="1"/>
      </w:r>
      <w:r w:rsidR="000A46EA" w:rsidRPr="6AC1B2C3">
        <w:rPr>
          <w:rFonts w:ascii="Arial" w:hAnsi="Arial" w:cs="Arial"/>
          <w:i/>
          <w:iCs/>
          <w:color w:val="000000" w:themeColor="text1"/>
        </w:rPr>
        <w:instrText>ADDIN CSL_CITATION {"citationItems":[{"id":"ITEM-1","itemData":{"DOI":"10.1002/ps.3849","ISSN":"15264998","PMID":"24965697","abstract":"The viability of potato cyst nematode (PCN) populations (Globodera pallida) was evaluated in three field experiments using Brassica juncea, Raphanus sativus and Eruca sativa amendments. These species were summer cultivated and autumn incorporated in experiment 1; in experiment 2, overwintered brassicaceous cover crops were spring incorporated. Experiment 3 involved determination of effects of metconazole application on biomass/glucosinolate production by B. juncea and R. sativus and on PCN pre- and post-incorporation. Glucosinolate contents were determined before incorporation. Following cover crop incorporation, field plots were planted with susceptible potatoes to evaluate the biofumigation effects on PCN reproduction. RESULTS: In experiment 1, PCN population post-potato harvest was reduced (P = 0.03) in B. juncea-treated plots, while R. sativus prevented further multiplication, but in experiment 2 there were no significant effects on PCN reproduction. In experiment 3, B. juncea or R. sativus either untreated or treated with metconazole reduced PCN populations. Glucosinolate concentrations varied significantly between different plant regions and cultivation seasons. Metconazole application increased the sinigrin concentration in B. juncea tissues. Glucosinolate concentrations correlated positively with PCN mortality for summer-cultivated brassicaceous plants. CONCLUSION: The results demonstrated that B. juncea and R. sativus green manures can play an important role in PCN management, particularly if included in an integrated pest management scheme.","author":[{"dropping-particle":"","family":"Ngala","given":"Bruno M.","non-dropping-particle":"","parse-names":false,"suffix":""},{"dropping-particle":"","family":"Haydock","given":"Patrick Pj J","non-dropping-particle":"","parse-names":false,"suffix":""},{"dropping-particle":"","family":"Woods","given":"Simon","non-dropping-particle":"","parse-names":false,"suffix":""},{"dropping-particle":"","family":"Back","given":"Matthew A.","non-dropping-particle":"","parse-names":false,"suffix":""}],"container-title":"Pest Management Science","id":"ITEM-1","issue":"February","issued":{"date-parts":[["2014","5","1"]]},"page":"759-769","publisher":"John Wiley and Sons Ltd","title":"Biofumigation with Brassica juncea , Raphanus sativus and Eruca sativa for the management of field populations of the potato cyst nematode Globodera pallida","type":"article-journal","volume":"71"},"uris":["http://www.mendeley.com/documents/?uuid=e4ec2c3f-f48e-4d54-be48-2a5c0e5b4b6a"]}],"mendeley":{"formattedCitation":"(Ngala &lt;i&gt;et al.&lt;/i&gt;, 2014)","manualFormatting":"(Ngala et al., 2014)","plainTextFormattedCitation":"(Ngala et al., 2014)","previouslyFormattedCitation":"(Ngala &lt;i&gt;et al.&lt;/i&gt;, 2014)"},"properties":{"noteIndex":0},"schema":"https://github.com/citation-style-language/schema/raw/master/csl-citation.json"}</w:instrText>
      </w:r>
      <w:r w:rsidR="000A46EA" w:rsidRPr="6AC1B2C3">
        <w:rPr>
          <w:rFonts w:ascii="Arial" w:hAnsi="Arial" w:cs="Arial"/>
          <w:i/>
          <w:iCs/>
          <w:color w:val="000000" w:themeColor="text1"/>
        </w:rPr>
        <w:fldChar w:fldCharType="separate"/>
      </w:r>
      <w:r w:rsidR="000A46EA" w:rsidRPr="00AB1934">
        <w:rPr>
          <w:rFonts w:ascii="Arial" w:hAnsi="Arial" w:cs="Arial"/>
          <w:noProof/>
          <w:color w:val="000000" w:themeColor="text1"/>
        </w:rPr>
        <w:t>(Ngala et al., 2014)</w:t>
      </w:r>
      <w:r w:rsidR="000A46EA" w:rsidRPr="6AC1B2C3">
        <w:rPr>
          <w:rFonts w:ascii="Arial" w:hAnsi="Arial" w:cs="Arial"/>
          <w:i/>
          <w:iCs/>
          <w:color w:val="000000" w:themeColor="text1"/>
        </w:rPr>
        <w:fldChar w:fldCharType="end"/>
      </w:r>
      <w:r w:rsidR="000A46EA" w:rsidRPr="00AB1934">
        <w:rPr>
          <w:rFonts w:ascii="Arial" w:hAnsi="Arial" w:cs="Arial"/>
          <w:color w:val="000000" w:themeColor="text1"/>
        </w:rPr>
        <w:t>.</w:t>
      </w:r>
      <w:r w:rsidR="002E5BF5" w:rsidRPr="00AB1934">
        <w:rPr>
          <w:rFonts w:ascii="Arial" w:hAnsi="Arial" w:cs="Arial"/>
        </w:rPr>
        <w:t xml:space="preserve"> </w:t>
      </w:r>
      <w:r w:rsidRPr="00AB1934">
        <w:rPr>
          <w:rFonts w:ascii="Arial" w:hAnsi="Arial" w:cs="Arial"/>
        </w:rPr>
        <w:t>However</w:t>
      </w:r>
      <w:r>
        <w:rPr>
          <w:rFonts w:ascii="Arial" w:hAnsi="Arial" w:cs="Arial"/>
        </w:rPr>
        <w:t xml:space="preserve">, </w:t>
      </w:r>
      <w:r>
        <w:rPr>
          <w:rFonts w:ascii="Arial" w:hAnsi="Arial" w:cs="Arial"/>
        </w:rPr>
        <w:lastRenderedPageBreak/>
        <w:t>I</w:t>
      </w:r>
      <w:r w:rsidR="001921A0" w:rsidRPr="00317794">
        <w:rPr>
          <w:rFonts w:ascii="Arial" w:hAnsi="Arial" w:cs="Arial"/>
        </w:rPr>
        <w:t xml:space="preserve">t is also important to consider suitable planting season as </w:t>
      </w:r>
      <w:r>
        <w:rPr>
          <w:rFonts w:ascii="Arial" w:hAnsi="Arial" w:cs="Arial"/>
        </w:rPr>
        <w:t xml:space="preserve">seasonal </w:t>
      </w:r>
      <w:r w:rsidR="001921A0" w:rsidRPr="00317794">
        <w:rPr>
          <w:rFonts w:ascii="Arial" w:hAnsi="Arial" w:cs="Arial"/>
        </w:rPr>
        <w:t xml:space="preserve">variations </w:t>
      </w:r>
      <w:r w:rsidR="002E5BF5">
        <w:rPr>
          <w:rFonts w:ascii="Arial" w:hAnsi="Arial" w:cs="Arial"/>
        </w:rPr>
        <w:t xml:space="preserve">in biomass produced </w:t>
      </w:r>
      <w:r w:rsidR="001921A0" w:rsidRPr="00317794">
        <w:rPr>
          <w:rFonts w:ascii="Arial" w:hAnsi="Arial" w:cs="Arial"/>
        </w:rPr>
        <w:t>exist between summer and winter sown brassicas.</w:t>
      </w:r>
      <w:r w:rsidR="00B015F2">
        <w:rPr>
          <w:rFonts w:ascii="Arial" w:hAnsi="Arial" w:cs="Arial"/>
        </w:rPr>
        <w:fldChar w:fldCharType="begin" w:fldLock="1"/>
      </w:r>
      <w:r w:rsidR="00B015F2">
        <w:rPr>
          <w:rFonts w:ascii="Arial" w:hAnsi="Arial" w:cs="Arial"/>
        </w:rPr>
        <w:instrText>ADDIN CSL_CITATION {"citationItems":[{"id":"ITEM-1","itemData":{"ISSN":"0018-5345","author":[{"dropping-particle":"","family":"Price","given":"Andrew J","non-dropping-particle":"","parse-names":false,"suffix":""},{"dropping-particle":"","family":"Charron","given":"Craig S","non-dropping-particle":"","parse-names":false,"suffix":""},{"dropping-particle":"","family":"Saxton","given":"Arnold M","non-dropping-particle":"","parse-names":false,"suffix":""},{"dropping-particle":"","family":"Sams","given":"Carl E","non-dropping-particle":"","parse-names":false,"suffix":""}],"container-title":"HortScience","id":"ITEM-1","issue":"6","issued":{"date-parts":[["2005"]]},"page":"1734-1739","publisher":"American Society for Horticultural Science","title":"Allyl isothiocyanate and carbon dioxide produced during degradation of Brassica juncea tissue in different soil conditions","type":"article-journal","volume":"40"},"uris":["http://www.mendeley.com/documents/?uuid=5380fe85-7b89-487a-9883-6241ecdfecbb"]},{"id":"ITEM-2","itemData":{"ISSN":"0022-5142","author":[{"dropping-particle":"","family":"Booth","given":"Elaine J","non-dropping-particle":"","parse-names":false,"suffix":""},{"dropping-particle":"","family":"Walker","given":"Kerr C","non-dropping-particle":"","parse-names":false,"suffix":""},{"dropping-particle":"","family":"Griffiths","given":"D Wynne","non-dropping-particle":"","parse-names":false,"suffix":""}],"container-title":"Journal of the Science of Food and Agriculture","id":"ITEM-2","issue":"4","issued":{"date-parts":[["1991"]]},"page":"479-493","publisher":"Wiley Online Library","title":"A time</w:instrText>
      </w:r>
      <w:r w:rsidR="00B015F2">
        <w:rPr>
          <w:rFonts w:ascii="Cambria Math" w:hAnsi="Cambria Math" w:cs="Cambria Math"/>
        </w:rPr>
        <w:instrText>‐</w:instrText>
      </w:r>
      <w:r w:rsidR="00B015F2">
        <w:rPr>
          <w:rFonts w:ascii="Arial" w:hAnsi="Arial" w:cs="Arial"/>
        </w:rPr>
        <w:instrText>course study of the effect of sulphur on glucosinolates in oilseed rape (Brassica napus) from the vegetative stage to maturity","type":"article-journal","volume":"56"},"uris":["http://www.mendeley.com/documents/?uuid=e59e7ae7-daa0-4f1a-bd99-34691b3e72e0"]},{"id":"ITEM-3","itemData":{"ISSN":"1573-5036","author":[{"dropping-particle":"","family":"Sarwar","given":"M","non-dropping-particle":"","parse-names":false,"suffix":""},{"dropping-particle":"","family":"Kirkegaard","given":"J A","non-dropping-particle":"","parse-names":false,"suffix":""},{"dropping-particle":"","family":"Wong","given":"P T W","non-dropping-particle":"","parse-names":false,"suffix":""},{"dropping-particle":"","family":"Desmarchelier","given":"JMm","non-dropping-particle":"","parse-names":false,"suffix":""}],"container-title":"Plant and Soil","id":"ITEM-3","issue":"1","issued":{"date-parts":[["1998"]]},"page":"103-112","publisher":"Springer","title":"Biofumigation potential of brassicas","type":"article-journal","volume":"201"},"uris":["http://www.mendeley.com/documents/?uuid=89628ff8-2f59-4d9e-b313-34dfaa473b78"]}],"mendeley":{"formattedCitation":"(Booth, Walker and Griffiths, 1991; Sarwar &lt;i&gt;et al.&lt;/i&gt;, 1998; Price &lt;i&gt;et al.&lt;/i&gt;, 2005)","plainTextFormattedCitation":"(Booth, Walker and Griffiths, 1991; Sarwar et al., 1998; Price et al., 2005)","previouslyFormattedCitation":"(Booth, Walker and Griffiths, 1991; Sarwar &lt;i&gt;et al.&lt;/i&gt;, 1998; Price &lt;i&gt;et al.&lt;/i&gt;, 2005)"},"properties":{"noteIndex":0},"schema":"https://github.com/citation-style-language/schema/raw/master/csl-citation.json"}</w:instrText>
      </w:r>
      <w:r w:rsidR="00B015F2">
        <w:rPr>
          <w:rFonts w:ascii="Arial" w:hAnsi="Arial" w:cs="Arial"/>
        </w:rPr>
        <w:fldChar w:fldCharType="separate"/>
      </w:r>
      <w:r w:rsidR="00B015F2" w:rsidRPr="00B015F2">
        <w:rPr>
          <w:rFonts w:ascii="Arial" w:hAnsi="Arial" w:cs="Arial"/>
          <w:noProof/>
        </w:rPr>
        <w:t xml:space="preserve">(Booth, Walker and Griffiths, 1991; Sarwar </w:t>
      </w:r>
      <w:r w:rsidR="00B015F2" w:rsidRPr="6AC1B2C3">
        <w:rPr>
          <w:rFonts w:ascii="Arial" w:hAnsi="Arial" w:cs="Arial"/>
          <w:i/>
          <w:iCs/>
          <w:noProof/>
        </w:rPr>
        <w:t>et al.</w:t>
      </w:r>
      <w:r w:rsidR="00B015F2" w:rsidRPr="00B015F2">
        <w:rPr>
          <w:rFonts w:ascii="Arial" w:hAnsi="Arial" w:cs="Arial"/>
          <w:noProof/>
        </w:rPr>
        <w:t xml:space="preserve">, 1998; Price </w:t>
      </w:r>
      <w:r w:rsidR="00B015F2" w:rsidRPr="6AC1B2C3">
        <w:rPr>
          <w:rFonts w:ascii="Arial" w:hAnsi="Arial" w:cs="Arial"/>
          <w:i/>
          <w:iCs/>
          <w:noProof/>
        </w:rPr>
        <w:t>et al.</w:t>
      </w:r>
      <w:r w:rsidR="00B015F2" w:rsidRPr="00B015F2">
        <w:rPr>
          <w:rFonts w:ascii="Arial" w:hAnsi="Arial" w:cs="Arial"/>
          <w:noProof/>
        </w:rPr>
        <w:t>, 2005)</w:t>
      </w:r>
      <w:r w:rsidR="00B015F2">
        <w:rPr>
          <w:rFonts w:ascii="Arial" w:hAnsi="Arial" w:cs="Arial"/>
        </w:rPr>
        <w:fldChar w:fldCharType="end"/>
      </w:r>
      <w:r w:rsidR="00B015F2">
        <w:rPr>
          <w:rFonts w:ascii="Arial" w:hAnsi="Arial" w:cs="Arial"/>
        </w:rPr>
        <w:t xml:space="preserve">. </w:t>
      </w:r>
      <w:r w:rsidR="001921A0" w:rsidRPr="00317794">
        <w:rPr>
          <w:rFonts w:ascii="Arial" w:hAnsi="Arial" w:cs="Arial"/>
        </w:rPr>
        <w:t xml:space="preserve">In summer, glucosinolates </w:t>
      </w:r>
      <w:r w:rsidR="001921A0" w:rsidRPr="007867B4">
        <w:rPr>
          <w:rFonts w:ascii="Arial" w:hAnsi="Arial" w:cs="Arial"/>
        </w:rPr>
        <w:t>concentration of upto 100 μmol GSL g</w:t>
      </w:r>
      <w:r w:rsidR="001921A0" w:rsidRPr="007867B4">
        <w:rPr>
          <w:rFonts w:ascii="Arial" w:hAnsi="Arial" w:cs="Arial"/>
          <w:position w:val="8"/>
          <w:vertAlign w:val="superscript"/>
        </w:rPr>
        <w:t xml:space="preserve">-1 </w:t>
      </w:r>
      <w:r w:rsidR="001921A0" w:rsidRPr="007867B4">
        <w:rPr>
          <w:rFonts w:ascii="Arial" w:hAnsi="Arial" w:cs="Arial"/>
        </w:rPr>
        <w:t xml:space="preserve">dry-weight tissue has been recorded in </w:t>
      </w:r>
      <w:r w:rsidR="001921A0" w:rsidRPr="6AC1B2C3">
        <w:rPr>
          <w:rFonts w:ascii="Arial" w:hAnsi="Arial" w:cs="Arial"/>
          <w:i/>
          <w:iCs/>
        </w:rPr>
        <w:t>Brassica juncea</w:t>
      </w:r>
      <w:r w:rsidR="001921A0" w:rsidRPr="00990071">
        <w:rPr>
          <w:rFonts w:ascii="Arial" w:hAnsi="Arial" w:cs="Arial"/>
        </w:rPr>
        <w:t xml:space="preserve"> cv. ISCI </w:t>
      </w:r>
      <w:r w:rsidR="00317794" w:rsidRPr="00990071">
        <w:rPr>
          <w:rFonts w:ascii="Arial" w:hAnsi="Arial" w:cs="Arial"/>
        </w:rPr>
        <w:t>99,</w:t>
      </w:r>
      <w:r w:rsidR="001921A0" w:rsidRPr="00990071">
        <w:rPr>
          <w:rFonts w:ascii="Arial" w:hAnsi="Arial" w:cs="Arial"/>
        </w:rPr>
        <w:t xml:space="preserve"> at mid-flowering stage</w:t>
      </w:r>
      <w:r w:rsidR="00F76EB3" w:rsidRPr="00990071">
        <w:rPr>
          <w:rFonts w:ascii="Arial" w:hAnsi="Arial" w:cs="Arial"/>
        </w:rPr>
        <w:t xml:space="preserve"> under field </w:t>
      </w:r>
      <w:r w:rsidR="00317794" w:rsidRPr="00990071">
        <w:rPr>
          <w:rFonts w:ascii="Arial" w:hAnsi="Arial" w:cs="Arial"/>
        </w:rPr>
        <w:t>conditions (</w:t>
      </w:r>
      <w:r w:rsidR="001921A0" w:rsidRPr="00990071">
        <w:rPr>
          <w:rFonts w:ascii="Arial" w:hAnsi="Arial" w:cs="Arial"/>
        </w:rPr>
        <w:t xml:space="preserve">Ngala </w:t>
      </w:r>
      <w:r w:rsidR="001921A0" w:rsidRPr="6AC1B2C3">
        <w:rPr>
          <w:rFonts w:ascii="Arial" w:hAnsi="Arial" w:cs="Arial"/>
          <w:i/>
          <w:iCs/>
        </w:rPr>
        <w:t>et al</w:t>
      </w:r>
      <w:r w:rsidR="001921A0" w:rsidRPr="00990071">
        <w:rPr>
          <w:rFonts w:ascii="Arial" w:hAnsi="Arial" w:cs="Arial"/>
        </w:rPr>
        <w:t>., 2014).</w:t>
      </w:r>
      <w:r w:rsidR="00F76EB3" w:rsidRPr="00990071">
        <w:rPr>
          <w:rFonts w:ascii="Arial" w:hAnsi="Arial" w:cs="Arial"/>
        </w:rPr>
        <w:t xml:space="preserve"> </w:t>
      </w:r>
      <w:r w:rsidR="00317794" w:rsidRPr="00990071">
        <w:rPr>
          <w:rFonts w:ascii="Arial" w:hAnsi="Arial" w:cs="Arial"/>
        </w:rPr>
        <w:t>Th</w:t>
      </w:r>
      <w:r>
        <w:rPr>
          <w:rFonts w:ascii="Arial" w:hAnsi="Arial" w:cs="Arial"/>
        </w:rPr>
        <w:t xml:space="preserve">e high concentration in summer, has been </w:t>
      </w:r>
      <w:r w:rsidRPr="00990071">
        <w:rPr>
          <w:rFonts w:ascii="Arial" w:hAnsi="Arial" w:cs="Arial"/>
        </w:rPr>
        <w:t>attributed</w:t>
      </w:r>
      <w:r>
        <w:rPr>
          <w:rFonts w:ascii="Arial" w:hAnsi="Arial" w:cs="Arial"/>
        </w:rPr>
        <w:t xml:space="preserve"> to </w:t>
      </w:r>
      <w:r w:rsidR="00317794" w:rsidRPr="00990071">
        <w:rPr>
          <w:rFonts w:ascii="Arial" w:hAnsi="Arial" w:cs="Arial"/>
        </w:rPr>
        <w:t>light intensity, long day length and temperatures which are higher in summer</w:t>
      </w:r>
      <w:r w:rsidR="00B015F2">
        <w:rPr>
          <w:rFonts w:ascii="Arial" w:hAnsi="Arial" w:cs="Arial"/>
        </w:rPr>
        <w:t xml:space="preserve"> </w:t>
      </w:r>
      <w:r w:rsidR="00B015F2">
        <w:rPr>
          <w:rFonts w:ascii="Arial" w:hAnsi="Arial" w:cs="Arial"/>
        </w:rPr>
        <w:fldChar w:fldCharType="begin" w:fldLock="1"/>
      </w:r>
      <w:r w:rsidR="00F830BA">
        <w:rPr>
          <w:rFonts w:ascii="Arial" w:hAnsi="Arial" w:cs="Arial"/>
        </w:rPr>
        <w:instrText>ADDIN CSL_CITATION {"citationItems":[{"id":"ITEM-1","itemData":{"DOI":"10.1021/jf051857o","ISSN":"00218561","PMID":"16417287","abstract":"The effects of different growth regimes on gluconasturtiin concentration in watercress (Nasturtium officinale R. Br.) were investigated. Watercress plantlets at the 5th mature leaf stage (ca. 2 weeks old) were exposed to different day and night temperatures, to long (16 h) or short (8 h) days, to red (R) or far-red (FR) light given during the main long day photoperiod, and finally to R or FR light given at the end of the main photoperiod. Watercress plants grown under long days contained a 30-40% higher gluconasturtiin concentration and had a higher fresh weight than watercress plants grown under short days. Watercress plants grown under long days and temperatures of 15 or 10°C had at least a 50% higher gluconasturtiin concentration, but a lower fresh weight, than that of plants grown at 20 or 25°C. Watercress plants grown under metal halide light enriched with R light had approximately a 25-40% higher concentration of gluconasturtiin as compared to the FR-enriched plants. Likewise, a brief R light exposure at the end of the main photoperiod resulted in approximately a 25% or higher concentration of gluconasturtiin as compared to a FR end-of-day exposure. These data indicate that the concentration of gluconasturtiin in watercress can be significantly increased by growing plants at lower temperatures, under long days, and by exposure to R light. © 2006 American Chemical Society.","author":[{"dropping-particle":"","family":"Engelen-Eigles","given":"Gerard","non-dropping-particle":"","parse-names":false,"suffix":""},{"dropping-particle":"","family":"Holden","given":"Greg","non-dropping-particle":"","parse-names":false,"suffix":""},{"dropping-particle":"","family":"Cohen","given":"Jerry D.","non-dropping-particle":"","parse-names":false,"suffix":""},{"dropping-particle":"","family":"Gardner","given":"Gary","non-dropping-particle":"","parse-names":false,"suffix":""}],"container-title":"Journal of Agricultural and Food Chemistry","id":"ITEM-1","issue":"2","issued":{"date-parts":[["2006"]]},"page":"328-334","title":"The effect of temperature, photoperiod, and light quality on gluconasturtiin concentration in watercress (Nasturtium officinale R. Br.)","type":"article-journal","volume":"54"},"uris":["http://www.mendeley.com/documents/?uuid=ea115cce-0aa1-4659-975d-5a5a3dca3402"]}],"mendeley":{"formattedCitation":"(Engelen-Eigles &lt;i&gt;et al.&lt;/i&gt;, 2006)","plainTextFormattedCitation":"(Engelen-Eigles et al., 2006)","previouslyFormattedCitation":"(Engelen-Eigles &lt;i&gt;et al.&lt;/i&gt;, 2006)"},"properties":{"noteIndex":0},"schema":"https://github.com/citation-style-language/schema/raw/master/csl-citation.json"}</w:instrText>
      </w:r>
      <w:r w:rsidR="00B015F2">
        <w:rPr>
          <w:rFonts w:ascii="Arial" w:hAnsi="Arial" w:cs="Arial"/>
        </w:rPr>
        <w:fldChar w:fldCharType="separate"/>
      </w:r>
      <w:r w:rsidR="00B015F2" w:rsidRPr="00B015F2">
        <w:rPr>
          <w:rFonts w:ascii="Arial" w:hAnsi="Arial" w:cs="Arial"/>
          <w:noProof/>
        </w:rPr>
        <w:t xml:space="preserve">(Engelen-Eigles </w:t>
      </w:r>
      <w:r w:rsidR="00B015F2" w:rsidRPr="6AC1B2C3">
        <w:rPr>
          <w:rFonts w:ascii="Arial" w:hAnsi="Arial" w:cs="Arial"/>
          <w:i/>
          <w:iCs/>
          <w:noProof/>
        </w:rPr>
        <w:t>et al.</w:t>
      </w:r>
      <w:r w:rsidR="00B015F2" w:rsidRPr="00B015F2">
        <w:rPr>
          <w:rFonts w:ascii="Arial" w:hAnsi="Arial" w:cs="Arial"/>
          <w:noProof/>
        </w:rPr>
        <w:t>, 2006)</w:t>
      </w:r>
      <w:r w:rsidR="00B015F2">
        <w:rPr>
          <w:rFonts w:ascii="Arial" w:hAnsi="Arial" w:cs="Arial"/>
        </w:rPr>
        <w:fldChar w:fldCharType="end"/>
      </w:r>
    </w:p>
    <w:p w14:paraId="74EE6C96" w14:textId="69EC620C" w:rsidR="00091132" w:rsidRPr="00F830BA" w:rsidRDefault="00317794" w:rsidP="00616CDC">
      <w:pPr>
        <w:pStyle w:val="paragraph"/>
        <w:spacing w:after="0" w:line="360" w:lineRule="auto"/>
        <w:ind w:left="-284" w:right="-330"/>
        <w:jc w:val="both"/>
        <w:textAlignment w:val="baseline"/>
        <w:rPr>
          <w:rFonts w:ascii="Arial" w:hAnsi="Arial" w:cs="Arial"/>
        </w:rPr>
      </w:pPr>
      <w:r w:rsidRPr="00F830BA">
        <w:rPr>
          <w:rFonts w:ascii="Arial" w:hAnsi="Arial" w:cs="Arial"/>
        </w:rPr>
        <w:t xml:space="preserve">The long day length and light intensity ensures high photosynthesis hence accumulation of glucose which is an important integral of GSL as well as contributing to high </w:t>
      </w:r>
      <w:r w:rsidR="007867B4" w:rsidRPr="00F830BA">
        <w:rPr>
          <w:rFonts w:ascii="Arial" w:hAnsi="Arial" w:cs="Arial"/>
        </w:rPr>
        <w:t>biomass</w:t>
      </w:r>
      <w:r w:rsidR="00F830BA" w:rsidRPr="00F830BA">
        <w:rPr>
          <w:rFonts w:ascii="Arial" w:hAnsi="Arial" w:cs="Arial"/>
        </w:rPr>
        <w:t xml:space="preserve"> </w:t>
      </w:r>
      <w:r w:rsidR="00F830BA" w:rsidRPr="00F830BA">
        <w:rPr>
          <w:rFonts w:ascii="Arial" w:hAnsi="Arial" w:cs="Arial"/>
        </w:rPr>
        <w:fldChar w:fldCharType="begin" w:fldLock="1"/>
      </w:r>
      <w:r w:rsidR="00F830BA" w:rsidRPr="00F830BA">
        <w:rPr>
          <w:rFonts w:ascii="Arial" w:hAnsi="Arial" w:cs="Arial"/>
        </w:rPr>
        <w:instrText>ADDIN CSL_CITATION {"citationItems":[{"id":"ITEM-1","itemData":{"ISSN":"0031-9422","author":[{"dropping-particle":"","family":"Agerbirk","given":"Niels","non-dropping-particle":"","parse-names":false,"suffix":""},{"dropping-particle":"","family":"Olsen","given":"Carl Erik","non-dropping-particle":"","parse-names":false,"suffix":""}],"container-title":"Phytochemistry","id":"ITEM-1","issued":{"date-parts":[["2012"]]},"page":"16-45","publisher":"Elsevier","title":"Glucosinolate structures in evolution","type":"article-journal","volume":"77"},"uris":["http://www.mendeley.com/documents/?uuid=598db7e9-272f-4067-94bd-e8b5e6f70dd7"]}],"mendeley":{"formattedCitation":"(Agerbirk and Olsen, 2012)","plainTextFormattedCitation":"(Agerbirk and Olsen, 2012)","previouslyFormattedCitation":"(Agerbirk and Olsen, 2012)"},"properties":{"noteIndex":0},"schema":"https://github.com/citation-style-language/schema/raw/master/csl-citation.json"}</w:instrText>
      </w:r>
      <w:r w:rsidR="00F830BA" w:rsidRPr="00F830BA">
        <w:rPr>
          <w:rFonts w:ascii="Arial" w:hAnsi="Arial" w:cs="Arial"/>
        </w:rPr>
        <w:fldChar w:fldCharType="separate"/>
      </w:r>
      <w:r w:rsidR="00F830BA" w:rsidRPr="00F830BA">
        <w:rPr>
          <w:rFonts w:ascii="Arial" w:hAnsi="Arial" w:cs="Arial"/>
          <w:noProof/>
        </w:rPr>
        <w:t>(Agerbirk and Olsen, 2012)</w:t>
      </w:r>
      <w:r w:rsidR="00F830BA" w:rsidRPr="00F830BA">
        <w:rPr>
          <w:rFonts w:ascii="Arial" w:hAnsi="Arial" w:cs="Arial"/>
        </w:rPr>
        <w:fldChar w:fldCharType="end"/>
      </w:r>
      <w:r w:rsidR="007867B4" w:rsidRPr="00F830BA">
        <w:rPr>
          <w:rFonts w:ascii="Arial" w:hAnsi="Arial" w:cs="Arial"/>
        </w:rPr>
        <w:t>.</w:t>
      </w:r>
      <w:r w:rsidRPr="00F830BA">
        <w:rPr>
          <w:rFonts w:ascii="Arial" w:hAnsi="Arial" w:cs="Arial"/>
        </w:rPr>
        <w:t xml:space="preserve"> </w:t>
      </w:r>
      <w:r w:rsidR="007867B4" w:rsidRPr="00F830BA">
        <w:rPr>
          <w:rFonts w:ascii="Arial" w:hAnsi="Arial" w:cs="Arial"/>
        </w:rPr>
        <w:t>Summer</w:t>
      </w:r>
      <w:r w:rsidRPr="00F830BA">
        <w:rPr>
          <w:rFonts w:ascii="Arial" w:hAnsi="Arial" w:cs="Arial"/>
        </w:rPr>
        <w:t xml:space="preserve"> grown brassicas for th</w:t>
      </w:r>
      <w:r w:rsidR="007867B4" w:rsidRPr="00F830BA">
        <w:rPr>
          <w:rFonts w:ascii="Arial" w:hAnsi="Arial" w:cs="Arial"/>
        </w:rPr>
        <w:t>a</w:t>
      </w:r>
      <w:r w:rsidRPr="00F830BA">
        <w:rPr>
          <w:rFonts w:ascii="Arial" w:hAnsi="Arial" w:cs="Arial"/>
        </w:rPr>
        <w:t>t reason have been shown to be more effective in pest and disease suppression as compared to winter grown brassicas</w:t>
      </w:r>
      <w:r w:rsidR="007867B4" w:rsidRPr="00474F68">
        <w:rPr>
          <w:rFonts w:ascii="Arial" w:hAnsi="Arial" w:cs="Arial"/>
        </w:rPr>
        <w:t xml:space="preserve">. </w:t>
      </w:r>
      <w:r w:rsidR="007867B4" w:rsidRPr="00F830BA">
        <w:rPr>
          <w:rFonts w:ascii="Arial" w:hAnsi="Arial" w:cs="Arial"/>
        </w:rPr>
        <w:t xml:space="preserve">Nutrients such as sulphur and nitrogen are </w:t>
      </w:r>
      <w:r w:rsidR="008A662A" w:rsidRPr="00F830BA">
        <w:rPr>
          <w:rFonts w:ascii="Arial" w:hAnsi="Arial" w:cs="Arial"/>
        </w:rPr>
        <w:t xml:space="preserve">also </w:t>
      </w:r>
      <w:r w:rsidR="007867B4" w:rsidRPr="00F830BA">
        <w:rPr>
          <w:rFonts w:ascii="Arial" w:hAnsi="Arial" w:cs="Arial"/>
        </w:rPr>
        <w:t>very paramount in field grown biofumigants</w:t>
      </w:r>
      <w:r w:rsidR="00990071" w:rsidRPr="00F830BA">
        <w:rPr>
          <w:rFonts w:ascii="Arial" w:hAnsi="Arial" w:cs="Arial"/>
        </w:rPr>
        <w:t xml:space="preserve"> and are important elements </w:t>
      </w:r>
      <w:r w:rsidR="007867B4" w:rsidRPr="00F830BA">
        <w:rPr>
          <w:rFonts w:ascii="Arial" w:hAnsi="Arial" w:cs="Arial"/>
        </w:rPr>
        <w:t xml:space="preserve">in the biosynthesis process of GSL </w:t>
      </w:r>
      <w:r w:rsidR="00990071" w:rsidRPr="00F830BA">
        <w:rPr>
          <w:rFonts w:ascii="Arial" w:hAnsi="Arial" w:cs="Arial"/>
        </w:rPr>
        <w:t xml:space="preserve">which </w:t>
      </w:r>
      <w:r w:rsidR="007867B4" w:rsidRPr="00F830BA">
        <w:rPr>
          <w:rFonts w:ascii="Arial" w:hAnsi="Arial" w:cs="Arial"/>
        </w:rPr>
        <w:t xml:space="preserve">greatly influences the GSL concentration. Nitrogen </w:t>
      </w:r>
      <w:r w:rsidR="00990071" w:rsidRPr="00F830BA">
        <w:rPr>
          <w:rFonts w:ascii="Arial" w:hAnsi="Arial" w:cs="Arial"/>
        </w:rPr>
        <w:t xml:space="preserve">also </w:t>
      </w:r>
      <w:r w:rsidR="007867B4" w:rsidRPr="00F830BA">
        <w:rPr>
          <w:rFonts w:ascii="Arial" w:hAnsi="Arial" w:cs="Arial"/>
        </w:rPr>
        <w:t xml:space="preserve">plays a vital role in protein </w:t>
      </w:r>
      <w:r w:rsidR="008A662A" w:rsidRPr="00F830BA">
        <w:rPr>
          <w:rFonts w:ascii="Arial" w:hAnsi="Arial" w:cs="Arial"/>
        </w:rPr>
        <w:t>biosynthesis, cation</w:t>
      </w:r>
      <w:r w:rsidR="00990071" w:rsidRPr="00F830BA">
        <w:rPr>
          <w:rFonts w:ascii="Arial" w:hAnsi="Arial" w:cs="Arial"/>
        </w:rPr>
        <w:t xml:space="preserve"> </w:t>
      </w:r>
      <w:r w:rsidR="007867B4" w:rsidRPr="00F830BA">
        <w:rPr>
          <w:rFonts w:ascii="Arial" w:hAnsi="Arial" w:cs="Arial"/>
        </w:rPr>
        <w:t>which influences the biomass produced by the biofumigant.</w:t>
      </w:r>
      <w:r w:rsidR="00990071" w:rsidRPr="00F830BA">
        <w:rPr>
          <w:rFonts w:ascii="Arial" w:hAnsi="Arial" w:cs="Arial"/>
        </w:rPr>
        <w:t xml:space="preserve"> Recommended field application rate for Nitrogen is 60-100 kg</w:t>
      </w:r>
      <w:r w:rsidR="00990071" w:rsidRPr="00F830BA">
        <w:rPr>
          <w:rFonts w:ascii="Arial" w:hAnsi="Arial" w:cs="Arial"/>
          <w:color w:val="000000"/>
        </w:rPr>
        <w:t xml:space="preserve"> ha</w:t>
      </w:r>
      <w:r w:rsidR="00990071" w:rsidRPr="00474F68">
        <w:rPr>
          <w:rFonts w:ascii="Arial" w:hAnsi="Arial" w:cs="Arial"/>
          <w:color w:val="000000"/>
          <w:position w:val="8"/>
          <w:vertAlign w:val="superscript"/>
        </w:rPr>
        <w:t xml:space="preserve">-1 </w:t>
      </w:r>
      <w:r w:rsidR="00990071" w:rsidRPr="00474F68">
        <w:rPr>
          <w:rFonts w:ascii="Arial" w:hAnsi="Arial" w:cs="Arial"/>
          <w:color w:val="000000"/>
          <w:position w:val="8"/>
        </w:rPr>
        <w:t xml:space="preserve"> </w:t>
      </w:r>
      <w:r w:rsidR="00F830BA" w:rsidRPr="00474F68">
        <w:rPr>
          <w:rFonts w:ascii="Arial" w:hAnsi="Arial" w:cs="Arial"/>
          <w:color w:val="000000"/>
        </w:rPr>
        <w:fldChar w:fldCharType="begin" w:fldLock="1"/>
      </w:r>
      <w:r w:rsidR="00F830BA">
        <w:rPr>
          <w:rFonts w:ascii="Arial" w:hAnsi="Arial" w:cs="Arial"/>
          <w:color w:val="000000"/>
        </w:rPr>
        <w:instrText>ADDIN CSL_CITATION {"citationItems":[{"id":"ITEM-1","itemData":{"author":[{"dropping-particle":"","family":"Lazzeri","given":"L.","non-dropping-particle":"","parse-names":false,"suffix":""},{"dropping-particle":"","family":"Leoni","given":"O.","non-dropping-particle":"","parse-names":false,"suffix":""},{"dropping-particle":"","family":"Bernardi","given":"R.","non-dropping-particle":"","parse-names":false,"suffix":""},{"dropping-particle":"","family":"Malaguti","given":"L.","non-dropping-particle":"","parse-names":false,"suffix":""},{"dropping-particle":"","family":"Cinti","given":"S.","non-dropping-particle":"","parse-names":false,"suffix":""}],"container-title":"Agroindustria","id":"ITEM-1","issue":"December 2020","issued":{"date-parts":[["2004"]]},"page":"281-287","title":"Plants, techniques and products for optimising biofumigation in the full field.","type":"article-journal","volume":"3"},"uris":["http://www.mendeley.com/documents/?uuid=6a396742-db23-4666-9043-31300c8d8933"]}],"mendeley":{"formattedCitation":"(Lazzeri &lt;i&gt;et al.&lt;/i&gt;, 2004)","plainTextFormattedCitation":"(Lazzeri et al., 2004)","previouslyFormattedCitation":"(Lazzeri &lt;i&gt;et al.&lt;/i&gt;, 2004)"},"properties":{"noteIndex":0},"schema":"https://github.com/citation-style-language/schema/raw/master/csl-citation.json"}</w:instrText>
      </w:r>
      <w:r w:rsidR="00F830BA" w:rsidRPr="00474F68">
        <w:rPr>
          <w:rFonts w:ascii="Arial" w:hAnsi="Arial" w:cs="Arial"/>
          <w:color w:val="000000"/>
        </w:rPr>
        <w:fldChar w:fldCharType="separate"/>
      </w:r>
      <w:r w:rsidR="00F830BA" w:rsidRPr="00474F68">
        <w:rPr>
          <w:rFonts w:ascii="Arial" w:hAnsi="Arial" w:cs="Arial"/>
          <w:noProof/>
          <w:color w:val="000000"/>
        </w:rPr>
        <w:t xml:space="preserve">(Lazzeri </w:t>
      </w:r>
      <w:r w:rsidR="00F830BA" w:rsidRPr="6AC1B2C3">
        <w:rPr>
          <w:rFonts w:ascii="Arial" w:hAnsi="Arial" w:cs="Arial"/>
          <w:i/>
          <w:iCs/>
          <w:noProof/>
          <w:color w:val="000000"/>
        </w:rPr>
        <w:t>et al.</w:t>
      </w:r>
      <w:r w:rsidR="00F830BA" w:rsidRPr="00474F68">
        <w:rPr>
          <w:rFonts w:ascii="Arial" w:hAnsi="Arial" w:cs="Arial"/>
          <w:noProof/>
          <w:color w:val="000000"/>
        </w:rPr>
        <w:t>, 2004)</w:t>
      </w:r>
      <w:r w:rsidR="00F830BA" w:rsidRPr="00474F68">
        <w:rPr>
          <w:rFonts w:ascii="Arial" w:hAnsi="Arial" w:cs="Arial"/>
          <w:color w:val="000000"/>
        </w:rPr>
        <w:fldChar w:fldCharType="end"/>
      </w:r>
      <w:r w:rsidR="00F830BA" w:rsidRPr="00F830BA">
        <w:rPr>
          <w:rFonts w:ascii="Arial" w:hAnsi="Arial" w:cs="Arial"/>
          <w:color w:val="000000"/>
        </w:rPr>
        <w:t xml:space="preserve"> </w:t>
      </w:r>
      <w:r w:rsidR="00B56FF0" w:rsidRPr="00474F68">
        <w:rPr>
          <w:rFonts w:ascii="Arial" w:hAnsi="Arial" w:cs="Arial"/>
          <w:color w:val="000000"/>
        </w:rPr>
        <w:t xml:space="preserve">while sulphur is applied as </w:t>
      </w:r>
      <w:r w:rsidR="00B56FF0" w:rsidRPr="00F830BA">
        <w:rPr>
          <w:rFonts w:ascii="Arial" w:hAnsi="Arial" w:cs="Arial"/>
          <w:color w:val="000000"/>
        </w:rPr>
        <w:t>sulphate at a ratio of 5:1</w:t>
      </w:r>
      <w:r w:rsidR="008A662A" w:rsidRPr="00F830BA">
        <w:rPr>
          <w:rFonts w:ascii="Arial" w:hAnsi="Arial" w:cs="Arial"/>
          <w:color w:val="000000"/>
        </w:rPr>
        <w:t xml:space="preserve"> </w:t>
      </w:r>
      <w:r w:rsidR="00B56FF0" w:rsidRPr="6AC1B2C3">
        <w:rPr>
          <w:rFonts w:ascii="Arial" w:eastAsiaTheme="minorEastAsia" w:hAnsi="Arial" w:cs="Arial"/>
          <w:lang w:eastAsia="en-US"/>
        </w:rPr>
        <w:t>(Pers. Comm. Dr Matthew Back: Reader in Nematology at Harper Adams University investigating nutrient applications to biofumigant crops for AHDB Potatoes)</w:t>
      </w:r>
      <w:r w:rsidR="002E5BF5" w:rsidRPr="00F830BA">
        <w:rPr>
          <w:rFonts w:ascii="Arial" w:hAnsi="Arial" w:cs="Arial"/>
        </w:rPr>
        <w:t>.</w:t>
      </w:r>
    </w:p>
    <w:p w14:paraId="4D53A0E5" w14:textId="0D3070B2" w:rsidR="00EA53AF" w:rsidRPr="00474F68" w:rsidRDefault="000A46EA" w:rsidP="00616CDC">
      <w:pPr>
        <w:pStyle w:val="paragraph"/>
        <w:spacing w:after="0" w:line="360" w:lineRule="auto"/>
        <w:ind w:left="-284" w:right="-330"/>
        <w:jc w:val="both"/>
        <w:textAlignment w:val="baseline"/>
        <w:rPr>
          <w:rFonts w:ascii="Arial" w:hAnsi="Arial" w:cs="Arial"/>
          <w:color w:val="000000" w:themeColor="text1"/>
        </w:rPr>
      </w:pPr>
      <w:r w:rsidRPr="009574C8">
        <w:rPr>
          <w:rFonts w:ascii="Arial" w:hAnsi="Arial" w:cs="Arial"/>
        </w:rPr>
        <w:t xml:space="preserve">The content and profile of glucosinolates in the plant tissue is </w:t>
      </w:r>
      <w:r>
        <w:rPr>
          <w:rFonts w:ascii="Arial" w:hAnsi="Arial" w:cs="Arial"/>
        </w:rPr>
        <w:t xml:space="preserve">also key </w:t>
      </w:r>
      <w:r w:rsidRPr="009574C8">
        <w:rPr>
          <w:rFonts w:ascii="Arial" w:hAnsi="Arial" w:cs="Arial"/>
        </w:rPr>
        <w:t xml:space="preserve">as it has been </w:t>
      </w:r>
      <w:r>
        <w:rPr>
          <w:rFonts w:ascii="Arial" w:hAnsi="Arial" w:cs="Arial"/>
        </w:rPr>
        <w:t xml:space="preserve">linked to effective </w:t>
      </w:r>
      <w:r w:rsidRPr="009574C8">
        <w:rPr>
          <w:rFonts w:ascii="Arial" w:hAnsi="Arial" w:cs="Arial"/>
        </w:rPr>
        <w:t>suppression of pests and pathogens, this because the ITCs produced are dependent on the GSL content and profile</w:t>
      </w:r>
      <w:r w:rsidR="001F77D0">
        <w:rPr>
          <w:rFonts w:ascii="Arial" w:hAnsi="Arial" w:cs="Arial"/>
        </w:rPr>
        <w:t xml:space="preserve"> </w:t>
      </w:r>
      <w:r w:rsidRPr="002B3D8A">
        <w:rPr>
          <w:rFonts w:ascii="Arial" w:hAnsi="Arial" w:cs="Arial"/>
          <w:color w:val="000000" w:themeColor="text1"/>
        </w:rPr>
        <w:fldChar w:fldCharType="begin" w:fldLock="1"/>
      </w:r>
      <w:r w:rsidR="00D36042">
        <w:rPr>
          <w:rFonts w:ascii="Arial" w:hAnsi="Arial" w:cs="Arial"/>
          <w:color w:val="000000" w:themeColor="text1"/>
        </w:rPr>
        <w:instrText>ADDIN CSL_CITATION {"citationItems":[{"id":"ITEM-1","itemData":{"DOI":"10.1016/j.cpb.2019.02.001","ISSN":"22146628","abstract":"Plant-parasitic nematodes (PPNs)are considered as one of the major limiting factors in global crop production system. Due to the introduction of tighter limits in registering new biocidal molecules and a gradual phase-out of nematicides for high environmental impact, considerations for non-chemical alternatives have been realised. The biofumigation technique which involves the incorporation of mechanically chopped brassicaceous plant material into the soil to control soilborne nematodes offers an attractive alternative for PPN management. Biofumigant effect is mainly caused by the volatile and toxic isothiocynates originated from the hydrolysis of secondary metabolite glucosinolate present in the Brassica tissues. The scope of biofumigation has been expanded to other non-brassica plants which produce volatile pathogen-suppressing molecules. The graminaceous plants such as sorghum and sudangrass are known to produce nematicidal cyanides via enzymatic hydrolysis of precursor cyanogenic glycoside/dhurrin. The allelopathic plant marigold is known to produce α-terthienyl, which has shown potential biofumigation effect against PPNs. The objective of this review is to detail the tactics used to manipulate various brassica and non-brassica biofumigant crops and to present the mechanisms responsible for PPN suppression by these crops. The ecological aspects underpinning the responses of PPNs to these crops were not austerely discussed in earlier literature. Herein, we present a holistic assessment of the impact of biofumigation technique in managing PPNs in various crops and explore the employability of this technique in integrated nematode management (INM)practices.","author":[{"dropping-particle":"","family":"Dutta","given":"Tushar K.","non-dropping-particle":"","parse-names":false,"suffix":""},{"dropping-particle":"","family":"Khan","given":"Matiyar R.","non-dropping-particle":"","parse-names":false,"suffix":""},{"dropping-particle":"","family":"Phani","given":"Victor","non-dropping-particle":"","parse-names":false,"suffix":""}],"container-title":"Current Plant Biology","id":"ITEM-1","issue":"February","issued":{"date-parts":[["2019"]]},"page":"17-32","publisher":"Elsevier","title":"Plant-parasitic nematode management via biofumigation using brassica and non-brassica plants: Current status and future prospects","type":"article-journal","volume":"17"},"uris":["http://www.mendeley.com/documents/?uuid=da3fa037-8177-4777-80c8-9f65769c50a4"]},{"id":"ITEM-2","itemData":{"DOI":"10.1007/978-3-319-44210-5","ISBN":"9783319442105","abstract":"This unique book contains not only a comprehensive up-to-date summary of the achievements made in all areas of Nematology in South Africa over more than half a century, but it also combines this rather technical part with an insiders narrative of how Nematology started and developed. It also demonstrates how the South African community of nematologists gradually adapted to major changes in agriculture. These were due to a major political shift followed by socio-economic changes and this in an often challenging natural environment. At the same time this book is conceived as a useful source for young scientists to provide them with practical knowledge and critical insight in the field of Nematology. The information given is based primarily on research conducted by nematologists in South Africa. Most of this research was aimed at finding workable solutions for nematological problems confronted by both large-scale commercial producers and smallholding farmers. During a period when funding for scientific research is becoming increasingly scarce, the future demand and quest for practical solutions by applied research will only increase.","author":[{"dropping-particle":"","family":"Fourie","given":"Hendrika","non-dropping-particle":"","parse-names":false,"suffix":""},{"dropping-particle":"","family":"Spaull","given":"Vaughan W.","non-dropping-particle":"","parse-names":false,"suffix":""},{"dropping-particle":"","family":"Jones","given":"Robin K.","non-dropping-particle":"","parse-names":false,"suffix":""},{"dropping-particle":"","family":"Daneel","given":"Mieke S.","non-dropping-particle":"","parse-names":false,"suffix":""},{"dropping-particle":"","family":"Waele","given":"Dirk","non-dropping-particle":"De","parse-names":false,"suffix":""}],"container-title":"Nematology in South Africa: A View from the 21st Century","id":"ITEM-2","issued":{"date-parts":[["2017"]]},"page":"1-558","title":"Nematology in South Africa: A View from the 21st Century","type":"article-journal"},"uris":["http://www.mendeley.com/documents/?uuid=7ec2dc49-f9df-4119-887e-935bf10df42c"]}],"mendeley":{"formattedCitation":"(Fourie &lt;i&gt;et al.&lt;/i&gt;, 2017; Dutta, Khan and Phani, 2019)","plainTextFormattedCitation":"(Fourie et al., 2017; Dutta, Khan and Phani, 2019)","previouslyFormattedCitation":"(Fourie &lt;i&gt;et al.&lt;/i&gt;, 2017; Dutta, Khan and Phani, 2019)"},"properties":{"noteIndex":0},"schema":"https://github.com/citation-style-language/schema/raw/master/csl-citation.json"}</w:instrText>
      </w:r>
      <w:r w:rsidRPr="002B3D8A">
        <w:rPr>
          <w:rFonts w:ascii="Arial" w:hAnsi="Arial" w:cs="Arial"/>
          <w:color w:val="000000" w:themeColor="text1"/>
        </w:rPr>
        <w:fldChar w:fldCharType="separate"/>
      </w:r>
      <w:r w:rsidR="00AC07D4" w:rsidRPr="00AC07D4">
        <w:rPr>
          <w:rFonts w:ascii="Arial" w:hAnsi="Arial" w:cs="Arial"/>
          <w:noProof/>
          <w:color w:val="000000" w:themeColor="text1"/>
        </w:rPr>
        <w:t xml:space="preserve">(Fourie </w:t>
      </w:r>
      <w:r w:rsidR="00AC07D4" w:rsidRPr="00AC07D4">
        <w:rPr>
          <w:rFonts w:ascii="Arial" w:hAnsi="Arial" w:cs="Arial"/>
          <w:i/>
          <w:noProof/>
          <w:color w:val="000000" w:themeColor="text1"/>
        </w:rPr>
        <w:t>et al.</w:t>
      </w:r>
      <w:r w:rsidR="00AC07D4" w:rsidRPr="00AC07D4">
        <w:rPr>
          <w:rFonts w:ascii="Arial" w:hAnsi="Arial" w:cs="Arial"/>
          <w:noProof/>
          <w:color w:val="000000" w:themeColor="text1"/>
        </w:rPr>
        <w:t>, 2017; Dutta, Khan and Phani, 2019)</w:t>
      </w:r>
      <w:r w:rsidRPr="002B3D8A">
        <w:rPr>
          <w:rFonts w:ascii="Arial" w:hAnsi="Arial" w:cs="Arial"/>
          <w:color w:val="000000" w:themeColor="text1"/>
        </w:rPr>
        <w:fldChar w:fldCharType="end"/>
      </w:r>
      <w:r w:rsidRPr="002B3D8A">
        <w:rPr>
          <w:rFonts w:ascii="Arial" w:hAnsi="Arial" w:cs="Arial"/>
          <w:color w:val="000000" w:themeColor="text1"/>
        </w:rPr>
        <w:t>.</w:t>
      </w:r>
      <w:r w:rsidRPr="009574C8">
        <w:rPr>
          <w:rFonts w:ascii="Arial" w:hAnsi="Arial" w:cs="Arial"/>
        </w:rPr>
        <w:t xml:space="preserve">Production of high levels of aliphatic ITCs by some brassicas has been shown to give greatest suppression to soil borne pathogens </w:t>
      </w:r>
      <w:r w:rsidRPr="009574C8">
        <w:rPr>
          <w:rFonts w:ascii="Arial" w:hAnsi="Arial" w:cs="Arial"/>
        </w:rPr>
        <w:fldChar w:fldCharType="begin" w:fldLock="1"/>
      </w:r>
      <w:r>
        <w:rPr>
          <w:rFonts w:ascii="Arial" w:hAnsi="Arial" w:cs="Arial"/>
        </w:rPr>
        <w:instrText>ADDIN CSL_CITATION {"citationItems":[{"id":"ITEM-1","itemData":{"DOI":"10.1080/07352680600611543","ISSN":"07352689","abstract":"Management of soilborne pests and diseases in cropping systems is often highly challenging - in implementation of acceptable methodologies and in dealing with secondary problems. The phase-out of methyl bromide brings this into particularly sharp focus. There is a need for diversified options and alternatives to fill different roles across the soilborne pest and disease management spectrum, but flexibility is limited, as practicalities demand that they fit into a prophylactic methodology. It is against such a backdrop that expectations and promotion of alternatives must be set. There is also a need to recognize potentially serious problems that may have been masked under historical management regimes, but for which the nature of the system offers little scope to avoid or manage. Biofumigation is the beneficial use of Brassica green manures that release isothiocyanates chemically similar to methyl isothiocyanate, the active agent from the synthetic fumigant metam sodium, which is used as a substitute for methyl bromide in some systems. A systematic approach to research into biofumigation, specifically aimed at overcoming a long history of empiricism, has seen significant recent advances in both basic and applied knowledge. A key development has been achievement of maximal biofumigation potential through greatly enhanced release of appropriate isothiocyanates into soil. These advances have led to commercial adoption, demonstrating that biofumigation, when applied to appropriate production systems, can have efficacy and offer cost savings. Crucially, these systematically derived research and development findings and their adoption now provide the impetus for self-sustaining further development and market penetration of the concept. Despite this success, biofumigation is not seen as being sufficiently powerful or practical in implementation to be an alternative to methyl bromide on a broad scale and misdirection in that regard could be counterproductive to more appropriately targeted further development. Enhanced microbial biodegradation is a cryptic phenomenon that can diminish the efficacy of soil-applied pesticides, including isothiocyanates and most other currently available methyl bromide substitutes. Because methyl bromide is not susceptible, the phenomenon has potentially serious implications in intensive production systems switching from methyl bromide to reliance on other compounds that are. It is an intractable problem once induced. Avoidance of i…","author":[{"dropping-particle":"","family":"Matthiessen","given":"John","non-dropping-particle":"","parse-names":false,"suffix":""},{"dropping-particle":"","family":"Kirkegaard","given":"John","non-dropping-particle":"","parse-names":false,"suffix":""}],"container-title":"Critical Reviews in Plant Sciences","id":"ITEM-1","issue":"3","issued":{"date-parts":[["2006","5"]]},"page":"235-265","title":"Biofumigation and enhanced biodegradation: Opportunity and challenge in soilborne pest and disease management","type":"article","volume":"25"},"uris":["http://www.mendeley.com/documents/?uuid=c6d88a66-d55c-3c62-aa05-88d1d5cdba46"]}],"mendeley":{"formattedCitation":"(Matthiessen and Kirkegaard, 2006)","plainTextFormattedCitation":"(Matthiessen and Kirkegaard, 2006)","previouslyFormattedCitation":"(Matthiessen and Kirkegaard, 2006)"},"properties":{"noteIndex":0},"schema":"https://github.com/citation-style-language/schema/raw/master/csl-citation.json"}</w:instrText>
      </w:r>
      <w:r w:rsidRPr="009574C8">
        <w:rPr>
          <w:rFonts w:ascii="Arial" w:hAnsi="Arial" w:cs="Arial"/>
        </w:rPr>
        <w:fldChar w:fldCharType="separate"/>
      </w:r>
      <w:r w:rsidRPr="009574C8">
        <w:rPr>
          <w:rFonts w:ascii="Arial" w:hAnsi="Arial" w:cs="Arial"/>
          <w:noProof/>
        </w:rPr>
        <w:t>(Matthiessen and Kirkegaard, 2006)</w:t>
      </w:r>
      <w:r w:rsidRPr="009574C8">
        <w:rPr>
          <w:rFonts w:ascii="Arial" w:hAnsi="Arial" w:cs="Arial"/>
        </w:rPr>
        <w:fldChar w:fldCharType="end"/>
      </w:r>
      <w:r>
        <w:rPr>
          <w:rFonts w:ascii="Arial" w:hAnsi="Arial" w:cs="Arial"/>
        </w:rPr>
        <w:t xml:space="preserve">. </w:t>
      </w:r>
      <w:r w:rsidR="002E5BF5">
        <w:rPr>
          <w:rFonts w:ascii="Arial" w:hAnsi="Arial" w:cs="Arial"/>
        </w:rPr>
        <w:t xml:space="preserve">Other compounds released during decomposition of brassica materials have also been shown to contribute to the process of biofumigation. </w:t>
      </w:r>
      <w:r w:rsidR="002E5BF5" w:rsidRPr="00646DDF">
        <w:rPr>
          <w:rFonts w:ascii="Arial" w:hAnsi="Arial" w:cs="Arial"/>
          <w:color w:val="000000" w:themeColor="text1"/>
        </w:rPr>
        <w:t xml:space="preserve">Compounds such as methyl sulphide, dimethyl sulphide, dimethyl disulphide, carbon disulphide and methanethiol </w:t>
      </w:r>
      <w:r w:rsidR="00132907">
        <w:rPr>
          <w:rFonts w:ascii="Arial" w:hAnsi="Arial" w:cs="Arial"/>
          <w:color w:val="000000" w:themeColor="text1"/>
        </w:rPr>
        <w:fldChar w:fldCharType="begin" w:fldLock="1"/>
      </w:r>
      <w:r w:rsidR="00AB1934">
        <w:rPr>
          <w:rFonts w:ascii="Arial" w:hAnsi="Arial" w:cs="Arial"/>
          <w:color w:val="000000" w:themeColor="text1"/>
        </w:rPr>
        <w:instrText>ADDIN CSL_CITATION {"citationItems":[{"id":"ITEM-1","itemData":{"DOI":"10.1094/phyto-61-208","ISSN":"0031949X","author":[{"dropping-particle":"","family":"Lewis","given":"J. A.","non-dropping-particle":"","parse-names":false,"suffix":""},{"dropping-particle":"","family":"Papavizas","given":"G.C.","non-dropping-particle":"","parse-names":false,"suffix":""}],"container-title":"Phytopathology","id":"ITEM-1","issue":"2","issued":{"date-parts":[["1971"]]},"page":"208","title":"Effect of Sulfur-Containing Volatile Compounds and Vapors from Cabbage Decomposition on Aphanomyces euteiches","type":"article","volume":"61"},"uris":["http://www.mendeley.com/documents/?uuid=4ba17df9-81aa-4c74-9f8b-dd4023f377ee"]}],"mendeley":{"formattedCitation":"(Lewis and Papavizas, 1971)","plainTextFormattedCitation":"(Lewis and Papavizas, 1971)","previouslyFormattedCitation":"(Lewis and Papavizas, 1971)"},"properties":{"noteIndex":0},"schema":"https://github.com/citation-style-language/schema/raw/master/csl-citation.json"}</w:instrText>
      </w:r>
      <w:r w:rsidR="00132907">
        <w:rPr>
          <w:rFonts w:ascii="Arial" w:hAnsi="Arial" w:cs="Arial"/>
          <w:color w:val="000000" w:themeColor="text1"/>
        </w:rPr>
        <w:fldChar w:fldCharType="separate"/>
      </w:r>
      <w:r w:rsidR="00132907" w:rsidRPr="00132907">
        <w:rPr>
          <w:rFonts w:ascii="Arial" w:hAnsi="Arial" w:cs="Arial"/>
          <w:noProof/>
          <w:color w:val="000000" w:themeColor="text1"/>
        </w:rPr>
        <w:t>(Lewis and Papavizas, 1971)</w:t>
      </w:r>
      <w:r w:rsidR="00132907">
        <w:rPr>
          <w:rFonts w:ascii="Arial" w:hAnsi="Arial" w:cs="Arial"/>
          <w:color w:val="000000" w:themeColor="text1"/>
        </w:rPr>
        <w:fldChar w:fldCharType="end"/>
      </w:r>
      <w:r w:rsidR="002E5BF5" w:rsidRPr="00646DDF">
        <w:rPr>
          <w:rFonts w:ascii="Arial" w:hAnsi="Arial" w:cs="Arial"/>
          <w:color w:val="000000" w:themeColor="text1"/>
        </w:rPr>
        <w:t xml:space="preserve">These compounds have low toxicity compared </w:t>
      </w:r>
      <w:r w:rsidR="002E5BF5" w:rsidRPr="004A5791">
        <w:rPr>
          <w:rFonts w:ascii="Arial" w:hAnsi="Arial" w:cs="Arial"/>
          <w:color w:val="000000" w:themeColor="text1"/>
        </w:rPr>
        <w:t xml:space="preserve">to </w:t>
      </w:r>
      <w:r w:rsidR="004A5791" w:rsidRPr="004A5791">
        <w:rPr>
          <w:rFonts w:ascii="Arial" w:hAnsi="Arial" w:cs="Arial"/>
          <w:color w:val="000000" w:themeColor="text1"/>
        </w:rPr>
        <w:t xml:space="preserve">allyl </w:t>
      </w:r>
      <w:r w:rsidR="002E5BF5" w:rsidRPr="004A5791">
        <w:rPr>
          <w:rFonts w:ascii="Arial" w:hAnsi="Arial" w:cs="Arial"/>
          <w:color w:val="000000" w:themeColor="text1"/>
        </w:rPr>
        <w:t xml:space="preserve">ITCs but are released over a longer period of time hence their suggested contribution in </w:t>
      </w:r>
      <w:r w:rsidR="004A5791" w:rsidRPr="004A5791">
        <w:rPr>
          <w:rFonts w:ascii="Arial" w:hAnsi="Arial" w:cs="Arial"/>
          <w:color w:val="000000" w:themeColor="text1"/>
        </w:rPr>
        <w:t>biofumigation process</w:t>
      </w:r>
      <w:r w:rsidR="00F830BA">
        <w:rPr>
          <w:rFonts w:ascii="Arial" w:hAnsi="Arial" w:cs="Arial"/>
          <w:color w:val="000000" w:themeColor="text1"/>
        </w:rPr>
        <w:t xml:space="preserve"> </w:t>
      </w:r>
      <w:r w:rsidR="00F830BA">
        <w:rPr>
          <w:rFonts w:ascii="Arial" w:hAnsi="Arial" w:cs="Arial"/>
          <w:color w:val="000000" w:themeColor="text1"/>
        </w:rPr>
        <w:fldChar w:fldCharType="begin" w:fldLock="1"/>
      </w:r>
      <w:r w:rsidR="00AB1934">
        <w:rPr>
          <w:rFonts w:ascii="Arial" w:hAnsi="Arial" w:cs="Arial"/>
          <w:color w:val="000000" w:themeColor="text1"/>
        </w:rPr>
        <w:instrText>ADDIN CSL_CITATION {"citationItems":[{"id":"ITEM-1","itemData":{"DOI":"10.1094/phyto-61-208","ISSN":"0031949X","author":[{"dropping-particle":"","family":"Lewis","given":"J. A.","non-dropping-particle":"","parse-names":false,"suffix":""},{"dropping-particle":"","family":"Papavizas","given":"G.C.","non-dropping-particle":"","parse-names":false,"suffix":""}],"container-title":"Phytopathology","id":"ITEM-1","issue":"2","issued":{"date-parts":[["1971"]]},"page":"208","title":"Effect of Sulfur-Containing Volatile Compounds and Vapors from Cabbage Decomposition on Aphanomyces euteiches","type":"article","volume":"61"},"uris":["http://www.mendeley.com/documents/?uuid=4ba17df9-81aa-4c74-9f8b-dd4023f377ee"]},{"id":"ITEM-2","itemData":{"ISSN":"0002-9122","author":[{"dropping-particle":"","family":"Walker","given":"J C","non-dropping-particle":"","parse-names":false,"suffix":""},{"dropping-particle":"","family":"Morell","given":"Sam","non-dropping-particle":"","parse-names":false,"suffix":""},{"dropping-particle":"","family":"Foster","given":"H H","non-dropping-particle":"","parse-names":false,"suffix":""}],"container-title":"American Journal of Botany","id":"ITEM-2","issued":{"date-parts":[["1937"]]},"page":"536-541","publisher":"JSTOR","title":"Toxicity of mustard oils and related sulfur compounds to certain fungi","type":"article-journal"},"uris":["http://www.mendeley.com/documents/?uuid=9c56d2c0-a99b-414a-a3a9-5e305a81925b"]},{"id":"ITEM-3","itemData":{"author":[{"dropping-particle":"","family":"Virtanen","given":"Artturi.I","non-dropping-particle":"","parse-names":false,"suffix":""},{"dropping-particle":"","family":"Wahlross","given":"Orn","non-dropping-particle":"","parse-names":false,"suffix":""}],"container-title":"Acta chemica scandinavica","id":"ITEM-3","issued":{"date-parts":[["1965"]]},"page":"1327-1332","title":"Volatiles from Chives (Allium schoenoprasum)","type":"article-journal","volume":"19"},"uris":["http://www.mendeley.com/documents/?uuid=48b5c22d-6a0a-428d-a8db-a0e5cd6cf77a"]}],"mendeley":{"formattedCitation":"(Walker, Morell and Foster, 1937; Virtanen and Wahlross, 1965; Lewis and Papavizas, 1971)","plainTextFormattedCitation":"(Walker, Morell and Foster, 1937; Virtanen and Wahlross, 1965; Lewis and Papavizas, 1971)","previouslyFormattedCitation":"(Walker, Morell and Foster, 1937; Virtanen and Wahlross, 1965; Lewis and Papavizas, 1971)"},"properties":{"noteIndex":0},"schema":"https://github.com/citation-style-language/schema/raw/master/csl-citation.json"}</w:instrText>
      </w:r>
      <w:r w:rsidR="00F830BA">
        <w:rPr>
          <w:rFonts w:ascii="Arial" w:hAnsi="Arial" w:cs="Arial"/>
          <w:color w:val="000000" w:themeColor="text1"/>
        </w:rPr>
        <w:fldChar w:fldCharType="separate"/>
      </w:r>
      <w:r w:rsidR="00132907" w:rsidRPr="00132907">
        <w:rPr>
          <w:rFonts w:ascii="Arial" w:hAnsi="Arial" w:cs="Arial"/>
          <w:noProof/>
          <w:color w:val="000000" w:themeColor="text1"/>
        </w:rPr>
        <w:t>(Walker, Morell and Foster, 1937; Virtanen and Wahlross, 1965; Lewis and Papavizas, 1971)</w:t>
      </w:r>
      <w:r w:rsidR="00F830BA">
        <w:rPr>
          <w:rFonts w:ascii="Arial" w:hAnsi="Arial" w:cs="Arial"/>
          <w:color w:val="000000" w:themeColor="text1"/>
        </w:rPr>
        <w:fldChar w:fldCharType="end"/>
      </w:r>
      <w:r w:rsidR="00132907">
        <w:rPr>
          <w:rFonts w:ascii="Arial" w:hAnsi="Arial" w:cs="Arial"/>
          <w:color w:val="000000" w:themeColor="text1"/>
        </w:rPr>
        <w:t xml:space="preserve">. </w:t>
      </w:r>
      <w:r w:rsidR="00EA53AF">
        <w:rPr>
          <w:rFonts w:ascii="Arial" w:hAnsi="Arial" w:cs="Arial"/>
          <w:color w:val="000000" w:themeColor="text1"/>
        </w:rPr>
        <w:t xml:space="preserve">Resistance trait in brassicas has also been </w:t>
      </w:r>
      <w:r w:rsidR="00EA53AF">
        <w:rPr>
          <w:rFonts w:ascii="Arial" w:hAnsi="Arial" w:cs="Arial"/>
          <w:color w:val="000000" w:themeColor="text1"/>
        </w:rPr>
        <w:lastRenderedPageBreak/>
        <w:t>shown to contribute to efficacy of biofumigants. In Eastern England, field studies were conducted to evaluate the efficacy of r</w:t>
      </w:r>
      <w:r w:rsidR="00EA53AF" w:rsidRPr="002B3D8A">
        <w:rPr>
          <w:rFonts w:ascii="Arial" w:hAnsi="Arial" w:cs="Arial"/>
          <w:color w:val="000000" w:themeColor="text1"/>
        </w:rPr>
        <w:t>esistant lines of oil radish (</w:t>
      </w:r>
      <w:r w:rsidR="00EA53AF" w:rsidRPr="002B3D8A">
        <w:rPr>
          <w:rFonts w:ascii="Arial" w:hAnsi="Arial" w:cs="Arial"/>
          <w:i/>
          <w:color w:val="000000" w:themeColor="text1"/>
        </w:rPr>
        <w:t>Raphanus sativus</w:t>
      </w:r>
      <w:r w:rsidR="00EA53AF" w:rsidRPr="002B3D8A">
        <w:rPr>
          <w:rFonts w:ascii="Arial" w:hAnsi="Arial" w:cs="Arial"/>
          <w:color w:val="000000" w:themeColor="text1"/>
        </w:rPr>
        <w:t>) and mustards (</w:t>
      </w:r>
      <w:r w:rsidR="00EA53AF" w:rsidRPr="002B3D8A">
        <w:rPr>
          <w:rFonts w:ascii="Arial" w:hAnsi="Arial" w:cs="Arial"/>
          <w:i/>
          <w:color w:val="000000" w:themeColor="text1"/>
        </w:rPr>
        <w:t>Sinapis alba</w:t>
      </w:r>
      <w:r w:rsidR="00EA53AF" w:rsidRPr="002B3D8A">
        <w:rPr>
          <w:rFonts w:ascii="Arial" w:hAnsi="Arial" w:cs="Arial"/>
          <w:color w:val="000000" w:themeColor="text1"/>
        </w:rPr>
        <w:t xml:space="preserve">) </w:t>
      </w:r>
      <w:r w:rsidR="00EA53AF">
        <w:rPr>
          <w:rFonts w:ascii="Arial" w:hAnsi="Arial" w:cs="Arial"/>
          <w:color w:val="000000" w:themeColor="text1"/>
        </w:rPr>
        <w:t xml:space="preserve">as green manure cover crops in suppression of beet cyst nematodes (BCN) in. Class 1 radish (with ≥ 90% resistance level) and Class 2 mustard (with ≥ 70-90% resistance level) significantly reduced the levels of BCN density when compared to the fallow control. 30-40% reduction of BCN densities was recorded, and this effect was attributed to the good growth habits of the brassicas which was measured by </w:t>
      </w:r>
      <w:r w:rsidR="00EA53AF" w:rsidRPr="00A80C01">
        <w:rPr>
          <w:rFonts w:ascii="Arial" w:hAnsi="Arial" w:cs="Arial"/>
          <w:color w:val="000000" w:themeColor="text1"/>
        </w:rPr>
        <w:t>Normalized Difference Vegetation Index (NDVI)</w:t>
      </w:r>
      <w:r w:rsidR="00EA53AF">
        <w:rPr>
          <w:rFonts w:ascii="Arial" w:hAnsi="Arial" w:cs="Arial"/>
          <w:color w:val="000000" w:themeColor="text1"/>
        </w:rPr>
        <w:t xml:space="preserve"> and their ability to stimulate BCN hatching.</w:t>
      </w:r>
      <w:r w:rsidR="00EA53AF" w:rsidRPr="002B3D8A">
        <w:rPr>
          <w:rFonts w:ascii="Arial" w:hAnsi="Arial" w:cs="Arial"/>
          <w:color w:val="000000" w:themeColor="text1"/>
        </w:rPr>
        <w:fldChar w:fldCharType="begin" w:fldLock="1"/>
      </w:r>
      <w:r w:rsidR="00EA53AF">
        <w:rPr>
          <w:rFonts w:ascii="Arial" w:hAnsi="Arial" w:cs="Arial"/>
          <w:color w:val="000000" w:themeColor="text1"/>
        </w:rPr>
        <w:instrText>ADDIN CSL_CITATION {"citationItems":[{"id":"ITEM-1","itemData":{"DOI":"10.1002/ps.5134","ISSN":"15264998","PMID":"29998541","abstract":"Background: The beet cyst nematode (BCN), Heterodera schachtii Schmidt, is a plant parasitic nematode that causes severe yield losses in sugar beet. Resistant brassicas (radish and mustard) have been bred to be planted after harvest of the main crop, for example a cereal, and encourage BCN juvenile hatching. The resistant plants stimulate juvenile hatching but are not suitable hosts. Juveniles are unable to complete their lifecycle and thus populations are lowered. This research aimed to investigate the effectiveness of a range of brassicas in terms of BCN control when grown in infested fields in eastern England. Results: Experiments used four different radish cultivars, which differed in their resistance to BCN, and one resistant mustard variety. Field experiments were sown in early September in 2016 and 2017. Significant reductions in BCN populations were found only following resistant mustard and the radish with the greatest resistance level. Conclusions: Further research is needed to understand how best to utilize brassicas and whether they are economically viable when alternative management options for BCN are available. Time of planting may be crucial to fully achieve their BCN-reducing potential. © 2018 Society of Chemical Industry.","author":[{"dropping-particle":"","family":"Wright","given":"Alistair J.D.","non-dropping-particle":"","parse-names":false,"suffix":""},{"dropping-particle":"","family":"Back","given":"Matthew A.","non-dropping-particle":"","parse-names":false,"suffix":""},{"dropping-particle":"","family":"Stevens","given":"Mark","non-dropping-particle":"","parse-names":false,"suffix":""},{"dropping-particle":"","family":"Sparkes","given":"Debbie L.","non-dropping-particle":"","parse-names":false,"suffix":""}],"container-title":"Pest Management Science","id":"ITEM-1","issue":"2","issued":{"date-parts":[["2019"]]},"page":"438-443","title":"Evaluating resistant brassica trap crops to manage Heterodera schachtii (Schmidt) infestations in eastern England","type":"article-journal","volume":"75"},"uris":["http://www.mendeley.com/documents/?uuid=4526f5ed-8478-4b53-a1ef-4178d2b9d62e"]}],"mendeley":{"formattedCitation":"(Wright &lt;i&gt;et al.&lt;/i&gt;, 2019)","plainTextFormattedCitation":"(Wright et al., 2019)","previouslyFormattedCitation":"(Wright &lt;i&gt;et al.&lt;/i&gt;, 2019)"},"properties":{"noteIndex":0},"schema":"https://github.com/citation-style-language/schema/raw/master/csl-citation.json"}</w:instrText>
      </w:r>
      <w:r w:rsidR="00EA53AF" w:rsidRPr="002B3D8A">
        <w:rPr>
          <w:rFonts w:ascii="Arial" w:hAnsi="Arial" w:cs="Arial"/>
          <w:color w:val="000000" w:themeColor="text1"/>
        </w:rPr>
        <w:fldChar w:fldCharType="separate"/>
      </w:r>
      <w:r w:rsidR="00EA53AF" w:rsidRPr="00A07F2C">
        <w:rPr>
          <w:rFonts w:ascii="Arial" w:hAnsi="Arial" w:cs="Arial"/>
          <w:noProof/>
          <w:color w:val="000000" w:themeColor="text1"/>
        </w:rPr>
        <w:t xml:space="preserve">(Wright </w:t>
      </w:r>
      <w:r w:rsidR="00EA53AF" w:rsidRPr="00A07F2C">
        <w:rPr>
          <w:rFonts w:ascii="Arial" w:hAnsi="Arial" w:cs="Arial"/>
          <w:i/>
          <w:noProof/>
          <w:color w:val="000000" w:themeColor="text1"/>
        </w:rPr>
        <w:t>et al.</w:t>
      </w:r>
      <w:r w:rsidR="00EA53AF" w:rsidRPr="00A07F2C">
        <w:rPr>
          <w:rFonts w:ascii="Arial" w:hAnsi="Arial" w:cs="Arial"/>
          <w:noProof/>
          <w:color w:val="000000" w:themeColor="text1"/>
        </w:rPr>
        <w:t>, 2019)</w:t>
      </w:r>
      <w:r w:rsidR="00EA53AF" w:rsidRPr="002B3D8A">
        <w:rPr>
          <w:rFonts w:ascii="Arial" w:hAnsi="Arial" w:cs="Arial"/>
          <w:color w:val="000000" w:themeColor="text1"/>
        </w:rPr>
        <w:fldChar w:fldCharType="end"/>
      </w:r>
      <w:r w:rsidR="00EA53AF" w:rsidRPr="002B3D8A">
        <w:rPr>
          <w:rFonts w:ascii="Arial" w:hAnsi="Arial" w:cs="Arial"/>
          <w:color w:val="000000" w:themeColor="text1"/>
        </w:rPr>
        <w:t>.</w:t>
      </w:r>
      <w:r w:rsidR="000160FE">
        <w:rPr>
          <w:rFonts w:ascii="Arial" w:hAnsi="Arial" w:cs="Arial"/>
          <w:color w:val="000000" w:themeColor="text1"/>
        </w:rPr>
        <w:t xml:space="preserve"> Figure 9 below shows the factors affecting the outcome of biofumigation and Table 2 shows studies conducted on efficacy of green manures on different nematode families, genera and species under field </w:t>
      </w:r>
      <w:r w:rsidR="007A5447" w:rsidRPr="002B3D8A">
        <w:rPr>
          <w:rFonts w:ascii="Arial" w:hAnsi="Arial" w:cs="Arial"/>
          <w:noProof/>
          <w:color w:val="000000" w:themeColor="text1"/>
        </w:rPr>
        <w:drawing>
          <wp:anchor distT="0" distB="0" distL="114300" distR="114300" simplePos="0" relativeHeight="251658249" behindDoc="1" locked="0" layoutInCell="1" allowOverlap="1" wp14:anchorId="4B3AC8E9" wp14:editId="14E34B6B">
            <wp:simplePos x="0" y="0"/>
            <wp:positionH relativeFrom="column">
              <wp:posOffset>-628650</wp:posOffset>
            </wp:positionH>
            <wp:positionV relativeFrom="paragraph">
              <wp:posOffset>2933700</wp:posOffset>
            </wp:positionV>
            <wp:extent cx="6890385" cy="4038600"/>
            <wp:effectExtent l="0" t="0" r="571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90385" cy="4038600"/>
                    </a:xfrm>
                    <a:prstGeom prst="rect">
                      <a:avLst/>
                    </a:prstGeom>
                    <a:noFill/>
                    <a:ln>
                      <a:noFill/>
                    </a:ln>
                  </pic:spPr>
                </pic:pic>
              </a:graphicData>
            </a:graphic>
          </wp:anchor>
        </w:drawing>
      </w:r>
      <w:r w:rsidR="000160FE">
        <w:rPr>
          <w:rFonts w:ascii="Arial" w:hAnsi="Arial" w:cs="Arial"/>
          <w:color w:val="000000" w:themeColor="text1"/>
        </w:rPr>
        <w:t xml:space="preserve">conditions. </w:t>
      </w:r>
    </w:p>
    <w:p w14:paraId="4AC62332" w14:textId="741E2A65" w:rsidR="001C7D64" w:rsidRPr="00C10D2B" w:rsidRDefault="001C7D64" w:rsidP="00616CDC">
      <w:pPr>
        <w:pStyle w:val="paragraph"/>
        <w:spacing w:after="0" w:line="360" w:lineRule="auto"/>
        <w:ind w:right="-330"/>
        <w:jc w:val="both"/>
        <w:textAlignment w:val="baseline"/>
        <w:rPr>
          <w:rFonts w:ascii="Arial" w:hAnsi="Arial" w:cs="Arial"/>
        </w:rPr>
      </w:pPr>
      <w:bookmarkStart w:id="33" w:name="_Toc82701398"/>
      <w:r w:rsidRPr="00C10D2B">
        <w:rPr>
          <w:rFonts w:ascii="Arial" w:hAnsi="Arial" w:cs="Arial"/>
        </w:rPr>
        <w:t>Figure</w:t>
      </w:r>
      <w:r w:rsidR="009E2EF3" w:rsidRPr="00C10D2B">
        <w:rPr>
          <w:rFonts w:ascii="Arial" w:hAnsi="Arial" w:cs="Arial"/>
        </w:rPr>
        <w:t xml:space="preserve"> 8</w:t>
      </w:r>
      <w:r w:rsidRPr="00C10D2B">
        <w:rPr>
          <w:rFonts w:ascii="Arial" w:hAnsi="Arial" w:cs="Arial"/>
        </w:rPr>
        <w:t>: Summary of different factors affecting the outcome of Biofumigation</w:t>
      </w:r>
      <w:bookmarkEnd w:id="33"/>
      <w:r w:rsidRPr="00C10D2B">
        <w:rPr>
          <w:rFonts w:ascii="Arial" w:hAnsi="Arial" w:cs="Arial"/>
        </w:rPr>
        <w:t xml:space="preserve"> (</w:t>
      </w:r>
      <w:r w:rsidR="00AB1934" w:rsidRPr="00C10D2B">
        <w:rPr>
          <w:rFonts w:ascii="Arial" w:hAnsi="Arial" w:cs="Arial"/>
        </w:rPr>
        <w:fldChar w:fldCharType="begin" w:fldLock="1"/>
      </w:r>
      <w:r w:rsidR="008F4396" w:rsidRPr="00C10D2B">
        <w:rPr>
          <w:rFonts w:ascii="Arial" w:hAnsi="Arial" w:cs="Arial"/>
        </w:rPr>
        <w:instrText>ADDIN CSL_CITATION {"citationItems":[{"id":"ITEM-1","itemData":{"abstract":"Glucosinolates produced by Brassica species were investigated in relation to biofumigation, a term used to describe the effects some allelochemicals, including glucosinolate derived products, may have on soil-borne pathogens or other herbivores. Four Brassica species of the U-triangle, namely B. nigra (L.) Koch, B. carinata Braun, B. juncea (L.) Czern. and B. rapa L. were compared with respect to their qualitative and quantitative glucosinolate profiles in roots, stems, leaves and reproductive organs. Plants were monitored at four different development stages and the total glucosinolate content as well as their dry matter production as an indication of their potential biomass under field conditions were determined. Glucosinolate levels of up to 120 ìmol g -1 DM were found in B. nigra and B. juncea, while B. rapa did not show values over 25 ìmol g-1 DM at any stage of the investigated plant life cycles. In the three species at the top of U-triangle, reproductive tissues showed the highest glucosinolate concentration when compared to the rest of the plant parts, while in B. rapa, the roots were the organs with the highest glucosinolate concentration. The glucosinolate profile of the different plant parts of the species studied changed during the growth cycle, showing that the trade-off between glucosinolate profile and biomass production should be optimized in order to maximize the biofumigation effect of a crop. However, further information on other allelochemicals and on the different types of glucosinolate derived products resulting from autolysis or myrosinase catalyzed hydrolysis of glucosinolates at different reaction conditions is needed for the appropriate description of the potential biofumigation effects of different crops","author":[{"dropping-particle":"","family":"Bellostas","given":"Natalia","non-dropping-particle":"","parse-names":false,"suffix":""},{"dropping-particle":"","family":"Sørensen","given":"Jens","non-dropping-particle":"","parse-names":false,"suffix":""},{"dropping-particle":"","family":"Sørensen","given":"Hilmer","non-dropping-particle":"","parse-names":false,"suffix":""}],"container-title":"Agroindustria","id":"ITEM-1","issue":"3","issued":{"date-parts":[["2004"]]},"page":"5-10","title":"Qualitative and quantitative evaluation of glucosinolates in cruciferous plants during their life cycles","type":"article-journal","volume":"3"},"uris":["http://www.mendeley.com/documents/?uuid=22f6fce6-a49f-3133-811f-b5dcef26198c"]}],"mendeley":{"formattedCitation":"(Bellostas, Sørensen and Sørensen, 2004)","manualFormatting":"Bellostas, Sørensen and Sørensen, 2004)","plainTextFormattedCitation":"(Bellostas, Sørensen and Sørensen, 2004)","previouslyFormattedCitation":"(Bellostas, Sørensen and Sørensen, 2004)"},"properties":{"noteIndex":0},"schema":"https://github.com/citation-style-language/schema/raw/master/csl-citation.json"}</w:instrText>
      </w:r>
      <w:r w:rsidR="00AB1934" w:rsidRPr="00C10D2B">
        <w:rPr>
          <w:rFonts w:ascii="Arial" w:hAnsi="Arial" w:cs="Arial"/>
        </w:rPr>
        <w:fldChar w:fldCharType="separate"/>
      </w:r>
      <w:r w:rsidR="00AB1934" w:rsidRPr="00C10D2B">
        <w:rPr>
          <w:rFonts w:ascii="Arial" w:hAnsi="Arial" w:cs="Arial"/>
        </w:rPr>
        <w:t>Bellostas, Sørensen and Sørensen, 2004)</w:t>
      </w:r>
      <w:r w:rsidR="00AB1934" w:rsidRPr="00C10D2B">
        <w:rPr>
          <w:rFonts w:ascii="Arial" w:hAnsi="Arial" w:cs="Arial"/>
        </w:rPr>
        <w:fldChar w:fldCharType="end"/>
      </w:r>
      <w:r w:rsidRPr="00C10D2B">
        <w:rPr>
          <w:rFonts w:ascii="Arial" w:hAnsi="Arial" w:cs="Arial"/>
        </w:rPr>
        <w:t>)</w:t>
      </w:r>
    </w:p>
    <w:p w14:paraId="6CAEC30B" w14:textId="3B4FBFB5" w:rsidR="00E36E51" w:rsidRDefault="00E36E51" w:rsidP="00724B58">
      <w:pPr>
        <w:spacing w:line="360" w:lineRule="auto"/>
        <w:jc w:val="both"/>
        <w:rPr>
          <w:rFonts w:ascii="Arial" w:eastAsia="Arial" w:hAnsi="Arial" w:cs="Arial"/>
          <w:color w:val="000000" w:themeColor="text1"/>
          <w:sz w:val="24"/>
          <w:szCs w:val="24"/>
          <w:lang w:val="en-US"/>
        </w:rPr>
        <w:sectPr w:rsidR="00E36E51" w:rsidSect="0001359F">
          <w:pgSz w:w="12240" w:h="15840" w:code="1"/>
          <w:pgMar w:top="1440" w:right="1440" w:bottom="1440" w:left="1440" w:header="708" w:footer="708" w:gutter="0"/>
          <w:cols w:space="708"/>
          <w:docGrid w:linePitch="360"/>
        </w:sectPr>
      </w:pPr>
    </w:p>
    <w:p w14:paraId="077D5D49" w14:textId="77777777" w:rsidR="00724B58" w:rsidRPr="002B3D8A" w:rsidRDefault="00724B58" w:rsidP="00724B58">
      <w:pPr>
        <w:spacing w:line="360" w:lineRule="auto"/>
        <w:jc w:val="both"/>
        <w:rPr>
          <w:rFonts w:ascii="Arial" w:eastAsia="Arial" w:hAnsi="Arial" w:cs="Arial"/>
          <w:color w:val="000000" w:themeColor="text1"/>
          <w:sz w:val="24"/>
          <w:szCs w:val="24"/>
          <w:lang w:val="en-US"/>
        </w:rPr>
      </w:pPr>
    </w:p>
    <w:p w14:paraId="7915C8AF" w14:textId="3E8329C4" w:rsidR="00DD3BE0" w:rsidRDefault="00DD3BE0" w:rsidP="00DD3BE0"/>
    <w:tbl>
      <w:tblPr>
        <w:tblStyle w:val="TableGrid"/>
        <w:tblW w:w="15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9"/>
        <w:gridCol w:w="1659"/>
        <w:gridCol w:w="1701"/>
        <w:gridCol w:w="2835"/>
        <w:gridCol w:w="3402"/>
        <w:gridCol w:w="1417"/>
        <w:gridCol w:w="2005"/>
      </w:tblGrid>
      <w:tr w:rsidR="00724B58" w:rsidRPr="00E268F2" w14:paraId="471DC3CB" w14:textId="77777777" w:rsidTr="00240F03">
        <w:trPr>
          <w:trHeight w:val="362"/>
        </w:trPr>
        <w:tc>
          <w:tcPr>
            <w:tcW w:w="15188" w:type="dxa"/>
            <w:gridSpan w:val="7"/>
            <w:tcBorders>
              <w:bottom w:val="single" w:sz="4" w:space="0" w:color="auto"/>
            </w:tcBorders>
          </w:tcPr>
          <w:p w14:paraId="6F706D4B" w14:textId="7B076B17" w:rsidR="00724B58" w:rsidRPr="00E268F2" w:rsidRDefault="00DD3BE0" w:rsidP="00DD3BE0">
            <w:pPr>
              <w:rPr>
                <w:rFonts w:ascii="Arial" w:eastAsia="Arial" w:hAnsi="Arial" w:cs="Arial"/>
                <w:color w:val="000000" w:themeColor="text1"/>
                <w:sz w:val="24"/>
                <w:szCs w:val="24"/>
              </w:rPr>
            </w:pPr>
            <w:bookmarkStart w:id="34" w:name="_Toc110343302"/>
            <w:r w:rsidRPr="00DD3BE0">
              <w:rPr>
                <w:rFonts w:ascii="Arial" w:hAnsi="Arial" w:cs="Arial"/>
                <w:color w:val="000000" w:themeColor="text1"/>
                <w:sz w:val="22"/>
                <w:szCs w:val="22"/>
              </w:rPr>
              <w:t xml:space="preserve">Table </w:t>
            </w:r>
            <w:r w:rsidRPr="00DD3BE0">
              <w:rPr>
                <w:rFonts w:ascii="Arial" w:hAnsi="Arial" w:cs="Arial"/>
                <w:color w:val="000000" w:themeColor="text1"/>
              </w:rPr>
              <w:fldChar w:fldCharType="begin"/>
            </w:r>
            <w:r w:rsidRPr="00DD3BE0">
              <w:rPr>
                <w:rFonts w:ascii="Arial" w:hAnsi="Arial" w:cs="Arial"/>
                <w:color w:val="000000" w:themeColor="text1"/>
                <w:sz w:val="22"/>
                <w:szCs w:val="22"/>
              </w:rPr>
              <w:instrText xml:space="preserve"> SEQ Table \* ARABIC </w:instrText>
            </w:r>
            <w:r w:rsidRPr="00DD3BE0">
              <w:rPr>
                <w:rFonts w:ascii="Arial" w:hAnsi="Arial" w:cs="Arial"/>
                <w:color w:val="000000" w:themeColor="text1"/>
              </w:rPr>
              <w:fldChar w:fldCharType="separate"/>
            </w:r>
            <w:r w:rsidRPr="00DD3BE0">
              <w:rPr>
                <w:rFonts w:ascii="Arial" w:hAnsi="Arial" w:cs="Arial"/>
                <w:noProof/>
                <w:color w:val="000000" w:themeColor="text1"/>
                <w:sz w:val="22"/>
                <w:szCs w:val="22"/>
              </w:rPr>
              <w:t>3</w:t>
            </w:r>
            <w:r w:rsidRPr="00DD3BE0">
              <w:rPr>
                <w:rFonts w:ascii="Arial" w:hAnsi="Arial" w:cs="Arial"/>
                <w:color w:val="000000" w:themeColor="text1"/>
              </w:rPr>
              <w:fldChar w:fldCharType="end"/>
            </w:r>
            <w:r w:rsidRPr="00DD3BE0">
              <w:rPr>
                <w:rFonts w:ascii="Arial" w:hAnsi="Arial" w:cs="Arial"/>
                <w:color w:val="000000" w:themeColor="text1"/>
                <w:sz w:val="22"/>
                <w:szCs w:val="22"/>
              </w:rPr>
              <w:t>:</w:t>
            </w:r>
            <w:r w:rsidR="00724B58" w:rsidRPr="00DD3BE0">
              <w:rPr>
                <w:rFonts w:ascii="Arial" w:hAnsi="Arial" w:cs="Arial"/>
                <w:color w:val="000000" w:themeColor="text1"/>
                <w:sz w:val="22"/>
                <w:szCs w:val="22"/>
              </w:rPr>
              <w:t>Effects of Biofumigation</w:t>
            </w:r>
            <w:r w:rsidR="00724B58" w:rsidRPr="00DD3BE0">
              <w:rPr>
                <w:rFonts w:ascii="Arial" w:hAnsi="Arial" w:cs="Arial"/>
                <w:color w:val="000000" w:themeColor="text1"/>
                <w:sz w:val="24"/>
                <w:szCs w:val="24"/>
              </w:rPr>
              <w:t xml:space="preserve"> </w:t>
            </w:r>
            <w:r w:rsidR="00724B58" w:rsidRPr="00E268F2">
              <w:rPr>
                <w:rFonts w:ascii="Arial" w:hAnsi="Arial" w:cs="Arial"/>
                <w:color w:val="000000" w:themeColor="text1"/>
                <w:sz w:val="24"/>
                <w:szCs w:val="24"/>
              </w:rPr>
              <w:t xml:space="preserve">on plant parasitic nematode populations using different Brassicaceae species </w:t>
            </w:r>
            <w:r w:rsidR="00724B58" w:rsidRPr="00E268F2">
              <w:rPr>
                <w:rFonts w:ascii="Arial" w:hAnsi="Arial" w:cs="Arial"/>
                <w:color w:val="000000" w:themeColor="text1"/>
                <w:sz w:val="24"/>
                <w:szCs w:val="24"/>
              </w:rPr>
              <w:fldChar w:fldCharType="begin" w:fldLock="1"/>
            </w:r>
            <w:r w:rsidR="00724B58">
              <w:rPr>
                <w:rFonts w:ascii="Arial" w:hAnsi="Arial" w:cs="Arial"/>
                <w:color w:val="000000" w:themeColor="text1"/>
                <w:sz w:val="24"/>
                <w:szCs w:val="24"/>
              </w:rPr>
              <w:instrText>ADDIN CSL_CITATION {"citationItems":[{"id":"ITEM-1","itemData":{"DOI":"10.1016/j.cropro.2015.10.026","ISSN":"02612194","abstract":"Nematode pests parasitise and cause substantial crop yield and quality losses to a wide range of crops worldwide. To minimize such damage, the exploitation and development of alternative nematode control strategies are becoming increasingly important, particularly as a result of global efforts to conserve the ozone layer as well as our soil and water substrates. Inclusion of Brassicaceae crops in cropping systems is one such alternative and has been demonstrated in most cases to be effective in managing the top-three rated economically important nematode pests, viz. root-knot (Meloidogyne), cyst (Heterodera and Globodera) and lesion (Pratylenchus) nematodes as well as others. In the past nematode pests were and still are generally managed successfully by the use of synthetically-derived nematicides, which are progressively being removed from world markets. However, fragmented and limited information about the use of Brassicaceae crops as a nematode management tool exists in various countries. The need thus arose to summarize, compare and discuss the vast amount of information that has been generated on this topic in a concise article. This paper therefore represents a comprehensive, practical and critical review of the use and effect(s) of Brassicaceae-based management strategies and the biofumigation and cover-crop/rotation characteristics of Brassicaceae in reducing nematode-pest population levels in global cropping systems.","author":[{"dropping-particle":"","family":"Fourie","given":"Hendrika","non-dropping-particle":"","parse-names":false,"suffix":""},{"dropping-particle":"","family":"Ahuja","given":"Preeti","non-dropping-particle":"","parse-names":false,"suffix":""},{"dropping-particle":"","family":"Lammers","given":"Judith","non-dropping-particle":"","parse-names":false,"suffix":""},{"dropping-particle":"","family":"Daneel","given":"Mieke","non-dropping-particle":"","parse-names":false,"suffix":""}],"container-title":"Crop Protection","id":"ITEM-1","issued":{"date-parts":[["2016","2","1"]]},"page":"21-41","publisher":"Elsevier Ltd","title":"Brassicacea-based management strategies as an alternative to combat nematode pests: A synopsis","type":"article-journal","volume":"80"},"uris":["http://www.mendeley.com/documents/?uuid=c2dfd110-cc9e-4e72-8220-f015da79d53d"]}],"mendeley":{"formattedCitation":"(Fourie &lt;i&gt;et al.&lt;/i&gt;, 2016)","plainTextFormattedCitation":"(Fourie et al., 2016)","previouslyFormattedCitation":"(Fourie &lt;i&gt;et al.&lt;/i&gt;, 2016)"},"properties":{"noteIndex":0},"schema":"https://github.com/citation-style-language/schema/raw/master/csl-citation.json"}</w:instrText>
            </w:r>
            <w:r w:rsidR="00724B58" w:rsidRPr="00E268F2">
              <w:rPr>
                <w:rFonts w:ascii="Arial" w:hAnsi="Arial" w:cs="Arial"/>
                <w:color w:val="000000" w:themeColor="text1"/>
                <w:sz w:val="24"/>
                <w:szCs w:val="24"/>
              </w:rPr>
              <w:fldChar w:fldCharType="separate"/>
            </w:r>
            <w:r w:rsidR="00724B58" w:rsidRPr="00A07F2C">
              <w:rPr>
                <w:rFonts w:ascii="Arial" w:hAnsi="Arial" w:cs="Arial"/>
                <w:noProof/>
                <w:color w:val="000000" w:themeColor="text1"/>
                <w:sz w:val="24"/>
                <w:szCs w:val="24"/>
              </w:rPr>
              <w:t xml:space="preserve">(Fourie </w:t>
            </w:r>
            <w:r w:rsidR="00724B58" w:rsidRPr="00A07F2C">
              <w:rPr>
                <w:rFonts w:ascii="Arial" w:hAnsi="Arial" w:cs="Arial"/>
                <w:i/>
                <w:noProof/>
                <w:color w:val="000000" w:themeColor="text1"/>
                <w:sz w:val="24"/>
                <w:szCs w:val="24"/>
              </w:rPr>
              <w:t>et al.</w:t>
            </w:r>
            <w:r w:rsidR="00724B58" w:rsidRPr="00A07F2C">
              <w:rPr>
                <w:rFonts w:ascii="Arial" w:hAnsi="Arial" w:cs="Arial"/>
                <w:noProof/>
                <w:color w:val="000000" w:themeColor="text1"/>
                <w:sz w:val="24"/>
                <w:szCs w:val="24"/>
              </w:rPr>
              <w:t>, 2016)</w:t>
            </w:r>
            <w:bookmarkEnd w:id="34"/>
            <w:r w:rsidR="00724B58" w:rsidRPr="00E268F2">
              <w:rPr>
                <w:rFonts w:ascii="Arial" w:hAnsi="Arial" w:cs="Arial"/>
                <w:color w:val="000000" w:themeColor="text1"/>
                <w:sz w:val="24"/>
                <w:szCs w:val="24"/>
              </w:rPr>
              <w:fldChar w:fldCharType="end"/>
            </w:r>
            <w:r w:rsidR="00724B58" w:rsidRPr="00E268F2">
              <w:rPr>
                <w:rFonts w:ascii="Arial" w:hAnsi="Arial" w:cs="Arial"/>
                <w:color w:val="000000" w:themeColor="text1"/>
                <w:sz w:val="24"/>
                <w:szCs w:val="24"/>
              </w:rPr>
              <w:t xml:space="preserve"> </w:t>
            </w:r>
          </w:p>
        </w:tc>
      </w:tr>
      <w:tr w:rsidR="00724B58" w:rsidRPr="00E268F2" w14:paraId="337E80F0" w14:textId="77777777" w:rsidTr="00474F68">
        <w:trPr>
          <w:trHeight w:val="430"/>
        </w:trPr>
        <w:tc>
          <w:tcPr>
            <w:tcW w:w="2169" w:type="dxa"/>
            <w:tcBorders>
              <w:top w:val="single" w:sz="4" w:space="0" w:color="auto"/>
              <w:bottom w:val="single" w:sz="4" w:space="0" w:color="auto"/>
              <w:right w:val="single" w:sz="4" w:space="0" w:color="auto"/>
            </w:tcBorders>
          </w:tcPr>
          <w:p w14:paraId="5BED0BCD" w14:textId="77777777" w:rsidR="00724B58" w:rsidRPr="00474F68" w:rsidRDefault="00724B58" w:rsidP="00240F03">
            <w:pPr>
              <w:spacing w:line="360" w:lineRule="auto"/>
              <w:jc w:val="both"/>
              <w:rPr>
                <w:rFonts w:ascii="Arial" w:eastAsia="Arial" w:hAnsi="Arial" w:cs="Arial"/>
                <w:b/>
                <w:color w:val="000000" w:themeColor="text1"/>
                <w:sz w:val="24"/>
                <w:szCs w:val="24"/>
              </w:rPr>
            </w:pPr>
            <w:r w:rsidRPr="00474F68">
              <w:rPr>
                <w:rFonts w:ascii="Arial" w:eastAsia="Arial" w:hAnsi="Arial" w:cs="Arial"/>
                <w:b/>
                <w:color w:val="000000" w:themeColor="text1"/>
                <w:sz w:val="24"/>
                <w:szCs w:val="24"/>
              </w:rPr>
              <w:t xml:space="preserve">Cover crop </w:t>
            </w:r>
          </w:p>
        </w:tc>
        <w:tc>
          <w:tcPr>
            <w:tcW w:w="1659" w:type="dxa"/>
            <w:tcBorders>
              <w:top w:val="single" w:sz="4" w:space="0" w:color="auto"/>
              <w:left w:val="single" w:sz="4" w:space="0" w:color="auto"/>
              <w:bottom w:val="single" w:sz="4" w:space="0" w:color="auto"/>
              <w:right w:val="single" w:sz="4" w:space="0" w:color="auto"/>
            </w:tcBorders>
          </w:tcPr>
          <w:p w14:paraId="2FEA9522" w14:textId="77777777" w:rsidR="00724B58" w:rsidRPr="00474F68" w:rsidRDefault="00724B58" w:rsidP="00240F03">
            <w:pPr>
              <w:spacing w:line="360" w:lineRule="auto"/>
              <w:jc w:val="both"/>
              <w:rPr>
                <w:rFonts w:ascii="Arial" w:eastAsia="Arial" w:hAnsi="Arial" w:cs="Arial"/>
                <w:b/>
                <w:color w:val="000000" w:themeColor="text1"/>
                <w:sz w:val="24"/>
                <w:szCs w:val="24"/>
              </w:rPr>
            </w:pPr>
            <w:r w:rsidRPr="00474F68">
              <w:rPr>
                <w:rFonts w:ascii="Arial" w:eastAsia="Arial" w:hAnsi="Arial" w:cs="Arial"/>
                <w:b/>
                <w:color w:val="000000" w:themeColor="text1"/>
                <w:sz w:val="24"/>
                <w:szCs w:val="24"/>
              </w:rPr>
              <w:t xml:space="preserve">Follow -up crop </w:t>
            </w:r>
          </w:p>
        </w:tc>
        <w:tc>
          <w:tcPr>
            <w:tcW w:w="1701" w:type="dxa"/>
            <w:tcBorders>
              <w:top w:val="single" w:sz="4" w:space="0" w:color="auto"/>
              <w:left w:val="single" w:sz="4" w:space="0" w:color="auto"/>
              <w:bottom w:val="single" w:sz="4" w:space="0" w:color="auto"/>
              <w:right w:val="single" w:sz="4" w:space="0" w:color="auto"/>
            </w:tcBorders>
          </w:tcPr>
          <w:p w14:paraId="55681523" w14:textId="77777777" w:rsidR="00724B58" w:rsidRPr="00474F68" w:rsidRDefault="00724B58" w:rsidP="00240F03">
            <w:pPr>
              <w:spacing w:line="360" w:lineRule="auto"/>
              <w:jc w:val="both"/>
              <w:rPr>
                <w:rFonts w:ascii="Arial" w:eastAsia="Arial" w:hAnsi="Arial" w:cs="Arial"/>
                <w:b/>
                <w:color w:val="000000" w:themeColor="text1"/>
                <w:sz w:val="24"/>
                <w:szCs w:val="24"/>
              </w:rPr>
            </w:pPr>
            <w:r w:rsidRPr="00474F68">
              <w:rPr>
                <w:rFonts w:ascii="Arial" w:eastAsia="Arial" w:hAnsi="Arial" w:cs="Arial"/>
                <w:b/>
                <w:color w:val="000000" w:themeColor="text1"/>
                <w:sz w:val="24"/>
                <w:szCs w:val="24"/>
              </w:rPr>
              <w:t xml:space="preserve">Type of amendment </w:t>
            </w:r>
          </w:p>
        </w:tc>
        <w:tc>
          <w:tcPr>
            <w:tcW w:w="2835" w:type="dxa"/>
            <w:tcBorders>
              <w:top w:val="single" w:sz="4" w:space="0" w:color="auto"/>
              <w:left w:val="single" w:sz="4" w:space="0" w:color="auto"/>
              <w:bottom w:val="single" w:sz="4" w:space="0" w:color="auto"/>
              <w:right w:val="single" w:sz="4" w:space="0" w:color="auto"/>
            </w:tcBorders>
          </w:tcPr>
          <w:p w14:paraId="14FFCD1D" w14:textId="77777777" w:rsidR="00724B58" w:rsidRPr="00474F68" w:rsidRDefault="00724B58" w:rsidP="00240F03">
            <w:pPr>
              <w:spacing w:line="360" w:lineRule="auto"/>
              <w:jc w:val="both"/>
              <w:rPr>
                <w:rFonts w:ascii="Arial" w:eastAsia="Arial" w:hAnsi="Arial" w:cs="Arial"/>
                <w:b/>
                <w:color w:val="000000" w:themeColor="text1"/>
                <w:sz w:val="24"/>
                <w:szCs w:val="24"/>
              </w:rPr>
            </w:pPr>
            <w:r w:rsidRPr="00474F68">
              <w:rPr>
                <w:rFonts w:ascii="Arial" w:eastAsia="Arial" w:hAnsi="Arial" w:cs="Arial"/>
                <w:b/>
                <w:color w:val="000000" w:themeColor="text1"/>
                <w:sz w:val="24"/>
                <w:szCs w:val="24"/>
              </w:rPr>
              <w:t>Nematode spp</w:t>
            </w:r>
          </w:p>
        </w:tc>
        <w:tc>
          <w:tcPr>
            <w:tcW w:w="3402" w:type="dxa"/>
            <w:tcBorders>
              <w:top w:val="single" w:sz="4" w:space="0" w:color="auto"/>
              <w:left w:val="single" w:sz="4" w:space="0" w:color="auto"/>
              <w:bottom w:val="single" w:sz="4" w:space="0" w:color="auto"/>
              <w:right w:val="single" w:sz="4" w:space="0" w:color="auto"/>
            </w:tcBorders>
          </w:tcPr>
          <w:p w14:paraId="346C8C81" w14:textId="77777777" w:rsidR="00724B58" w:rsidRPr="00474F68" w:rsidRDefault="00724B58" w:rsidP="00240F03">
            <w:pPr>
              <w:spacing w:line="360" w:lineRule="auto"/>
              <w:jc w:val="both"/>
              <w:rPr>
                <w:rFonts w:ascii="Arial" w:eastAsia="Arial" w:hAnsi="Arial" w:cs="Arial"/>
                <w:b/>
                <w:color w:val="000000" w:themeColor="text1"/>
                <w:sz w:val="24"/>
                <w:szCs w:val="24"/>
              </w:rPr>
            </w:pPr>
            <w:r w:rsidRPr="00474F68">
              <w:rPr>
                <w:rFonts w:ascii="Arial" w:eastAsia="Arial" w:hAnsi="Arial" w:cs="Arial"/>
                <w:b/>
                <w:color w:val="000000" w:themeColor="text1"/>
                <w:sz w:val="24"/>
                <w:szCs w:val="24"/>
              </w:rPr>
              <w:t>Reduction %</w:t>
            </w:r>
          </w:p>
        </w:tc>
        <w:tc>
          <w:tcPr>
            <w:tcW w:w="1417" w:type="dxa"/>
            <w:tcBorders>
              <w:top w:val="single" w:sz="4" w:space="0" w:color="auto"/>
              <w:left w:val="single" w:sz="4" w:space="0" w:color="auto"/>
              <w:bottom w:val="single" w:sz="4" w:space="0" w:color="auto"/>
              <w:right w:val="single" w:sz="4" w:space="0" w:color="auto"/>
            </w:tcBorders>
          </w:tcPr>
          <w:p w14:paraId="435708D4" w14:textId="77777777" w:rsidR="00724B58" w:rsidRPr="00474F68" w:rsidRDefault="00724B58" w:rsidP="00240F03">
            <w:pPr>
              <w:spacing w:line="360" w:lineRule="auto"/>
              <w:jc w:val="both"/>
              <w:rPr>
                <w:rFonts w:ascii="Arial" w:eastAsia="Arial" w:hAnsi="Arial" w:cs="Arial"/>
                <w:b/>
                <w:color w:val="000000" w:themeColor="text1"/>
                <w:sz w:val="24"/>
                <w:szCs w:val="24"/>
              </w:rPr>
            </w:pPr>
            <w:r w:rsidRPr="00474F68">
              <w:rPr>
                <w:rFonts w:ascii="Arial" w:eastAsia="Arial" w:hAnsi="Arial" w:cs="Arial"/>
                <w:b/>
                <w:color w:val="000000" w:themeColor="text1"/>
                <w:sz w:val="24"/>
                <w:szCs w:val="24"/>
              </w:rPr>
              <w:t xml:space="preserve">Country </w:t>
            </w:r>
          </w:p>
        </w:tc>
        <w:tc>
          <w:tcPr>
            <w:tcW w:w="2005" w:type="dxa"/>
            <w:tcBorders>
              <w:top w:val="single" w:sz="4" w:space="0" w:color="auto"/>
              <w:left w:val="single" w:sz="4" w:space="0" w:color="auto"/>
              <w:bottom w:val="single" w:sz="4" w:space="0" w:color="auto"/>
            </w:tcBorders>
          </w:tcPr>
          <w:p w14:paraId="7CFA904B" w14:textId="77777777" w:rsidR="00724B58" w:rsidRPr="00474F68" w:rsidRDefault="00724B58" w:rsidP="00240F03">
            <w:pPr>
              <w:spacing w:line="360" w:lineRule="auto"/>
              <w:jc w:val="both"/>
              <w:rPr>
                <w:rFonts w:ascii="Arial" w:eastAsia="Arial" w:hAnsi="Arial" w:cs="Arial"/>
                <w:b/>
                <w:color w:val="000000" w:themeColor="text1"/>
                <w:sz w:val="24"/>
                <w:szCs w:val="24"/>
              </w:rPr>
            </w:pPr>
            <w:r w:rsidRPr="00474F68">
              <w:rPr>
                <w:rFonts w:ascii="Arial" w:eastAsia="Arial" w:hAnsi="Arial" w:cs="Arial"/>
                <w:b/>
                <w:color w:val="000000" w:themeColor="text1"/>
                <w:sz w:val="24"/>
                <w:szCs w:val="24"/>
              </w:rPr>
              <w:t xml:space="preserve">Reference </w:t>
            </w:r>
          </w:p>
        </w:tc>
      </w:tr>
      <w:tr w:rsidR="00724B58" w:rsidRPr="00E268F2" w14:paraId="3BA24367" w14:textId="77777777" w:rsidTr="00474F68">
        <w:trPr>
          <w:trHeight w:val="1685"/>
        </w:trPr>
        <w:tc>
          <w:tcPr>
            <w:tcW w:w="2169" w:type="dxa"/>
            <w:tcBorders>
              <w:top w:val="single" w:sz="4" w:space="0" w:color="auto"/>
              <w:right w:val="single" w:sz="4" w:space="0" w:color="auto"/>
            </w:tcBorders>
          </w:tcPr>
          <w:p w14:paraId="17253C0D"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Brassica campestris  </w:t>
            </w:r>
          </w:p>
        </w:tc>
        <w:tc>
          <w:tcPr>
            <w:tcW w:w="1659" w:type="dxa"/>
            <w:tcBorders>
              <w:top w:val="single" w:sz="4" w:space="0" w:color="auto"/>
              <w:left w:val="single" w:sz="4" w:space="0" w:color="auto"/>
              <w:right w:val="single" w:sz="4" w:space="0" w:color="auto"/>
            </w:tcBorders>
          </w:tcPr>
          <w:p w14:paraId="0A7D6F6E"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Solanum tuberosum </w:t>
            </w:r>
          </w:p>
        </w:tc>
        <w:tc>
          <w:tcPr>
            <w:tcW w:w="1701" w:type="dxa"/>
            <w:tcBorders>
              <w:top w:val="single" w:sz="4" w:space="0" w:color="auto"/>
              <w:left w:val="single" w:sz="4" w:space="0" w:color="auto"/>
              <w:right w:val="single" w:sz="4" w:space="0" w:color="auto"/>
            </w:tcBorders>
          </w:tcPr>
          <w:p w14:paraId="092884FD"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Green manure</w:t>
            </w:r>
          </w:p>
        </w:tc>
        <w:tc>
          <w:tcPr>
            <w:tcW w:w="2835" w:type="dxa"/>
            <w:tcBorders>
              <w:top w:val="single" w:sz="4" w:space="0" w:color="auto"/>
              <w:left w:val="single" w:sz="4" w:space="0" w:color="auto"/>
              <w:right w:val="single" w:sz="4" w:space="0" w:color="auto"/>
            </w:tcBorders>
          </w:tcPr>
          <w:p w14:paraId="72828FF6"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Meloidogyne chitwoodi, Pratylenchus neglectus</w:t>
            </w:r>
          </w:p>
        </w:tc>
        <w:tc>
          <w:tcPr>
            <w:tcW w:w="3402" w:type="dxa"/>
            <w:tcBorders>
              <w:top w:val="single" w:sz="4" w:space="0" w:color="auto"/>
              <w:left w:val="single" w:sz="4" w:space="0" w:color="auto"/>
              <w:right w:val="single" w:sz="4" w:space="0" w:color="auto"/>
            </w:tcBorders>
          </w:tcPr>
          <w:p w14:paraId="15D9B719"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48% reduction in </w:t>
            </w:r>
            <w:r w:rsidRPr="00E268F2">
              <w:rPr>
                <w:rFonts w:ascii="Arial" w:eastAsia="Arial" w:hAnsi="Arial" w:cs="Arial"/>
                <w:i/>
                <w:color w:val="000000" w:themeColor="text1"/>
                <w:sz w:val="24"/>
                <w:szCs w:val="24"/>
              </w:rPr>
              <w:t>M. chitwoodi</w:t>
            </w:r>
            <w:r w:rsidRPr="00E268F2">
              <w:rPr>
                <w:rFonts w:ascii="Arial" w:eastAsia="Arial" w:hAnsi="Arial" w:cs="Arial"/>
                <w:color w:val="000000" w:themeColor="text1"/>
                <w:sz w:val="24"/>
                <w:szCs w:val="24"/>
              </w:rPr>
              <w:t xml:space="preserve"> juveniles and 54% reduction </w:t>
            </w:r>
            <w:r w:rsidRPr="00E268F2">
              <w:rPr>
                <w:rFonts w:ascii="Arial" w:eastAsia="Arial" w:hAnsi="Arial" w:cs="Arial"/>
                <w:i/>
                <w:color w:val="000000" w:themeColor="text1"/>
                <w:sz w:val="24"/>
                <w:szCs w:val="24"/>
              </w:rPr>
              <w:t>P. neglectus</w:t>
            </w:r>
          </w:p>
        </w:tc>
        <w:tc>
          <w:tcPr>
            <w:tcW w:w="1417" w:type="dxa"/>
            <w:tcBorders>
              <w:top w:val="single" w:sz="4" w:space="0" w:color="auto"/>
              <w:left w:val="single" w:sz="4" w:space="0" w:color="auto"/>
              <w:right w:val="single" w:sz="4" w:space="0" w:color="auto"/>
            </w:tcBorders>
          </w:tcPr>
          <w:p w14:paraId="5C51EEC1"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USA</w:t>
            </w:r>
          </w:p>
        </w:tc>
        <w:tc>
          <w:tcPr>
            <w:tcW w:w="2005" w:type="dxa"/>
            <w:tcBorders>
              <w:top w:val="single" w:sz="4" w:space="0" w:color="auto"/>
              <w:left w:val="single" w:sz="4" w:space="0" w:color="auto"/>
            </w:tcBorders>
          </w:tcPr>
          <w:p w14:paraId="4E41568D"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Al-</w:t>
            </w:r>
            <w:proofErr w:type="spellStart"/>
            <w:r w:rsidRPr="00E268F2">
              <w:rPr>
                <w:rFonts w:ascii="Arial" w:eastAsia="Arial" w:hAnsi="Arial" w:cs="Arial"/>
                <w:color w:val="000000" w:themeColor="text1"/>
                <w:sz w:val="24"/>
                <w:szCs w:val="24"/>
              </w:rPr>
              <w:t>rehiayan</w:t>
            </w:r>
            <w:proofErr w:type="spellEnd"/>
            <w:r w:rsidRPr="00E268F2">
              <w:rPr>
                <w:rFonts w:ascii="Arial" w:eastAsia="Arial" w:hAnsi="Arial" w:cs="Arial"/>
                <w:color w:val="000000" w:themeColor="text1"/>
                <w:sz w:val="24"/>
                <w:szCs w:val="24"/>
              </w:rPr>
              <w:t xml:space="preserve"> et al (1999)</w:t>
            </w:r>
          </w:p>
        </w:tc>
      </w:tr>
      <w:tr w:rsidR="00724B58" w:rsidRPr="00E268F2" w14:paraId="37DA0797" w14:textId="77777777" w:rsidTr="00474F68">
        <w:trPr>
          <w:trHeight w:val="976"/>
        </w:trPr>
        <w:tc>
          <w:tcPr>
            <w:tcW w:w="2169" w:type="dxa"/>
            <w:tcBorders>
              <w:right w:val="single" w:sz="4" w:space="0" w:color="auto"/>
            </w:tcBorders>
          </w:tcPr>
          <w:p w14:paraId="5B009AA3"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Brassica campestris </w:t>
            </w:r>
          </w:p>
        </w:tc>
        <w:tc>
          <w:tcPr>
            <w:tcW w:w="1659" w:type="dxa"/>
            <w:tcBorders>
              <w:left w:val="single" w:sz="4" w:space="0" w:color="auto"/>
              <w:right w:val="single" w:sz="4" w:space="0" w:color="auto"/>
            </w:tcBorders>
          </w:tcPr>
          <w:p w14:paraId="41393F59"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Vitis vinifera </w:t>
            </w:r>
          </w:p>
        </w:tc>
        <w:tc>
          <w:tcPr>
            <w:tcW w:w="1701" w:type="dxa"/>
            <w:tcBorders>
              <w:left w:val="single" w:sz="4" w:space="0" w:color="auto"/>
              <w:right w:val="single" w:sz="4" w:space="0" w:color="auto"/>
            </w:tcBorders>
          </w:tcPr>
          <w:p w14:paraId="4C4014E5"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Green manure </w:t>
            </w:r>
          </w:p>
        </w:tc>
        <w:tc>
          <w:tcPr>
            <w:tcW w:w="2835" w:type="dxa"/>
            <w:tcBorders>
              <w:left w:val="single" w:sz="4" w:space="0" w:color="auto"/>
              <w:right w:val="single" w:sz="4" w:space="0" w:color="auto"/>
            </w:tcBorders>
          </w:tcPr>
          <w:p w14:paraId="516E6DAE"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Meloidogyne javanica </w:t>
            </w:r>
          </w:p>
        </w:tc>
        <w:tc>
          <w:tcPr>
            <w:tcW w:w="3402" w:type="dxa"/>
            <w:tcBorders>
              <w:left w:val="single" w:sz="4" w:space="0" w:color="auto"/>
              <w:right w:val="single" w:sz="4" w:space="0" w:color="auto"/>
            </w:tcBorders>
          </w:tcPr>
          <w:p w14:paraId="147299E9"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61-73% reduction in egg production</w:t>
            </w:r>
          </w:p>
        </w:tc>
        <w:tc>
          <w:tcPr>
            <w:tcW w:w="1417" w:type="dxa"/>
            <w:tcBorders>
              <w:left w:val="single" w:sz="4" w:space="0" w:color="auto"/>
              <w:right w:val="single" w:sz="4" w:space="0" w:color="auto"/>
            </w:tcBorders>
          </w:tcPr>
          <w:p w14:paraId="0B873020"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Australia </w:t>
            </w:r>
          </w:p>
        </w:tc>
        <w:tc>
          <w:tcPr>
            <w:tcW w:w="2005" w:type="dxa"/>
            <w:tcBorders>
              <w:left w:val="single" w:sz="4" w:space="0" w:color="auto"/>
            </w:tcBorders>
          </w:tcPr>
          <w:p w14:paraId="5C4E031B"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fldChar w:fldCharType="begin" w:fldLock="1"/>
            </w:r>
            <w:r>
              <w:rPr>
                <w:rFonts w:ascii="Arial" w:eastAsia="Arial" w:hAnsi="Arial" w:cs="Arial"/>
                <w:color w:val="000000" w:themeColor="text1"/>
                <w:sz w:val="24"/>
                <w:szCs w:val="24"/>
              </w:rPr>
              <w:instrText>ADDIN CSL_CITATION {"citationItems":[{"id":"ITEM-1","itemData":{"DOI":"10.1163/156854199508568","ISSN":"1388-5545","abstract":"Green manures (chopped leaves) of 15 brassica potentially useful as inter-row crops in vineyards were incorporated into soils inoculated with second stage juveniles (J2) of root-knot nematode Meloidogyne javanica to compare their antinematode activity. With application rates of 10 and 20 g/kg soil, all green manures substantially lowered nematode numbers and there were significant treatment effects at both application rates. However, treatment effect was not closely related to estimated addition of glucosinolate, which ranged from 8 to 46 nM/g soil. When J2 were exposed to volatiles from rewetted freeze-dried brassica tissue in sealed dishes in the absence of soil, there was evidence of a relation between effect and glucosinolate dose, estimated to be equivalent to a range of 1 to 40 nM/g soil. Egg production on 25 brassica crops was investigated to assess the scope for selection of crops that support less nematode reproduction. M. javanica produced more eggs on tomato (cv. Grosse Lisse) than on most of the brassicas, although egg production on Polybra fodder turnip was not significantly lower than on tomato. However, egg production was substantial on all but four of the brassicas. Egg production was low on Adagio, SCO 7024, Nemex and Pegletta oilseed radishes, cultivars bred in Europe to resist beet cyst nematode (Heterodera schachtii). Egg production was not related to innate total root glucosinolate concentrations of cultivars as measured 3 months after sowing. Nor was there a connection between higher concentration of the dominant glucosinolates (progoitrin [2-hydroxy-3-butenyl], glucobrassicanapin [4-pentenyl] and gluconasturtiin [2-phenylethyl]) and low egg production. Very low egg production on Adagio oilseed radish was associated with the presence of dehydroerucin (4-methylthio-3-butenyl). It is concluded that mechanisms other than glucosinolate-derived toxicity are important in the antinematode activity of brassica-leaf green manures and cultivars. The results indicate that there is little scope for selecting very low egg producing crops from amongst the brassica crops currently available for use as inter-row crops in vineyards. The role of glucosinolate derivatives in relation to resistance to Meloidogyne is discussed.","author":[{"dropping-particle":"","family":"McLeod","given":"Rod","non-dropping-particle":"","parse-names":false,"suffix":""},{"dropping-particle":"","family":"Steel","given":"Chris","non-dropping-particle":"","parse-names":false,"suffix":""}],"container-title":"Nematology","id":"ITEM-1","issue":"6","issued":{"date-parts":[["1999","1","1"]]},"page":"613-624","publisher":"Brill","title":"Effects of brassica-leaf green manures and crops on activity and reproduction of Meloidogyne javanica","type":"article-journal","volume":"1"},"uris":["http://www.mendeley.com/documents/?uuid=f84ffb3a-f371-3477-95a7-67539b13bf8c"]}],"mendeley":{"formattedCitation":"(McLeod and Steel, 1999)","plainTextFormattedCitation":"(McLeod and Steel, 1999)","previouslyFormattedCitation":"(McLeod and Steel, 1999)"},"properties":{"noteIndex":0},"schema":"https://github.com/citation-style-language/schema/raw/master/csl-citation.json"}</w:instrText>
            </w:r>
            <w:r w:rsidRPr="00E268F2">
              <w:rPr>
                <w:rFonts w:ascii="Arial" w:eastAsia="Arial" w:hAnsi="Arial" w:cs="Arial"/>
                <w:color w:val="000000" w:themeColor="text1"/>
                <w:sz w:val="24"/>
                <w:szCs w:val="24"/>
              </w:rPr>
              <w:fldChar w:fldCharType="separate"/>
            </w:r>
            <w:r w:rsidRPr="00E13293">
              <w:rPr>
                <w:rFonts w:ascii="Arial" w:eastAsia="Arial" w:hAnsi="Arial" w:cs="Arial"/>
                <w:noProof/>
                <w:color w:val="000000" w:themeColor="text1"/>
                <w:sz w:val="24"/>
                <w:szCs w:val="24"/>
              </w:rPr>
              <w:t>(McLeod and Steel, 1999)</w:t>
            </w:r>
            <w:r w:rsidRPr="00E268F2">
              <w:rPr>
                <w:rFonts w:ascii="Arial" w:eastAsia="Arial" w:hAnsi="Arial" w:cs="Arial"/>
                <w:color w:val="000000" w:themeColor="text1"/>
                <w:sz w:val="24"/>
                <w:szCs w:val="24"/>
              </w:rPr>
              <w:fldChar w:fldCharType="end"/>
            </w:r>
          </w:p>
        </w:tc>
      </w:tr>
      <w:tr w:rsidR="00724B58" w:rsidRPr="00E268F2" w14:paraId="4FFFC774" w14:textId="77777777" w:rsidTr="00474F68">
        <w:trPr>
          <w:trHeight w:val="479"/>
        </w:trPr>
        <w:tc>
          <w:tcPr>
            <w:tcW w:w="2169" w:type="dxa"/>
            <w:tcBorders>
              <w:right w:val="single" w:sz="4" w:space="0" w:color="auto"/>
            </w:tcBorders>
          </w:tcPr>
          <w:p w14:paraId="4261EB18"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Brassica carinata </w:t>
            </w:r>
          </w:p>
        </w:tc>
        <w:tc>
          <w:tcPr>
            <w:tcW w:w="1659" w:type="dxa"/>
            <w:tcBorders>
              <w:left w:val="single" w:sz="4" w:space="0" w:color="auto"/>
              <w:right w:val="single" w:sz="4" w:space="0" w:color="auto"/>
            </w:tcBorders>
          </w:tcPr>
          <w:p w14:paraId="4184DD3F"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N/A</w:t>
            </w:r>
          </w:p>
        </w:tc>
        <w:tc>
          <w:tcPr>
            <w:tcW w:w="1701" w:type="dxa"/>
            <w:tcBorders>
              <w:left w:val="single" w:sz="4" w:space="0" w:color="auto"/>
              <w:right w:val="single" w:sz="4" w:space="0" w:color="auto"/>
            </w:tcBorders>
          </w:tcPr>
          <w:p w14:paraId="21289873"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Green manure </w:t>
            </w:r>
          </w:p>
        </w:tc>
        <w:tc>
          <w:tcPr>
            <w:tcW w:w="2835" w:type="dxa"/>
            <w:tcBorders>
              <w:left w:val="single" w:sz="4" w:space="0" w:color="auto"/>
              <w:right w:val="single" w:sz="4" w:space="0" w:color="auto"/>
            </w:tcBorders>
          </w:tcPr>
          <w:p w14:paraId="2D6D3019"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Pratylenchus neglectus </w:t>
            </w:r>
          </w:p>
        </w:tc>
        <w:tc>
          <w:tcPr>
            <w:tcW w:w="3402" w:type="dxa"/>
            <w:tcBorders>
              <w:left w:val="single" w:sz="4" w:space="0" w:color="auto"/>
              <w:right w:val="single" w:sz="4" w:space="0" w:color="auto"/>
            </w:tcBorders>
          </w:tcPr>
          <w:p w14:paraId="50DAEB06"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0-65% reduction </w:t>
            </w:r>
          </w:p>
        </w:tc>
        <w:tc>
          <w:tcPr>
            <w:tcW w:w="1417" w:type="dxa"/>
            <w:tcBorders>
              <w:left w:val="single" w:sz="4" w:space="0" w:color="auto"/>
              <w:right w:val="single" w:sz="4" w:space="0" w:color="auto"/>
            </w:tcBorders>
          </w:tcPr>
          <w:p w14:paraId="79772B01"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Australia</w:t>
            </w:r>
          </w:p>
        </w:tc>
        <w:tc>
          <w:tcPr>
            <w:tcW w:w="2005" w:type="dxa"/>
            <w:tcBorders>
              <w:left w:val="single" w:sz="4" w:space="0" w:color="auto"/>
            </w:tcBorders>
          </w:tcPr>
          <w:p w14:paraId="6BB9BFCB"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fldChar w:fldCharType="begin" w:fldLock="1"/>
            </w:r>
            <w:r>
              <w:rPr>
                <w:rFonts w:ascii="Arial" w:eastAsia="Arial" w:hAnsi="Arial" w:cs="Arial"/>
                <w:color w:val="000000" w:themeColor="text1"/>
                <w:sz w:val="24"/>
                <w:szCs w:val="24"/>
              </w:rPr>
              <w:instrText>ADDIN CSL_CITATION {"citationItems":[{"id":"ITEM-1","itemData":{"DOI":"10.1023/A:1022336812240","ISSN":"1573-1561","abstract":"The potential of tissue amendments from a variety of wild and cultivated Brassica spp. to kill the root lesion nematode (Pratylenchus neglectus) in soil was assessed in laboratory experiments. Soil amended with leaf tissues was highly nematicidal, killing 56.2–95.2% of exposed nematodes. Amendment with root tissues was less effective, causing 0–48.3% mortality. Little of the suppressive impact by leaf tissues could be related to either total contents or any individual glucosinolate as determined by HPLC analysis. While the levels of total glucosinolates within root amendments had a nonsignificant relationship to nematode mortality, levels of 2-phenylethyl glucosinolate within root amendments significantly correlated with nematode suppression (P &lt; 0.001). Amendment of soils with equimolar levels of purified 2-phenylethyl isothiocyanate resulted in comparable levels of nematode mortality, suggesting that 2-phenylethyl glucosinolate has a role in the suppressive impact of Brassica spp. root tissues.","author":[{"dropping-particle":"","family":"Potter","given":"Mark J.","non-dropping-particle":"","parse-names":false,"suffix":""},{"dropping-particle":"","family":"Davies","given":"Kerrie","non-dropping-particle":"","parse-names":false,"suffix":""},{"dropping-particle":"","family":"Rathjen","given":"Anthony J.","non-dropping-particle":"","parse-names":false,"suffix":""}],"container-title":"Journal of Chemical Ecology 1998 24:1","id":"ITEM-1","issue":"1","issued":{"date-parts":[["1998"]]},"page":"67-80","publisher":"Springer","title":"Suppressive Impact of Glucosinolates in Brassica Vegetative Tissues on Root Lesion Nematode Pratylenchus neglectus","type":"article-journal","volume":"24"},"uris":["http://www.mendeley.com/documents/?uuid=13429f27-b56b-32e8-8e5c-eb59713eca1f"]}],"mendeley":{"formattedCitation":"(Potter, Davies and Rathjen, 1998)","plainTextFormattedCitation":"(Potter, Davies and Rathjen, 1998)","previouslyFormattedCitation":"(Potter, Davies and Rathjen, 1998)"},"properties":{"noteIndex":0},"schema":"https://github.com/citation-style-language/schema/raw/master/csl-citation.json"}</w:instrText>
            </w:r>
            <w:r w:rsidRPr="00E268F2">
              <w:rPr>
                <w:rFonts w:ascii="Arial" w:eastAsia="Arial" w:hAnsi="Arial" w:cs="Arial"/>
                <w:color w:val="000000" w:themeColor="text1"/>
                <w:sz w:val="24"/>
                <w:szCs w:val="24"/>
              </w:rPr>
              <w:fldChar w:fldCharType="separate"/>
            </w:r>
            <w:r w:rsidRPr="00A07F2C">
              <w:rPr>
                <w:rFonts w:ascii="Arial" w:eastAsia="Arial" w:hAnsi="Arial" w:cs="Arial"/>
                <w:noProof/>
                <w:color w:val="000000" w:themeColor="text1"/>
                <w:sz w:val="24"/>
                <w:szCs w:val="24"/>
              </w:rPr>
              <w:t>(Potter, Davies and Rathjen, 1998)</w:t>
            </w:r>
            <w:r w:rsidRPr="00E268F2">
              <w:rPr>
                <w:rFonts w:ascii="Arial" w:eastAsia="Arial" w:hAnsi="Arial" w:cs="Arial"/>
                <w:color w:val="000000" w:themeColor="text1"/>
                <w:sz w:val="24"/>
                <w:szCs w:val="24"/>
              </w:rPr>
              <w:fldChar w:fldCharType="end"/>
            </w:r>
          </w:p>
        </w:tc>
      </w:tr>
      <w:tr w:rsidR="00724B58" w:rsidRPr="00E268F2" w14:paraId="3AC9DC64" w14:textId="77777777" w:rsidTr="00474F68">
        <w:trPr>
          <w:trHeight w:val="479"/>
        </w:trPr>
        <w:tc>
          <w:tcPr>
            <w:tcW w:w="2169" w:type="dxa"/>
            <w:tcBorders>
              <w:right w:val="single" w:sz="4" w:space="0" w:color="auto"/>
            </w:tcBorders>
          </w:tcPr>
          <w:p w14:paraId="22939EF5"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Brassica juncea </w:t>
            </w:r>
          </w:p>
        </w:tc>
        <w:tc>
          <w:tcPr>
            <w:tcW w:w="1659" w:type="dxa"/>
            <w:tcBorders>
              <w:left w:val="single" w:sz="4" w:space="0" w:color="auto"/>
              <w:right w:val="single" w:sz="4" w:space="0" w:color="auto"/>
            </w:tcBorders>
          </w:tcPr>
          <w:p w14:paraId="1445F379"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Vitis vinifera </w:t>
            </w:r>
          </w:p>
        </w:tc>
        <w:tc>
          <w:tcPr>
            <w:tcW w:w="1701" w:type="dxa"/>
            <w:tcBorders>
              <w:left w:val="single" w:sz="4" w:space="0" w:color="auto"/>
              <w:right w:val="single" w:sz="4" w:space="0" w:color="auto"/>
            </w:tcBorders>
          </w:tcPr>
          <w:p w14:paraId="5A9A33F5"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Green manure </w:t>
            </w:r>
          </w:p>
        </w:tc>
        <w:tc>
          <w:tcPr>
            <w:tcW w:w="2835" w:type="dxa"/>
            <w:tcBorders>
              <w:left w:val="single" w:sz="4" w:space="0" w:color="auto"/>
              <w:right w:val="single" w:sz="4" w:space="0" w:color="auto"/>
            </w:tcBorders>
          </w:tcPr>
          <w:p w14:paraId="68C83763"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Meloidogyne javanica, Criconemoides xenoplax</w:t>
            </w:r>
          </w:p>
        </w:tc>
        <w:tc>
          <w:tcPr>
            <w:tcW w:w="3402" w:type="dxa"/>
            <w:tcBorders>
              <w:left w:val="single" w:sz="4" w:space="0" w:color="auto"/>
              <w:right w:val="single" w:sz="4" w:space="0" w:color="auto"/>
            </w:tcBorders>
          </w:tcPr>
          <w:p w14:paraId="6401B4B1"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51% reduction in </w:t>
            </w:r>
            <w:proofErr w:type="spellStart"/>
            <w:proofErr w:type="gramStart"/>
            <w:r w:rsidRPr="00E268F2">
              <w:rPr>
                <w:rFonts w:ascii="Arial" w:eastAsia="Arial" w:hAnsi="Arial" w:cs="Arial"/>
                <w:color w:val="000000" w:themeColor="text1"/>
                <w:sz w:val="24"/>
                <w:szCs w:val="24"/>
              </w:rPr>
              <w:t>M.javanica</w:t>
            </w:r>
            <w:proofErr w:type="spellEnd"/>
            <w:proofErr w:type="gramEnd"/>
            <w:r w:rsidRPr="00E268F2">
              <w:rPr>
                <w:rFonts w:ascii="Arial" w:eastAsia="Arial" w:hAnsi="Arial" w:cs="Arial"/>
                <w:color w:val="000000" w:themeColor="text1"/>
                <w:sz w:val="24"/>
                <w:szCs w:val="24"/>
              </w:rPr>
              <w:t xml:space="preserve"> and no effect on C.xenoplax</w:t>
            </w:r>
          </w:p>
        </w:tc>
        <w:tc>
          <w:tcPr>
            <w:tcW w:w="1417" w:type="dxa"/>
            <w:tcBorders>
              <w:left w:val="single" w:sz="4" w:space="0" w:color="auto"/>
              <w:right w:val="single" w:sz="4" w:space="0" w:color="auto"/>
            </w:tcBorders>
          </w:tcPr>
          <w:p w14:paraId="307DE170"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South Africa</w:t>
            </w:r>
          </w:p>
        </w:tc>
        <w:tc>
          <w:tcPr>
            <w:tcW w:w="2005" w:type="dxa"/>
            <w:tcBorders>
              <w:left w:val="single" w:sz="4" w:space="0" w:color="auto"/>
            </w:tcBorders>
          </w:tcPr>
          <w:p w14:paraId="683E582E"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Kruger et al.,2015, Kruger (2013)</w:t>
            </w:r>
          </w:p>
        </w:tc>
      </w:tr>
      <w:tr w:rsidR="00724B58" w:rsidRPr="00E268F2" w14:paraId="430060D1" w14:textId="77777777" w:rsidTr="00474F68">
        <w:trPr>
          <w:trHeight w:val="479"/>
        </w:trPr>
        <w:tc>
          <w:tcPr>
            <w:tcW w:w="2169" w:type="dxa"/>
            <w:tcBorders>
              <w:right w:val="single" w:sz="4" w:space="0" w:color="auto"/>
            </w:tcBorders>
          </w:tcPr>
          <w:p w14:paraId="6D18AF95"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Brassica juncea </w:t>
            </w:r>
          </w:p>
        </w:tc>
        <w:tc>
          <w:tcPr>
            <w:tcW w:w="1659" w:type="dxa"/>
            <w:tcBorders>
              <w:left w:val="single" w:sz="4" w:space="0" w:color="auto"/>
              <w:right w:val="single" w:sz="4" w:space="0" w:color="auto"/>
            </w:tcBorders>
          </w:tcPr>
          <w:p w14:paraId="6714DD5D"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Solanum tuberosum </w:t>
            </w:r>
          </w:p>
        </w:tc>
        <w:tc>
          <w:tcPr>
            <w:tcW w:w="1701" w:type="dxa"/>
            <w:tcBorders>
              <w:left w:val="single" w:sz="4" w:space="0" w:color="auto"/>
              <w:right w:val="single" w:sz="4" w:space="0" w:color="auto"/>
            </w:tcBorders>
          </w:tcPr>
          <w:p w14:paraId="267D2AE7"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Green manure </w:t>
            </w:r>
          </w:p>
        </w:tc>
        <w:tc>
          <w:tcPr>
            <w:tcW w:w="2835" w:type="dxa"/>
            <w:tcBorders>
              <w:left w:val="single" w:sz="4" w:space="0" w:color="auto"/>
              <w:right w:val="single" w:sz="4" w:space="0" w:color="auto"/>
            </w:tcBorders>
          </w:tcPr>
          <w:p w14:paraId="2AE3ABE6"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Globodera pallida</w:t>
            </w:r>
          </w:p>
        </w:tc>
        <w:tc>
          <w:tcPr>
            <w:tcW w:w="3402" w:type="dxa"/>
            <w:tcBorders>
              <w:left w:val="single" w:sz="4" w:space="0" w:color="auto"/>
              <w:right w:val="single" w:sz="4" w:space="0" w:color="auto"/>
            </w:tcBorders>
          </w:tcPr>
          <w:p w14:paraId="7B465112"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Significant reduction in viable encysted eggs </w:t>
            </w:r>
          </w:p>
        </w:tc>
        <w:tc>
          <w:tcPr>
            <w:tcW w:w="1417" w:type="dxa"/>
            <w:tcBorders>
              <w:left w:val="single" w:sz="4" w:space="0" w:color="auto"/>
              <w:right w:val="single" w:sz="4" w:space="0" w:color="auto"/>
            </w:tcBorders>
          </w:tcPr>
          <w:p w14:paraId="53A11A6C"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United Kingdom </w:t>
            </w:r>
          </w:p>
        </w:tc>
        <w:tc>
          <w:tcPr>
            <w:tcW w:w="2005" w:type="dxa"/>
            <w:tcBorders>
              <w:left w:val="single" w:sz="4" w:space="0" w:color="auto"/>
            </w:tcBorders>
          </w:tcPr>
          <w:p w14:paraId="667F76E0"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Ngala et al., (2014)</w:t>
            </w:r>
          </w:p>
        </w:tc>
      </w:tr>
      <w:tr w:rsidR="00724B58" w:rsidRPr="00E268F2" w14:paraId="21AA6DAB" w14:textId="77777777" w:rsidTr="00474F68">
        <w:trPr>
          <w:trHeight w:val="479"/>
        </w:trPr>
        <w:tc>
          <w:tcPr>
            <w:tcW w:w="2169" w:type="dxa"/>
            <w:tcBorders>
              <w:right w:val="single" w:sz="4" w:space="0" w:color="auto"/>
            </w:tcBorders>
          </w:tcPr>
          <w:p w14:paraId="008F0BEB"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lastRenderedPageBreak/>
              <w:t xml:space="preserve">Brassica juncea </w:t>
            </w:r>
          </w:p>
        </w:tc>
        <w:tc>
          <w:tcPr>
            <w:tcW w:w="1659" w:type="dxa"/>
            <w:tcBorders>
              <w:left w:val="single" w:sz="4" w:space="0" w:color="auto"/>
              <w:right w:val="single" w:sz="4" w:space="0" w:color="auto"/>
            </w:tcBorders>
          </w:tcPr>
          <w:p w14:paraId="0AC8EF9F"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N/A</w:t>
            </w:r>
          </w:p>
        </w:tc>
        <w:tc>
          <w:tcPr>
            <w:tcW w:w="1701" w:type="dxa"/>
            <w:tcBorders>
              <w:left w:val="single" w:sz="4" w:space="0" w:color="auto"/>
              <w:right w:val="single" w:sz="4" w:space="0" w:color="auto"/>
            </w:tcBorders>
          </w:tcPr>
          <w:p w14:paraId="599D518C"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Green manure </w:t>
            </w:r>
          </w:p>
        </w:tc>
        <w:tc>
          <w:tcPr>
            <w:tcW w:w="2835" w:type="dxa"/>
            <w:tcBorders>
              <w:left w:val="single" w:sz="4" w:space="0" w:color="auto"/>
              <w:right w:val="single" w:sz="4" w:space="0" w:color="auto"/>
            </w:tcBorders>
          </w:tcPr>
          <w:p w14:paraId="034E4257"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i/>
                <w:color w:val="000000" w:themeColor="text1"/>
                <w:sz w:val="24"/>
                <w:szCs w:val="24"/>
              </w:rPr>
              <w:t>Trichodorus</w:t>
            </w:r>
            <w:r w:rsidRPr="00E268F2">
              <w:rPr>
                <w:rFonts w:ascii="Arial" w:eastAsia="Arial" w:hAnsi="Arial" w:cs="Arial"/>
                <w:color w:val="000000" w:themeColor="text1"/>
                <w:sz w:val="24"/>
                <w:szCs w:val="24"/>
              </w:rPr>
              <w:t xml:space="preserve"> spp, </w:t>
            </w:r>
            <w:r w:rsidRPr="00E268F2">
              <w:rPr>
                <w:rFonts w:ascii="Arial" w:eastAsia="Arial" w:hAnsi="Arial" w:cs="Arial"/>
                <w:i/>
                <w:color w:val="000000" w:themeColor="text1"/>
                <w:sz w:val="24"/>
                <w:szCs w:val="24"/>
              </w:rPr>
              <w:t>Tylenchorynchus</w:t>
            </w:r>
            <w:r w:rsidRPr="00E268F2">
              <w:rPr>
                <w:rFonts w:ascii="Arial" w:eastAsia="Arial" w:hAnsi="Arial" w:cs="Arial"/>
                <w:color w:val="000000" w:themeColor="text1"/>
                <w:sz w:val="24"/>
                <w:szCs w:val="24"/>
              </w:rPr>
              <w:t xml:space="preserve"> spp </w:t>
            </w:r>
          </w:p>
        </w:tc>
        <w:tc>
          <w:tcPr>
            <w:tcW w:w="3402" w:type="dxa"/>
            <w:tcBorders>
              <w:left w:val="single" w:sz="4" w:space="0" w:color="auto"/>
              <w:right w:val="single" w:sz="4" w:space="0" w:color="auto"/>
            </w:tcBorders>
          </w:tcPr>
          <w:p w14:paraId="6C53B08F"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No significant reduction in population levels </w:t>
            </w:r>
          </w:p>
        </w:tc>
        <w:tc>
          <w:tcPr>
            <w:tcW w:w="1417" w:type="dxa"/>
            <w:tcBorders>
              <w:left w:val="single" w:sz="4" w:space="0" w:color="auto"/>
              <w:right w:val="single" w:sz="4" w:space="0" w:color="auto"/>
            </w:tcBorders>
          </w:tcPr>
          <w:p w14:paraId="61A95D8D"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Germany </w:t>
            </w:r>
          </w:p>
        </w:tc>
        <w:tc>
          <w:tcPr>
            <w:tcW w:w="2005" w:type="dxa"/>
            <w:tcBorders>
              <w:left w:val="single" w:sz="4" w:space="0" w:color="auto"/>
            </w:tcBorders>
          </w:tcPr>
          <w:p w14:paraId="3976E7E1" w14:textId="7D7A5B04"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Vervoort </w:t>
            </w:r>
            <w:r w:rsidR="000160FE" w:rsidRPr="00E268F2">
              <w:rPr>
                <w:rFonts w:ascii="Arial" w:eastAsia="Arial" w:hAnsi="Arial" w:cs="Arial"/>
                <w:color w:val="000000" w:themeColor="text1"/>
                <w:sz w:val="24"/>
                <w:szCs w:val="24"/>
              </w:rPr>
              <w:t>et al., (</w:t>
            </w:r>
            <w:r w:rsidRPr="00E268F2">
              <w:rPr>
                <w:rFonts w:ascii="Arial" w:eastAsia="Arial" w:hAnsi="Arial" w:cs="Arial"/>
                <w:color w:val="000000" w:themeColor="text1"/>
                <w:sz w:val="24"/>
                <w:szCs w:val="24"/>
              </w:rPr>
              <w:t>2014)</w:t>
            </w:r>
          </w:p>
        </w:tc>
      </w:tr>
      <w:tr w:rsidR="00724B58" w:rsidRPr="00E268F2" w14:paraId="3E9D5BCF" w14:textId="77777777" w:rsidTr="00474F68">
        <w:trPr>
          <w:trHeight w:val="479"/>
        </w:trPr>
        <w:tc>
          <w:tcPr>
            <w:tcW w:w="2169" w:type="dxa"/>
            <w:tcBorders>
              <w:top w:val="single" w:sz="4" w:space="0" w:color="auto"/>
              <w:bottom w:val="single" w:sz="4" w:space="0" w:color="auto"/>
              <w:right w:val="single" w:sz="4" w:space="0" w:color="auto"/>
            </w:tcBorders>
          </w:tcPr>
          <w:p w14:paraId="223E052D" w14:textId="77777777" w:rsidR="00724B58" w:rsidRPr="00474F68" w:rsidRDefault="00724B58" w:rsidP="00240F03">
            <w:pPr>
              <w:spacing w:line="360" w:lineRule="auto"/>
              <w:jc w:val="both"/>
              <w:rPr>
                <w:rFonts w:ascii="Arial" w:eastAsia="Arial" w:hAnsi="Arial" w:cs="Arial"/>
                <w:b/>
                <w:i/>
                <w:color w:val="000000" w:themeColor="text1"/>
                <w:sz w:val="24"/>
                <w:szCs w:val="24"/>
              </w:rPr>
            </w:pPr>
            <w:r w:rsidRPr="00474F68">
              <w:rPr>
                <w:rFonts w:ascii="Arial" w:eastAsia="Arial" w:hAnsi="Arial" w:cs="Arial"/>
                <w:b/>
                <w:color w:val="000000" w:themeColor="text1"/>
                <w:sz w:val="24"/>
                <w:szCs w:val="24"/>
              </w:rPr>
              <w:t xml:space="preserve">Cover crop </w:t>
            </w:r>
          </w:p>
        </w:tc>
        <w:tc>
          <w:tcPr>
            <w:tcW w:w="1659" w:type="dxa"/>
            <w:tcBorders>
              <w:top w:val="single" w:sz="4" w:space="0" w:color="auto"/>
              <w:left w:val="single" w:sz="4" w:space="0" w:color="auto"/>
              <w:bottom w:val="single" w:sz="4" w:space="0" w:color="auto"/>
              <w:right w:val="single" w:sz="4" w:space="0" w:color="auto"/>
            </w:tcBorders>
          </w:tcPr>
          <w:p w14:paraId="405950D6" w14:textId="77777777" w:rsidR="00724B58" w:rsidRPr="00474F68" w:rsidRDefault="00724B58" w:rsidP="00240F03">
            <w:pPr>
              <w:spacing w:line="360" w:lineRule="auto"/>
              <w:jc w:val="both"/>
              <w:rPr>
                <w:rFonts w:ascii="Arial" w:eastAsia="Arial" w:hAnsi="Arial" w:cs="Arial"/>
                <w:b/>
                <w:i/>
                <w:color w:val="000000" w:themeColor="text1"/>
                <w:sz w:val="24"/>
                <w:szCs w:val="24"/>
              </w:rPr>
            </w:pPr>
            <w:r w:rsidRPr="00474F68">
              <w:rPr>
                <w:rFonts w:ascii="Arial" w:eastAsia="Arial" w:hAnsi="Arial" w:cs="Arial"/>
                <w:b/>
                <w:color w:val="000000" w:themeColor="text1"/>
                <w:sz w:val="24"/>
                <w:szCs w:val="24"/>
              </w:rPr>
              <w:t xml:space="preserve">Follow -up crop </w:t>
            </w:r>
          </w:p>
        </w:tc>
        <w:tc>
          <w:tcPr>
            <w:tcW w:w="1701" w:type="dxa"/>
            <w:tcBorders>
              <w:top w:val="single" w:sz="4" w:space="0" w:color="auto"/>
              <w:left w:val="single" w:sz="4" w:space="0" w:color="auto"/>
              <w:bottom w:val="single" w:sz="4" w:space="0" w:color="auto"/>
              <w:right w:val="single" w:sz="4" w:space="0" w:color="auto"/>
            </w:tcBorders>
          </w:tcPr>
          <w:p w14:paraId="3D7EF224" w14:textId="77777777" w:rsidR="00724B58" w:rsidRPr="00474F68" w:rsidRDefault="00724B58" w:rsidP="00240F03">
            <w:pPr>
              <w:spacing w:line="360" w:lineRule="auto"/>
              <w:jc w:val="both"/>
              <w:rPr>
                <w:rFonts w:ascii="Arial" w:eastAsia="Arial" w:hAnsi="Arial" w:cs="Arial"/>
                <w:b/>
                <w:color w:val="000000" w:themeColor="text1"/>
                <w:sz w:val="24"/>
                <w:szCs w:val="24"/>
              </w:rPr>
            </w:pPr>
            <w:r w:rsidRPr="00474F68">
              <w:rPr>
                <w:rFonts w:ascii="Arial" w:eastAsia="Arial" w:hAnsi="Arial" w:cs="Arial"/>
                <w:b/>
                <w:color w:val="000000" w:themeColor="text1"/>
                <w:sz w:val="24"/>
                <w:szCs w:val="24"/>
              </w:rPr>
              <w:t xml:space="preserve">Type of amendment </w:t>
            </w:r>
          </w:p>
        </w:tc>
        <w:tc>
          <w:tcPr>
            <w:tcW w:w="2835" w:type="dxa"/>
            <w:tcBorders>
              <w:top w:val="single" w:sz="4" w:space="0" w:color="auto"/>
              <w:left w:val="single" w:sz="4" w:space="0" w:color="auto"/>
              <w:bottom w:val="single" w:sz="4" w:space="0" w:color="auto"/>
              <w:right w:val="single" w:sz="4" w:space="0" w:color="auto"/>
            </w:tcBorders>
          </w:tcPr>
          <w:p w14:paraId="4A1C2518" w14:textId="77777777" w:rsidR="00724B58" w:rsidRPr="00474F68" w:rsidRDefault="00724B58" w:rsidP="00240F03">
            <w:pPr>
              <w:spacing w:line="360" w:lineRule="auto"/>
              <w:jc w:val="both"/>
              <w:rPr>
                <w:rFonts w:ascii="Arial" w:eastAsia="Arial" w:hAnsi="Arial" w:cs="Arial"/>
                <w:b/>
                <w:i/>
                <w:color w:val="000000" w:themeColor="text1"/>
                <w:sz w:val="24"/>
                <w:szCs w:val="24"/>
              </w:rPr>
            </w:pPr>
            <w:r w:rsidRPr="00474F68">
              <w:rPr>
                <w:rFonts w:ascii="Arial" w:eastAsia="Arial" w:hAnsi="Arial" w:cs="Arial"/>
                <w:b/>
                <w:color w:val="000000" w:themeColor="text1"/>
                <w:sz w:val="24"/>
                <w:szCs w:val="24"/>
              </w:rPr>
              <w:t>Nematode spp</w:t>
            </w:r>
          </w:p>
        </w:tc>
        <w:tc>
          <w:tcPr>
            <w:tcW w:w="3402" w:type="dxa"/>
            <w:tcBorders>
              <w:top w:val="single" w:sz="4" w:space="0" w:color="auto"/>
              <w:left w:val="single" w:sz="4" w:space="0" w:color="auto"/>
              <w:bottom w:val="single" w:sz="4" w:space="0" w:color="auto"/>
              <w:right w:val="single" w:sz="4" w:space="0" w:color="auto"/>
            </w:tcBorders>
          </w:tcPr>
          <w:p w14:paraId="34C7F7A4" w14:textId="77777777" w:rsidR="00724B58" w:rsidRPr="00474F68" w:rsidRDefault="00724B58" w:rsidP="00240F03">
            <w:pPr>
              <w:spacing w:line="360" w:lineRule="auto"/>
              <w:jc w:val="both"/>
              <w:rPr>
                <w:rFonts w:ascii="Arial" w:eastAsia="Arial" w:hAnsi="Arial" w:cs="Arial"/>
                <w:b/>
                <w:color w:val="000000" w:themeColor="text1"/>
                <w:sz w:val="24"/>
                <w:szCs w:val="24"/>
              </w:rPr>
            </w:pPr>
            <w:r w:rsidRPr="00474F68">
              <w:rPr>
                <w:rFonts w:ascii="Arial" w:eastAsia="Arial" w:hAnsi="Arial" w:cs="Arial"/>
                <w:b/>
                <w:color w:val="000000" w:themeColor="text1"/>
                <w:sz w:val="24"/>
                <w:szCs w:val="24"/>
              </w:rPr>
              <w:t>Reduction %</w:t>
            </w:r>
          </w:p>
        </w:tc>
        <w:tc>
          <w:tcPr>
            <w:tcW w:w="1417" w:type="dxa"/>
            <w:tcBorders>
              <w:top w:val="single" w:sz="4" w:space="0" w:color="auto"/>
              <w:left w:val="single" w:sz="4" w:space="0" w:color="auto"/>
              <w:bottom w:val="single" w:sz="4" w:space="0" w:color="auto"/>
              <w:right w:val="single" w:sz="4" w:space="0" w:color="auto"/>
            </w:tcBorders>
          </w:tcPr>
          <w:p w14:paraId="767413F5" w14:textId="77777777" w:rsidR="00724B58" w:rsidRPr="00474F68" w:rsidRDefault="00724B58" w:rsidP="00240F03">
            <w:pPr>
              <w:spacing w:line="360" w:lineRule="auto"/>
              <w:jc w:val="both"/>
              <w:rPr>
                <w:rFonts w:ascii="Arial" w:eastAsia="Arial" w:hAnsi="Arial" w:cs="Arial"/>
                <w:b/>
                <w:color w:val="000000" w:themeColor="text1"/>
                <w:sz w:val="24"/>
                <w:szCs w:val="24"/>
              </w:rPr>
            </w:pPr>
            <w:r w:rsidRPr="00474F68">
              <w:rPr>
                <w:rFonts w:ascii="Arial" w:eastAsia="Arial" w:hAnsi="Arial" w:cs="Arial"/>
                <w:b/>
                <w:color w:val="000000" w:themeColor="text1"/>
                <w:sz w:val="24"/>
                <w:szCs w:val="24"/>
              </w:rPr>
              <w:t xml:space="preserve">Country </w:t>
            </w:r>
          </w:p>
        </w:tc>
        <w:tc>
          <w:tcPr>
            <w:tcW w:w="2005" w:type="dxa"/>
            <w:tcBorders>
              <w:top w:val="single" w:sz="4" w:space="0" w:color="auto"/>
              <w:left w:val="single" w:sz="4" w:space="0" w:color="auto"/>
              <w:bottom w:val="single" w:sz="4" w:space="0" w:color="auto"/>
            </w:tcBorders>
          </w:tcPr>
          <w:p w14:paraId="5E2EA5D9" w14:textId="77777777" w:rsidR="00724B58" w:rsidRPr="00474F68" w:rsidRDefault="00724B58" w:rsidP="00240F03">
            <w:pPr>
              <w:spacing w:line="360" w:lineRule="auto"/>
              <w:jc w:val="both"/>
              <w:rPr>
                <w:rFonts w:ascii="Arial" w:eastAsia="Arial" w:hAnsi="Arial" w:cs="Arial"/>
                <w:b/>
                <w:color w:val="000000" w:themeColor="text1"/>
                <w:sz w:val="24"/>
                <w:szCs w:val="24"/>
              </w:rPr>
            </w:pPr>
            <w:r w:rsidRPr="00474F68">
              <w:rPr>
                <w:rFonts w:ascii="Arial" w:eastAsia="Arial" w:hAnsi="Arial" w:cs="Arial"/>
                <w:b/>
                <w:color w:val="000000" w:themeColor="text1"/>
                <w:sz w:val="24"/>
                <w:szCs w:val="24"/>
              </w:rPr>
              <w:t xml:space="preserve">Reference </w:t>
            </w:r>
          </w:p>
        </w:tc>
      </w:tr>
      <w:tr w:rsidR="00724B58" w:rsidRPr="00E268F2" w14:paraId="7BCB4AC9" w14:textId="77777777" w:rsidTr="00474F68">
        <w:trPr>
          <w:trHeight w:val="479"/>
        </w:trPr>
        <w:tc>
          <w:tcPr>
            <w:tcW w:w="2169" w:type="dxa"/>
            <w:tcBorders>
              <w:right w:val="single" w:sz="4" w:space="0" w:color="auto"/>
            </w:tcBorders>
          </w:tcPr>
          <w:p w14:paraId="35D7F635"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Brassica juncea </w:t>
            </w:r>
          </w:p>
        </w:tc>
        <w:tc>
          <w:tcPr>
            <w:tcW w:w="1659" w:type="dxa"/>
            <w:tcBorders>
              <w:left w:val="single" w:sz="4" w:space="0" w:color="auto"/>
              <w:right w:val="single" w:sz="4" w:space="0" w:color="auto"/>
            </w:tcBorders>
          </w:tcPr>
          <w:p w14:paraId="390D1935"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Solanum lycopersicum </w:t>
            </w:r>
          </w:p>
        </w:tc>
        <w:tc>
          <w:tcPr>
            <w:tcW w:w="1701" w:type="dxa"/>
            <w:tcBorders>
              <w:left w:val="single" w:sz="4" w:space="0" w:color="auto"/>
              <w:right w:val="single" w:sz="4" w:space="0" w:color="auto"/>
            </w:tcBorders>
          </w:tcPr>
          <w:p w14:paraId="468CEACF"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Green manure </w:t>
            </w:r>
          </w:p>
        </w:tc>
        <w:tc>
          <w:tcPr>
            <w:tcW w:w="2835" w:type="dxa"/>
            <w:tcBorders>
              <w:left w:val="single" w:sz="4" w:space="0" w:color="auto"/>
              <w:right w:val="single" w:sz="4" w:space="0" w:color="auto"/>
            </w:tcBorders>
          </w:tcPr>
          <w:p w14:paraId="2718D7E6"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Meloidogyne incognita </w:t>
            </w:r>
          </w:p>
        </w:tc>
        <w:tc>
          <w:tcPr>
            <w:tcW w:w="3402" w:type="dxa"/>
            <w:tcBorders>
              <w:left w:val="single" w:sz="4" w:space="0" w:color="auto"/>
              <w:right w:val="single" w:sz="4" w:space="0" w:color="auto"/>
            </w:tcBorders>
          </w:tcPr>
          <w:p w14:paraId="7F1F5E14"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14% reduction in galling</w:t>
            </w:r>
          </w:p>
        </w:tc>
        <w:tc>
          <w:tcPr>
            <w:tcW w:w="1417" w:type="dxa"/>
            <w:tcBorders>
              <w:left w:val="single" w:sz="4" w:space="0" w:color="auto"/>
              <w:right w:val="single" w:sz="4" w:space="0" w:color="auto"/>
            </w:tcBorders>
          </w:tcPr>
          <w:p w14:paraId="71692910"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India </w:t>
            </w:r>
          </w:p>
        </w:tc>
        <w:tc>
          <w:tcPr>
            <w:tcW w:w="2005" w:type="dxa"/>
            <w:tcBorders>
              <w:left w:val="single" w:sz="4" w:space="0" w:color="auto"/>
            </w:tcBorders>
          </w:tcPr>
          <w:p w14:paraId="6A593821"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fldChar w:fldCharType="begin" w:fldLock="1"/>
            </w:r>
            <w:r>
              <w:rPr>
                <w:rFonts w:ascii="Arial" w:eastAsia="Arial" w:hAnsi="Arial" w:cs="Arial"/>
                <w:color w:val="000000" w:themeColor="text1"/>
                <w:sz w:val="24"/>
                <w:szCs w:val="24"/>
              </w:rPr>
              <w:instrText>ADDIN CSL_CITATION {"citationItems":[{"id":"ITEM-1","itemData":{"ISSN":"0255-7576","author":[{"dropping-particle":"","family":"Randhawa","given":"N","non-dropping-particle":"","parse-names":false,"suffix":""},{"dropping-particle":"","family":"Sharma","given":"S K","non-dropping-particle":"","parse-names":false,"suffix":""}],"container-title":"Pakistan Journal of Nematology","id":"ITEM-1","issue":"1","issued":{"date-parts":[["2008"]]},"page":"91-96","publisher":"Pakistan Society of Nematologists","title":"Control of root-knot nematode (Meloidogyne incognita) in nursery beds of tomato by soil amendment with Brassica rapa, Brassica juncea, Brassica napus and Eruca sativa plants.","type":"article-journal","volume":"26"},"uris":["http://www.mendeley.com/documents/?uuid=9f5b6155-ef7e-45d2-86b8-35ddca3d29dc"]}],"mendeley":{"formattedCitation":"(Randhawa and Sharma, 2008)","plainTextFormattedCitation":"(Randhawa and Sharma, 2008)","previouslyFormattedCitation":"(Randhawa and Sharma, 2008)"},"properties":{"noteIndex":0},"schema":"https://github.com/citation-style-language/schema/raw/master/csl-citation.json"}</w:instrText>
            </w:r>
            <w:r w:rsidRPr="00E268F2">
              <w:rPr>
                <w:rFonts w:ascii="Arial" w:eastAsia="Arial" w:hAnsi="Arial" w:cs="Arial"/>
                <w:color w:val="000000" w:themeColor="text1"/>
                <w:sz w:val="24"/>
                <w:szCs w:val="24"/>
              </w:rPr>
              <w:fldChar w:fldCharType="separate"/>
            </w:r>
            <w:r w:rsidRPr="00E13293">
              <w:rPr>
                <w:rFonts w:ascii="Arial" w:eastAsia="Arial" w:hAnsi="Arial" w:cs="Arial"/>
                <w:noProof/>
                <w:color w:val="000000" w:themeColor="text1"/>
                <w:sz w:val="24"/>
                <w:szCs w:val="24"/>
              </w:rPr>
              <w:t>(Randhawa and Sharma, 2008)</w:t>
            </w:r>
            <w:r w:rsidRPr="00E268F2">
              <w:rPr>
                <w:rFonts w:ascii="Arial" w:eastAsia="Arial" w:hAnsi="Arial" w:cs="Arial"/>
                <w:color w:val="000000" w:themeColor="text1"/>
                <w:sz w:val="24"/>
                <w:szCs w:val="24"/>
              </w:rPr>
              <w:fldChar w:fldCharType="end"/>
            </w:r>
          </w:p>
        </w:tc>
      </w:tr>
      <w:tr w:rsidR="00724B58" w:rsidRPr="00E268F2" w14:paraId="429A53E1" w14:textId="77777777" w:rsidTr="00474F68">
        <w:trPr>
          <w:trHeight w:val="430"/>
        </w:trPr>
        <w:tc>
          <w:tcPr>
            <w:tcW w:w="2169" w:type="dxa"/>
            <w:tcBorders>
              <w:top w:val="single" w:sz="4" w:space="0" w:color="auto"/>
              <w:bottom w:val="single" w:sz="4" w:space="0" w:color="auto"/>
              <w:right w:val="single" w:sz="4" w:space="0" w:color="auto"/>
            </w:tcBorders>
          </w:tcPr>
          <w:p w14:paraId="41010A70"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Cover crop </w:t>
            </w:r>
          </w:p>
        </w:tc>
        <w:tc>
          <w:tcPr>
            <w:tcW w:w="1659" w:type="dxa"/>
            <w:tcBorders>
              <w:top w:val="single" w:sz="4" w:space="0" w:color="auto"/>
              <w:left w:val="single" w:sz="4" w:space="0" w:color="auto"/>
              <w:bottom w:val="single" w:sz="4" w:space="0" w:color="auto"/>
              <w:right w:val="single" w:sz="4" w:space="0" w:color="auto"/>
            </w:tcBorders>
          </w:tcPr>
          <w:p w14:paraId="5FFA499F"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Follow -up crop </w:t>
            </w:r>
          </w:p>
        </w:tc>
        <w:tc>
          <w:tcPr>
            <w:tcW w:w="1701" w:type="dxa"/>
            <w:tcBorders>
              <w:top w:val="single" w:sz="4" w:space="0" w:color="auto"/>
              <w:left w:val="single" w:sz="4" w:space="0" w:color="auto"/>
              <w:bottom w:val="single" w:sz="4" w:space="0" w:color="auto"/>
              <w:right w:val="single" w:sz="4" w:space="0" w:color="auto"/>
            </w:tcBorders>
          </w:tcPr>
          <w:p w14:paraId="1FE737EC"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Type of amendment </w:t>
            </w:r>
          </w:p>
        </w:tc>
        <w:tc>
          <w:tcPr>
            <w:tcW w:w="2835" w:type="dxa"/>
            <w:tcBorders>
              <w:top w:val="single" w:sz="4" w:space="0" w:color="auto"/>
              <w:left w:val="single" w:sz="4" w:space="0" w:color="auto"/>
              <w:bottom w:val="single" w:sz="4" w:space="0" w:color="auto"/>
              <w:right w:val="single" w:sz="4" w:space="0" w:color="auto"/>
            </w:tcBorders>
          </w:tcPr>
          <w:p w14:paraId="04592670"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Nematode spp</w:t>
            </w:r>
          </w:p>
        </w:tc>
        <w:tc>
          <w:tcPr>
            <w:tcW w:w="3402" w:type="dxa"/>
            <w:tcBorders>
              <w:top w:val="single" w:sz="4" w:space="0" w:color="auto"/>
              <w:left w:val="single" w:sz="4" w:space="0" w:color="auto"/>
              <w:bottom w:val="single" w:sz="4" w:space="0" w:color="auto"/>
              <w:right w:val="single" w:sz="4" w:space="0" w:color="auto"/>
            </w:tcBorders>
          </w:tcPr>
          <w:p w14:paraId="6B245806"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Reduction %</w:t>
            </w:r>
          </w:p>
        </w:tc>
        <w:tc>
          <w:tcPr>
            <w:tcW w:w="1417" w:type="dxa"/>
            <w:tcBorders>
              <w:top w:val="single" w:sz="4" w:space="0" w:color="auto"/>
              <w:left w:val="single" w:sz="4" w:space="0" w:color="auto"/>
              <w:bottom w:val="single" w:sz="4" w:space="0" w:color="auto"/>
              <w:right w:val="single" w:sz="4" w:space="0" w:color="auto"/>
            </w:tcBorders>
          </w:tcPr>
          <w:p w14:paraId="6C51C701"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Country </w:t>
            </w:r>
          </w:p>
        </w:tc>
        <w:tc>
          <w:tcPr>
            <w:tcW w:w="2005" w:type="dxa"/>
            <w:tcBorders>
              <w:top w:val="single" w:sz="4" w:space="0" w:color="auto"/>
              <w:left w:val="single" w:sz="4" w:space="0" w:color="auto"/>
              <w:bottom w:val="single" w:sz="4" w:space="0" w:color="auto"/>
            </w:tcBorders>
          </w:tcPr>
          <w:p w14:paraId="184C4FB3"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Reference </w:t>
            </w:r>
          </w:p>
        </w:tc>
      </w:tr>
      <w:tr w:rsidR="00724B58" w:rsidRPr="00E268F2" w14:paraId="0E22BF64" w14:textId="77777777" w:rsidTr="00474F68">
        <w:trPr>
          <w:trHeight w:val="479"/>
        </w:trPr>
        <w:tc>
          <w:tcPr>
            <w:tcW w:w="2169" w:type="dxa"/>
            <w:tcBorders>
              <w:right w:val="single" w:sz="4" w:space="0" w:color="auto"/>
            </w:tcBorders>
          </w:tcPr>
          <w:p w14:paraId="3590AE03"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Brassica juncea </w:t>
            </w:r>
          </w:p>
        </w:tc>
        <w:tc>
          <w:tcPr>
            <w:tcW w:w="1659" w:type="dxa"/>
            <w:tcBorders>
              <w:left w:val="single" w:sz="4" w:space="0" w:color="auto"/>
              <w:right w:val="single" w:sz="4" w:space="0" w:color="auto"/>
            </w:tcBorders>
          </w:tcPr>
          <w:p w14:paraId="0A7089AD"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N/A</w:t>
            </w:r>
          </w:p>
        </w:tc>
        <w:tc>
          <w:tcPr>
            <w:tcW w:w="1701" w:type="dxa"/>
            <w:tcBorders>
              <w:left w:val="single" w:sz="4" w:space="0" w:color="auto"/>
              <w:right w:val="single" w:sz="4" w:space="0" w:color="auto"/>
            </w:tcBorders>
          </w:tcPr>
          <w:p w14:paraId="1A5E6A7F"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Green manure </w:t>
            </w:r>
          </w:p>
        </w:tc>
        <w:tc>
          <w:tcPr>
            <w:tcW w:w="2835" w:type="dxa"/>
            <w:tcBorders>
              <w:left w:val="single" w:sz="4" w:space="0" w:color="auto"/>
              <w:right w:val="single" w:sz="4" w:space="0" w:color="auto"/>
            </w:tcBorders>
          </w:tcPr>
          <w:p w14:paraId="332849E7"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Pratylenchus neglectus </w:t>
            </w:r>
          </w:p>
        </w:tc>
        <w:tc>
          <w:tcPr>
            <w:tcW w:w="3402" w:type="dxa"/>
            <w:tcBorders>
              <w:left w:val="single" w:sz="4" w:space="0" w:color="auto"/>
              <w:right w:val="single" w:sz="4" w:space="0" w:color="auto"/>
            </w:tcBorders>
          </w:tcPr>
          <w:p w14:paraId="2BA7EC80"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6-68% reduction in population levels </w:t>
            </w:r>
          </w:p>
        </w:tc>
        <w:tc>
          <w:tcPr>
            <w:tcW w:w="1417" w:type="dxa"/>
            <w:tcBorders>
              <w:left w:val="single" w:sz="4" w:space="0" w:color="auto"/>
              <w:right w:val="single" w:sz="4" w:space="0" w:color="auto"/>
            </w:tcBorders>
          </w:tcPr>
          <w:p w14:paraId="6428AC36"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Australia </w:t>
            </w:r>
          </w:p>
        </w:tc>
        <w:tc>
          <w:tcPr>
            <w:tcW w:w="2005" w:type="dxa"/>
            <w:tcBorders>
              <w:left w:val="single" w:sz="4" w:space="0" w:color="auto"/>
            </w:tcBorders>
          </w:tcPr>
          <w:p w14:paraId="076378ED"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fldChar w:fldCharType="begin" w:fldLock="1"/>
            </w:r>
            <w:r>
              <w:rPr>
                <w:rFonts w:ascii="Arial" w:eastAsia="Arial" w:hAnsi="Arial" w:cs="Arial"/>
                <w:color w:val="000000" w:themeColor="text1"/>
                <w:sz w:val="24"/>
                <w:szCs w:val="24"/>
              </w:rPr>
              <w:instrText>ADDIN CSL_CITATION {"citationItems":[{"id":"ITEM-1","itemData":{"DOI":"10.1023/A:1022336812240","ISSN":"1573-1561","abstract":"The potential of tissue amendments from a variety of wild and cultivated Brassica spp. to kill the root lesion nematode (Pratylenchus neglectus) in soil was assessed in laboratory experiments. Soil amended with leaf tissues was highly nematicidal, killing 56.2–95.2% of exposed nematodes. Amendment with root tissues was less effective, causing 0–48.3% mortality. Little of the suppressive impact by leaf tissues could be related to either total contents or any individual glucosinolate as determined by HPLC analysis. While the levels of total glucosinolates within root amendments had a nonsignificant relationship to nematode mortality, levels of 2-phenylethyl glucosinolate within root amendments significantly correlated with nematode suppression (P &lt; 0.001). Amendment of soils with equimolar levels of purified 2-phenylethyl isothiocyanate resulted in comparable levels of nematode mortality, suggesting that 2-phenylethyl glucosinolate has a role in the suppressive impact of Brassica spp. root tissues.","author":[{"dropping-particle":"","family":"Potter","given":"Mark J.","non-dropping-particle":"","parse-names":false,"suffix":""},{"dropping-particle":"","family":"Davies","given":"Kerrie","non-dropping-particle":"","parse-names":false,"suffix":""},{"dropping-particle":"","family":"Rathjen","given":"Anthony J.","non-dropping-particle":"","parse-names":false,"suffix":""}],"container-title":"Journal of Chemical Ecology 1998 24:1","id":"ITEM-1","issue":"1","issued":{"date-parts":[["1998"]]},"page":"67-80","publisher":"Springer","title":"Suppressive Impact of Glucosinolates in Brassica Vegetative Tissues on Root Lesion Nematode Pratylenchus neglectus","type":"article-journal","volume":"24"},"uris":["http://www.mendeley.com/documents/?uuid=13429f27-b56b-32e8-8e5c-eb59713eca1f"]}],"mendeley":{"formattedCitation":"(Potter, Davies and Rathjen, 1998)","plainTextFormattedCitation":"(Potter, Davies and Rathjen, 1998)","previouslyFormattedCitation":"(Potter, Davies and Rathjen, 1998)"},"properties":{"noteIndex":0},"schema":"https://github.com/citation-style-language/schema/raw/master/csl-citation.json"}</w:instrText>
            </w:r>
            <w:r w:rsidRPr="00E268F2">
              <w:rPr>
                <w:rFonts w:ascii="Arial" w:eastAsia="Arial" w:hAnsi="Arial" w:cs="Arial"/>
                <w:color w:val="000000" w:themeColor="text1"/>
                <w:sz w:val="24"/>
                <w:szCs w:val="24"/>
              </w:rPr>
              <w:fldChar w:fldCharType="separate"/>
            </w:r>
            <w:r w:rsidRPr="00A07F2C">
              <w:rPr>
                <w:rFonts w:ascii="Arial" w:eastAsia="Arial" w:hAnsi="Arial" w:cs="Arial"/>
                <w:noProof/>
                <w:color w:val="000000" w:themeColor="text1"/>
                <w:sz w:val="24"/>
                <w:szCs w:val="24"/>
              </w:rPr>
              <w:t>(Potter, Davies and Rathjen, 1998)</w:t>
            </w:r>
            <w:r w:rsidRPr="00E268F2">
              <w:rPr>
                <w:rFonts w:ascii="Arial" w:eastAsia="Arial" w:hAnsi="Arial" w:cs="Arial"/>
                <w:color w:val="000000" w:themeColor="text1"/>
                <w:sz w:val="24"/>
                <w:szCs w:val="24"/>
              </w:rPr>
              <w:fldChar w:fldCharType="end"/>
            </w:r>
          </w:p>
        </w:tc>
      </w:tr>
      <w:tr w:rsidR="00724B58" w:rsidRPr="00E268F2" w14:paraId="390661B2" w14:textId="77777777" w:rsidTr="00474F68">
        <w:trPr>
          <w:trHeight w:val="479"/>
        </w:trPr>
        <w:tc>
          <w:tcPr>
            <w:tcW w:w="2169" w:type="dxa"/>
            <w:tcBorders>
              <w:right w:val="single" w:sz="4" w:space="0" w:color="auto"/>
            </w:tcBorders>
          </w:tcPr>
          <w:p w14:paraId="66152802"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Brassica napus </w:t>
            </w:r>
          </w:p>
        </w:tc>
        <w:tc>
          <w:tcPr>
            <w:tcW w:w="1659" w:type="dxa"/>
            <w:tcBorders>
              <w:left w:val="single" w:sz="4" w:space="0" w:color="auto"/>
              <w:right w:val="single" w:sz="4" w:space="0" w:color="auto"/>
            </w:tcBorders>
          </w:tcPr>
          <w:p w14:paraId="54ACB5E8"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Vitis vinifera </w:t>
            </w:r>
          </w:p>
        </w:tc>
        <w:tc>
          <w:tcPr>
            <w:tcW w:w="1701" w:type="dxa"/>
            <w:tcBorders>
              <w:left w:val="single" w:sz="4" w:space="0" w:color="auto"/>
              <w:right w:val="single" w:sz="4" w:space="0" w:color="auto"/>
            </w:tcBorders>
          </w:tcPr>
          <w:p w14:paraId="00CB75AE"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Green manure </w:t>
            </w:r>
          </w:p>
        </w:tc>
        <w:tc>
          <w:tcPr>
            <w:tcW w:w="2835" w:type="dxa"/>
            <w:tcBorders>
              <w:left w:val="single" w:sz="4" w:space="0" w:color="auto"/>
              <w:right w:val="single" w:sz="4" w:space="0" w:color="auto"/>
            </w:tcBorders>
          </w:tcPr>
          <w:p w14:paraId="186E3302"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Meloidogyne javanica, Criconemoides xenoplax</w:t>
            </w:r>
          </w:p>
        </w:tc>
        <w:tc>
          <w:tcPr>
            <w:tcW w:w="3402" w:type="dxa"/>
            <w:tcBorders>
              <w:left w:val="single" w:sz="4" w:space="0" w:color="auto"/>
              <w:right w:val="single" w:sz="4" w:space="0" w:color="auto"/>
            </w:tcBorders>
          </w:tcPr>
          <w:p w14:paraId="56A7A04E"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Reduced by 14 and 8% for </w:t>
            </w:r>
            <w:proofErr w:type="spellStart"/>
            <w:proofErr w:type="gramStart"/>
            <w:r w:rsidRPr="00E268F2">
              <w:rPr>
                <w:rFonts w:ascii="Arial" w:eastAsia="Arial" w:hAnsi="Arial" w:cs="Arial"/>
                <w:color w:val="000000" w:themeColor="text1"/>
                <w:sz w:val="24"/>
                <w:szCs w:val="24"/>
              </w:rPr>
              <w:t>M.javanica</w:t>
            </w:r>
            <w:proofErr w:type="spellEnd"/>
            <w:proofErr w:type="gramEnd"/>
            <w:r w:rsidRPr="00E268F2">
              <w:rPr>
                <w:rFonts w:ascii="Arial" w:eastAsia="Arial" w:hAnsi="Arial" w:cs="Arial"/>
                <w:color w:val="000000" w:themeColor="text1"/>
                <w:sz w:val="24"/>
                <w:szCs w:val="24"/>
              </w:rPr>
              <w:t xml:space="preserve"> and </w:t>
            </w:r>
            <w:proofErr w:type="spellStart"/>
            <w:r w:rsidRPr="00E268F2">
              <w:rPr>
                <w:rFonts w:ascii="Arial" w:eastAsia="Arial" w:hAnsi="Arial" w:cs="Arial"/>
                <w:color w:val="000000" w:themeColor="text1"/>
                <w:sz w:val="24"/>
                <w:szCs w:val="24"/>
              </w:rPr>
              <w:t>C.xenoplax</w:t>
            </w:r>
            <w:proofErr w:type="spellEnd"/>
            <w:r w:rsidRPr="00E268F2">
              <w:rPr>
                <w:rFonts w:ascii="Arial" w:eastAsia="Arial" w:hAnsi="Arial" w:cs="Arial"/>
                <w:color w:val="000000" w:themeColor="text1"/>
                <w:sz w:val="24"/>
                <w:szCs w:val="24"/>
              </w:rPr>
              <w:t xml:space="preserve"> respectively. </w:t>
            </w:r>
          </w:p>
        </w:tc>
        <w:tc>
          <w:tcPr>
            <w:tcW w:w="1417" w:type="dxa"/>
            <w:tcBorders>
              <w:left w:val="single" w:sz="4" w:space="0" w:color="auto"/>
              <w:right w:val="single" w:sz="4" w:space="0" w:color="auto"/>
            </w:tcBorders>
          </w:tcPr>
          <w:p w14:paraId="77BDA7BD"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South Africa </w:t>
            </w:r>
          </w:p>
        </w:tc>
        <w:tc>
          <w:tcPr>
            <w:tcW w:w="2005" w:type="dxa"/>
            <w:tcBorders>
              <w:left w:val="single" w:sz="4" w:space="0" w:color="auto"/>
            </w:tcBorders>
          </w:tcPr>
          <w:p w14:paraId="41D8E643"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fldChar w:fldCharType="begin" w:fldLock="1"/>
            </w:r>
            <w:r>
              <w:rPr>
                <w:rFonts w:ascii="Arial" w:eastAsia="Arial" w:hAnsi="Arial" w:cs="Arial"/>
                <w:color w:val="000000" w:themeColor="text1"/>
                <w:sz w:val="24"/>
                <w:szCs w:val="24"/>
              </w:rPr>
              <w:instrText>ADDIN CSL_CITATION {"citationItems":[{"id":"ITEM-1","itemData":{"ISSN":"2224-7904","author":[{"dropping-particle":"","family":"Kruger","given":"D H M","non-dropping-particle":"","parse-names":false,"suffix":""},{"dropping-particle":"","family":"Fourie","given":"J C","non-dropping-particle":"","parse-names":false,"suffix":""},{"dropping-particle":"","family":"Malan","given":"Antoinette P","non-dropping-particle":"","parse-names":false,"suffix":""}],"container-title":"South African Journal of Enology and Viticulture","id":"ITEM-1","issue":"2","issued":{"date-parts":[["2015"]]},"page":"195-209","publisher":"South African Journal of Enology and Viticulture (SAJEV)","title":"The effect of cover crops and their management on plant-parasitic nematodes in vineyards","type":"article-journal","volume":"36"},"uris":["http://www.mendeley.com/documents/?uuid=a06684b4-78bb-4508-8e9c-64fa5c878971"]}],"mendeley":{"formattedCitation":"(Kruger, Fourie and Malan, 2015)","plainTextFormattedCitation":"(Kruger, Fourie and Malan, 2015)","previouslyFormattedCitation":"(Kruger, Fourie and Malan, 2015)"},"properties":{"noteIndex":0},"schema":"https://github.com/citation-style-language/schema/raw/master/csl-citation.json"}</w:instrText>
            </w:r>
            <w:r w:rsidRPr="00E268F2">
              <w:rPr>
                <w:rFonts w:ascii="Arial" w:eastAsia="Arial" w:hAnsi="Arial" w:cs="Arial"/>
                <w:color w:val="000000" w:themeColor="text1"/>
                <w:sz w:val="24"/>
                <w:szCs w:val="24"/>
              </w:rPr>
              <w:fldChar w:fldCharType="separate"/>
            </w:r>
            <w:r w:rsidRPr="00A07F2C">
              <w:rPr>
                <w:rFonts w:ascii="Arial" w:eastAsia="Arial" w:hAnsi="Arial" w:cs="Arial"/>
                <w:noProof/>
                <w:color w:val="000000" w:themeColor="text1"/>
                <w:sz w:val="24"/>
                <w:szCs w:val="24"/>
              </w:rPr>
              <w:t>(Kruger, Fourie and Malan, 2015)</w:t>
            </w:r>
            <w:r w:rsidRPr="00E268F2">
              <w:rPr>
                <w:rFonts w:ascii="Arial" w:eastAsia="Arial" w:hAnsi="Arial" w:cs="Arial"/>
                <w:color w:val="000000" w:themeColor="text1"/>
                <w:sz w:val="24"/>
                <w:szCs w:val="24"/>
              </w:rPr>
              <w:fldChar w:fldCharType="end"/>
            </w:r>
          </w:p>
        </w:tc>
      </w:tr>
      <w:tr w:rsidR="00724B58" w:rsidRPr="00E268F2" w14:paraId="12E9F7C7" w14:textId="77777777" w:rsidTr="00474F68">
        <w:trPr>
          <w:trHeight w:val="479"/>
        </w:trPr>
        <w:tc>
          <w:tcPr>
            <w:tcW w:w="2169" w:type="dxa"/>
            <w:tcBorders>
              <w:right w:val="single" w:sz="4" w:space="0" w:color="auto"/>
            </w:tcBorders>
          </w:tcPr>
          <w:p w14:paraId="44DEBCD6"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Brassica napus </w:t>
            </w:r>
          </w:p>
        </w:tc>
        <w:tc>
          <w:tcPr>
            <w:tcW w:w="1659" w:type="dxa"/>
            <w:tcBorders>
              <w:left w:val="single" w:sz="4" w:space="0" w:color="auto"/>
              <w:right w:val="single" w:sz="4" w:space="0" w:color="auto"/>
            </w:tcBorders>
          </w:tcPr>
          <w:p w14:paraId="2FFF290C"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i/>
                <w:color w:val="000000" w:themeColor="text1"/>
                <w:sz w:val="24"/>
                <w:szCs w:val="24"/>
              </w:rPr>
              <w:t>Vitis vinifera</w:t>
            </w:r>
          </w:p>
        </w:tc>
        <w:tc>
          <w:tcPr>
            <w:tcW w:w="1701" w:type="dxa"/>
            <w:tcBorders>
              <w:left w:val="single" w:sz="4" w:space="0" w:color="auto"/>
              <w:right w:val="single" w:sz="4" w:space="0" w:color="auto"/>
            </w:tcBorders>
          </w:tcPr>
          <w:p w14:paraId="6AD679E3"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Green manure </w:t>
            </w:r>
          </w:p>
        </w:tc>
        <w:tc>
          <w:tcPr>
            <w:tcW w:w="2835" w:type="dxa"/>
            <w:tcBorders>
              <w:left w:val="single" w:sz="4" w:space="0" w:color="auto"/>
              <w:right w:val="single" w:sz="4" w:space="0" w:color="auto"/>
            </w:tcBorders>
          </w:tcPr>
          <w:p w14:paraId="410EF313"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Pratylenchus neglectus </w:t>
            </w:r>
          </w:p>
        </w:tc>
        <w:tc>
          <w:tcPr>
            <w:tcW w:w="3402" w:type="dxa"/>
            <w:tcBorders>
              <w:left w:val="single" w:sz="4" w:space="0" w:color="auto"/>
              <w:right w:val="single" w:sz="4" w:space="0" w:color="auto"/>
            </w:tcBorders>
          </w:tcPr>
          <w:p w14:paraId="758FF23F"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0-57% reduction in population levels </w:t>
            </w:r>
          </w:p>
        </w:tc>
        <w:tc>
          <w:tcPr>
            <w:tcW w:w="1417" w:type="dxa"/>
            <w:tcBorders>
              <w:left w:val="single" w:sz="4" w:space="0" w:color="auto"/>
              <w:right w:val="single" w:sz="4" w:space="0" w:color="auto"/>
            </w:tcBorders>
          </w:tcPr>
          <w:p w14:paraId="2E4D4CA1"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Australia</w:t>
            </w:r>
          </w:p>
        </w:tc>
        <w:tc>
          <w:tcPr>
            <w:tcW w:w="2005" w:type="dxa"/>
            <w:tcBorders>
              <w:left w:val="single" w:sz="4" w:space="0" w:color="auto"/>
            </w:tcBorders>
          </w:tcPr>
          <w:p w14:paraId="66818C23"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Potter et al.,1998</w:t>
            </w:r>
          </w:p>
        </w:tc>
      </w:tr>
      <w:tr w:rsidR="00724B58" w:rsidRPr="00E268F2" w14:paraId="76C464EC" w14:textId="77777777" w:rsidTr="00474F68">
        <w:trPr>
          <w:trHeight w:val="479"/>
        </w:trPr>
        <w:tc>
          <w:tcPr>
            <w:tcW w:w="2169" w:type="dxa"/>
            <w:tcBorders>
              <w:right w:val="single" w:sz="4" w:space="0" w:color="auto"/>
            </w:tcBorders>
          </w:tcPr>
          <w:p w14:paraId="34D357B3"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Raphanus sativus </w:t>
            </w:r>
          </w:p>
        </w:tc>
        <w:tc>
          <w:tcPr>
            <w:tcW w:w="1659" w:type="dxa"/>
            <w:tcBorders>
              <w:left w:val="single" w:sz="4" w:space="0" w:color="auto"/>
              <w:right w:val="single" w:sz="4" w:space="0" w:color="auto"/>
            </w:tcBorders>
          </w:tcPr>
          <w:p w14:paraId="2AD82FAB"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N/A </w:t>
            </w:r>
          </w:p>
        </w:tc>
        <w:tc>
          <w:tcPr>
            <w:tcW w:w="1701" w:type="dxa"/>
            <w:tcBorders>
              <w:left w:val="single" w:sz="4" w:space="0" w:color="auto"/>
              <w:right w:val="single" w:sz="4" w:space="0" w:color="auto"/>
            </w:tcBorders>
          </w:tcPr>
          <w:p w14:paraId="42A96B18"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Green manure </w:t>
            </w:r>
          </w:p>
        </w:tc>
        <w:tc>
          <w:tcPr>
            <w:tcW w:w="2835" w:type="dxa"/>
            <w:tcBorders>
              <w:left w:val="single" w:sz="4" w:space="0" w:color="auto"/>
              <w:right w:val="single" w:sz="4" w:space="0" w:color="auto"/>
            </w:tcBorders>
          </w:tcPr>
          <w:p w14:paraId="787E457E"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Globodera pallida </w:t>
            </w:r>
          </w:p>
        </w:tc>
        <w:tc>
          <w:tcPr>
            <w:tcW w:w="3402" w:type="dxa"/>
            <w:tcBorders>
              <w:left w:val="single" w:sz="4" w:space="0" w:color="auto"/>
              <w:right w:val="single" w:sz="4" w:space="0" w:color="auto"/>
            </w:tcBorders>
          </w:tcPr>
          <w:p w14:paraId="1F3CE172"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50% reduction in population levels </w:t>
            </w:r>
          </w:p>
        </w:tc>
        <w:tc>
          <w:tcPr>
            <w:tcW w:w="1417" w:type="dxa"/>
            <w:tcBorders>
              <w:left w:val="single" w:sz="4" w:space="0" w:color="auto"/>
              <w:right w:val="single" w:sz="4" w:space="0" w:color="auto"/>
            </w:tcBorders>
          </w:tcPr>
          <w:p w14:paraId="7DA190D3"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USA</w:t>
            </w:r>
          </w:p>
        </w:tc>
        <w:tc>
          <w:tcPr>
            <w:tcW w:w="2005" w:type="dxa"/>
            <w:tcBorders>
              <w:left w:val="single" w:sz="4" w:space="0" w:color="auto"/>
            </w:tcBorders>
          </w:tcPr>
          <w:p w14:paraId="3A3DFA9E"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fldChar w:fldCharType="begin" w:fldLock="1"/>
            </w:r>
            <w:r>
              <w:rPr>
                <w:rFonts w:ascii="Arial" w:eastAsia="Arial" w:hAnsi="Arial" w:cs="Arial"/>
                <w:color w:val="000000" w:themeColor="text1"/>
                <w:sz w:val="24"/>
                <w:szCs w:val="24"/>
              </w:rPr>
              <w:instrText>ADDIN CSL_CITATION {"citationItems":[{"id":"ITEM-1","itemData":{"ISBN":"0022-300X","author":[{"dropping-particle":"","family":"Riga","given":"Ekaterini","non-dropping-particle":"","parse-names":false,"suffix":""},{"dropping-particle":"","family":"Wilson","given":"John","non-dropping-particle":"","parse-names":false,"suffix":""},{"dropping-particle":"","family":"Dossey","given":"Zareen","non-dropping-particle":"","parse-names":false,"suffix":""}],"container-title":"JOURNAL OF NEMATOLOGY","id":"ITEM-1","issue":"3","issued":{"date-parts":[["2010"]]},"page":"265","publisher":"SOC NEMATOLOGISTS PO BOX 311, MARCELINE, MO 64658 USA","title":"BIOFUMIGATION AGAINST ENDOGENOUS AND QUARANTINE PLANT PARASITIC NEMATODES OF VEGETABLE CROPS IN THE PACIFIC NORTHWEST","type":"paper-conference","volume":"42"},"uris":["http://www.mendeley.com/documents/?uuid=ef1aad98-52e1-414b-b0f2-3754c7b8dc88"]}],"mendeley":{"formattedCitation":"(Riga, Wilson and Dossey, 2010)","plainTextFormattedCitation":"(Riga, Wilson and Dossey, 2010)","previouslyFormattedCitation":"(Riga, Wilson and Dossey, 2010)"},"properties":{"noteIndex":0},"schema":"https://github.com/citation-style-language/schema/raw/master/csl-citation.json"}</w:instrText>
            </w:r>
            <w:r w:rsidRPr="00E268F2">
              <w:rPr>
                <w:rFonts w:ascii="Arial" w:eastAsia="Arial" w:hAnsi="Arial" w:cs="Arial"/>
                <w:color w:val="000000" w:themeColor="text1"/>
                <w:sz w:val="24"/>
                <w:szCs w:val="24"/>
              </w:rPr>
              <w:fldChar w:fldCharType="separate"/>
            </w:r>
            <w:r w:rsidRPr="00A07F2C">
              <w:rPr>
                <w:rFonts w:ascii="Arial" w:eastAsia="Arial" w:hAnsi="Arial" w:cs="Arial"/>
                <w:noProof/>
                <w:color w:val="000000" w:themeColor="text1"/>
                <w:sz w:val="24"/>
                <w:szCs w:val="24"/>
              </w:rPr>
              <w:t>(Riga, Wilson and Dossey, 2010)</w:t>
            </w:r>
            <w:r w:rsidRPr="00E268F2">
              <w:rPr>
                <w:rFonts w:ascii="Arial" w:eastAsia="Arial" w:hAnsi="Arial" w:cs="Arial"/>
                <w:color w:val="000000" w:themeColor="text1"/>
                <w:sz w:val="24"/>
                <w:szCs w:val="24"/>
              </w:rPr>
              <w:fldChar w:fldCharType="end"/>
            </w:r>
          </w:p>
        </w:tc>
      </w:tr>
      <w:tr w:rsidR="00724B58" w:rsidRPr="00E268F2" w14:paraId="745F9EA6" w14:textId="77777777" w:rsidTr="00474F68">
        <w:trPr>
          <w:trHeight w:val="479"/>
        </w:trPr>
        <w:tc>
          <w:tcPr>
            <w:tcW w:w="2169" w:type="dxa"/>
            <w:tcBorders>
              <w:bottom w:val="single" w:sz="4" w:space="0" w:color="auto"/>
              <w:right w:val="single" w:sz="4" w:space="0" w:color="auto"/>
            </w:tcBorders>
          </w:tcPr>
          <w:p w14:paraId="6760B6A8"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Raphanus sativus </w:t>
            </w:r>
          </w:p>
        </w:tc>
        <w:tc>
          <w:tcPr>
            <w:tcW w:w="1659" w:type="dxa"/>
            <w:tcBorders>
              <w:left w:val="single" w:sz="4" w:space="0" w:color="auto"/>
              <w:bottom w:val="single" w:sz="4" w:space="0" w:color="auto"/>
              <w:right w:val="single" w:sz="4" w:space="0" w:color="auto"/>
            </w:tcBorders>
          </w:tcPr>
          <w:p w14:paraId="044C2DDE"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N/A</w:t>
            </w:r>
          </w:p>
        </w:tc>
        <w:tc>
          <w:tcPr>
            <w:tcW w:w="1701" w:type="dxa"/>
            <w:tcBorders>
              <w:left w:val="single" w:sz="4" w:space="0" w:color="auto"/>
              <w:bottom w:val="single" w:sz="4" w:space="0" w:color="auto"/>
              <w:right w:val="single" w:sz="4" w:space="0" w:color="auto"/>
            </w:tcBorders>
          </w:tcPr>
          <w:p w14:paraId="79884129"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Green manure </w:t>
            </w:r>
          </w:p>
        </w:tc>
        <w:tc>
          <w:tcPr>
            <w:tcW w:w="2835" w:type="dxa"/>
            <w:tcBorders>
              <w:left w:val="single" w:sz="4" w:space="0" w:color="auto"/>
              <w:bottom w:val="single" w:sz="4" w:space="0" w:color="auto"/>
              <w:right w:val="single" w:sz="4" w:space="0" w:color="auto"/>
            </w:tcBorders>
          </w:tcPr>
          <w:p w14:paraId="7B38C5D7" w14:textId="77777777" w:rsidR="00724B58" w:rsidRPr="00E268F2" w:rsidRDefault="00724B58" w:rsidP="00240F03">
            <w:pPr>
              <w:spacing w:line="360" w:lineRule="auto"/>
              <w:jc w:val="both"/>
              <w:rPr>
                <w:rFonts w:ascii="Arial" w:eastAsia="Arial" w:hAnsi="Arial" w:cs="Arial"/>
                <w:i/>
                <w:color w:val="000000" w:themeColor="text1"/>
                <w:sz w:val="24"/>
                <w:szCs w:val="24"/>
              </w:rPr>
            </w:pPr>
            <w:r w:rsidRPr="00E268F2">
              <w:rPr>
                <w:rFonts w:ascii="Arial" w:eastAsia="Arial" w:hAnsi="Arial" w:cs="Arial"/>
                <w:i/>
                <w:color w:val="000000" w:themeColor="text1"/>
                <w:sz w:val="24"/>
                <w:szCs w:val="24"/>
              </w:rPr>
              <w:t xml:space="preserve">Paratrichodorus teres </w:t>
            </w:r>
          </w:p>
        </w:tc>
        <w:tc>
          <w:tcPr>
            <w:tcW w:w="3402" w:type="dxa"/>
            <w:tcBorders>
              <w:left w:val="single" w:sz="4" w:space="0" w:color="auto"/>
              <w:bottom w:val="single" w:sz="4" w:space="0" w:color="auto"/>
              <w:right w:val="single" w:sz="4" w:space="0" w:color="auto"/>
            </w:tcBorders>
          </w:tcPr>
          <w:p w14:paraId="4C0AC45D"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 xml:space="preserve">72% reduction </w:t>
            </w:r>
          </w:p>
        </w:tc>
        <w:tc>
          <w:tcPr>
            <w:tcW w:w="1417" w:type="dxa"/>
            <w:tcBorders>
              <w:left w:val="single" w:sz="4" w:space="0" w:color="auto"/>
              <w:bottom w:val="single" w:sz="4" w:space="0" w:color="auto"/>
              <w:right w:val="single" w:sz="4" w:space="0" w:color="auto"/>
            </w:tcBorders>
          </w:tcPr>
          <w:p w14:paraId="541BF5FB" w14:textId="77777777" w:rsidR="00724B58" w:rsidRPr="00E268F2" w:rsidRDefault="00724B58" w:rsidP="00240F03">
            <w:pPr>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t>Netherlands</w:t>
            </w:r>
          </w:p>
        </w:tc>
        <w:tc>
          <w:tcPr>
            <w:tcW w:w="2005" w:type="dxa"/>
            <w:tcBorders>
              <w:left w:val="single" w:sz="4" w:space="0" w:color="auto"/>
              <w:bottom w:val="single" w:sz="4" w:space="0" w:color="auto"/>
            </w:tcBorders>
          </w:tcPr>
          <w:p w14:paraId="4FB881FD" w14:textId="77777777" w:rsidR="00724B58" w:rsidRPr="00E268F2" w:rsidRDefault="00724B58" w:rsidP="00240F03">
            <w:pPr>
              <w:keepNext/>
              <w:spacing w:line="360" w:lineRule="auto"/>
              <w:jc w:val="both"/>
              <w:rPr>
                <w:rFonts w:ascii="Arial" w:eastAsia="Arial" w:hAnsi="Arial" w:cs="Arial"/>
                <w:color w:val="000000" w:themeColor="text1"/>
                <w:sz w:val="24"/>
                <w:szCs w:val="24"/>
              </w:rPr>
            </w:pPr>
            <w:r w:rsidRPr="00E268F2">
              <w:rPr>
                <w:rFonts w:ascii="Arial" w:eastAsia="Arial" w:hAnsi="Arial" w:cs="Arial"/>
                <w:color w:val="000000" w:themeColor="text1"/>
                <w:sz w:val="24"/>
                <w:szCs w:val="24"/>
              </w:rPr>
              <w:fldChar w:fldCharType="begin" w:fldLock="1"/>
            </w:r>
            <w:r>
              <w:rPr>
                <w:rFonts w:ascii="Arial" w:eastAsia="Arial" w:hAnsi="Arial" w:cs="Arial"/>
                <w:color w:val="000000" w:themeColor="text1"/>
                <w:sz w:val="24"/>
                <w:szCs w:val="24"/>
              </w:rPr>
              <w:instrText>ADDIN CSL_CITATION {"citationItems":[{"id":"ITEM-1","itemData":{"author":[{"dropping-particle":"","family":"Hartsema","given":"O H","non-dropping-particle":"","parse-names":false,"suffix":""},{"dropping-particle":"","family":"Molendijk","given":"Koot P","non-dropping-particle":"","parse-names":false,"suffix":""},{"dropping-particle":"","family":"Berg","given":"L P G","non-dropping-particle":"van der","parse-names":false,"suffix":""},{"dropping-particle":"","family":"Plentinger","given":"M C","non-dropping-particle":"","parse-names":false,"suffix":""},{"dropping-particle":"","family":"Hoek","given":"J","non-dropping-particle":"","parse-names":false,"suffix":""}],"container-title":"Practical Research Plant and Environment: Utrecht, The Netherlands","id":"ITEM-1","issued":{"date-parts":[["2005"]]},"page":"85","title":"Rotational Research Paratrichodorus teres (1991–2000)","type":"article-journal"},"uris":["http://www.mendeley.com/documents/?uuid=eeb00348-fd8c-4f9a-bfb4-f0897c3bd8d9"]}],"mendeley":{"formattedCitation":"(Hartsema &lt;i&gt;et al.&lt;/i&gt;, 2005)","plainTextFormattedCitation":"(Hartsema et al., 2005)","previouslyFormattedCitation":"(Hartsema &lt;i&gt;et al.&lt;/i&gt;, 2005)"},"properties":{"noteIndex":0},"schema":"https://github.com/citation-style-language/schema/raw/master/csl-citation.json"}</w:instrText>
            </w:r>
            <w:r w:rsidRPr="00E268F2">
              <w:rPr>
                <w:rFonts w:ascii="Arial" w:eastAsia="Arial" w:hAnsi="Arial" w:cs="Arial"/>
                <w:color w:val="000000" w:themeColor="text1"/>
                <w:sz w:val="24"/>
                <w:szCs w:val="24"/>
              </w:rPr>
              <w:fldChar w:fldCharType="separate"/>
            </w:r>
            <w:r w:rsidRPr="00A07F2C">
              <w:rPr>
                <w:rFonts w:ascii="Arial" w:eastAsia="Arial" w:hAnsi="Arial" w:cs="Arial"/>
                <w:noProof/>
                <w:color w:val="000000" w:themeColor="text1"/>
                <w:sz w:val="24"/>
                <w:szCs w:val="24"/>
              </w:rPr>
              <w:t xml:space="preserve">(Hartsema </w:t>
            </w:r>
            <w:r w:rsidRPr="00A07F2C">
              <w:rPr>
                <w:rFonts w:ascii="Arial" w:eastAsia="Arial" w:hAnsi="Arial" w:cs="Arial"/>
                <w:i/>
                <w:noProof/>
                <w:color w:val="000000" w:themeColor="text1"/>
                <w:sz w:val="24"/>
                <w:szCs w:val="24"/>
              </w:rPr>
              <w:t>et al.</w:t>
            </w:r>
            <w:r w:rsidRPr="00A07F2C">
              <w:rPr>
                <w:rFonts w:ascii="Arial" w:eastAsia="Arial" w:hAnsi="Arial" w:cs="Arial"/>
                <w:noProof/>
                <w:color w:val="000000" w:themeColor="text1"/>
                <w:sz w:val="24"/>
                <w:szCs w:val="24"/>
              </w:rPr>
              <w:t>, 2005)</w:t>
            </w:r>
            <w:r w:rsidRPr="00E268F2">
              <w:rPr>
                <w:rFonts w:ascii="Arial" w:eastAsia="Arial" w:hAnsi="Arial" w:cs="Arial"/>
                <w:color w:val="000000" w:themeColor="text1"/>
                <w:sz w:val="24"/>
                <w:szCs w:val="24"/>
              </w:rPr>
              <w:fldChar w:fldCharType="end"/>
            </w:r>
          </w:p>
        </w:tc>
      </w:tr>
    </w:tbl>
    <w:p w14:paraId="13B85C19" w14:textId="22B1E980" w:rsidR="00724B58" w:rsidRDefault="00724B58" w:rsidP="00502C77">
      <w:pPr>
        <w:pStyle w:val="paragraph"/>
        <w:spacing w:before="0" w:beforeAutospacing="0" w:after="0" w:afterAutospacing="0" w:line="360" w:lineRule="auto"/>
        <w:ind w:left="-142" w:right="-330"/>
        <w:jc w:val="both"/>
        <w:textAlignment w:val="baseline"/>
        <w:rPr>
          <w:rFonts w:ascii="Arial" w:hAnsi="Arial" w:cs="Arial"/>
          <w:color w:val="000000" w:themeColor="text1"/>
        </w:rPr>
      </w:pPr>
    </w:p>
    <w:p w14:paraId="1E5792BE" w14:textId="20A54231" w:rsidR="00724B58" w:rsidRDefault="00724B58" w:rsidP="00502C77">
      <w:pPr>
        <w:pStyle w:val="paragraph"/>
        <w:spacing w:before="0" w:beforeAutospacing="0" w:after="0" w:afterAutospacing="0" w:line="360" w:lineRule="auto"/>
        <w:ind w:left="-142" w:right="-330"/>
        <w:jc w:val="both"/>
        <w:textAlignment w:val="baseline"/>
        <w:rPr>
          <w:rFonts w:ascii="Arial" w:hAnsi="Arial" w:cs="Arial"/>
          <w:color w:val="000000" w:themeColor="text1"/>
        </w:rPr>
      </w:pPr>
    </w:p>
    <w:p w14:paraId="408FAC8F" w14:textId="77777777" w:rsidR="002572CD" w:rsidRDefault="002572CD" w:rsidP="00502C77">
      <w:pPr>
        <w:pStyle w:val="paragraph"/>
        <w:spacing w:before="0" w:beforeAutospacing="0" w:after="0" w:afterAutospacing="0" w:line="360" w:lineRule="auto"/>
        <w:ind w:left="-142" w:right="-330"/>
        <w:jc w:val="both"/>
        <w:textAlignment w:val="baseline"/>
        <w:rPr>
          <w:rFonts w:ascii="Arial" w:hAnsi="Arial" w:cs="Arial"/>
          <w:color w:val="000000" w:themeColor="text1"/>
        </w:rPr>
        <w:sectPr w:rsidR="002572CD" w:rsidSect="002572CD">
          <w:pgSz w:w="16838" w:h="11906" w:orient="landscape"/>
          <w:pgMar w:top="1440" w:right="1440" w:bottom="1440" w:left="1440" w:header="708" w:footer="708" w:gutter="0"/>
          <w:cols w:space="708"/>
          <w:docGrid w:linePitch="360"/>
        </w:sectPr>
      </w:pPr>
    </w:p>
    <w:p w14:paraId="02A202F4" w14:textId="7FDCE773" w:rsidR="005D111A" w:rsidRPr="005D111A" w:rsidRDefault="6AC1B2C3" w:rsidP="6AC1B2C3">
      <w:pPr>
        <w:pStyle w:val="Heading5"/>
        <w:spacing w:line="360" w:lineRule="auto"/>
        <w:rPr>
          <w:rFonts w:ascii="Arial" w:hAnsi="Arial" w:cs="Arial"/>
          <w:b/>
          <w:bCs/>
          <w:color w:val="000000" w:themeColor="text1"/>
          <w:sz w:val="24"/>
          <w:szCs w:val="24"/>
        </w:rPr>
      </w:pPr>
      <w:r w:rsidRPr="6AC1B2C3">
        <w:rPr>
          <w:rFonts w:ascii="Arial" w:hAnsi="Arial" w:cs="Arial"/>
          <w:b/>
          <w:bCs/>
          <w:caps w:val="0"/>
          <w:color w:val="000000" w:themeColor="text1"/>
          <w:sz w:val="24"/>
          <w:szCs w:val="24"/>
        </w:rPr>
        <w:lastRenderedPageBreak/>
        <w:t>d) Glasshouse studies</w:t>
      </w:r>
      <w:r w:rsidR="00E14D17">
        <w:rPr>
          <w:rFonts w:ascii="Arial" w:hAnsi="Arial" w:cs="Arial"/>
          <w:b/>
          <w:bCs/>
          <w:caps w:val="0"/>
          <w:color w:val="000000" w:themeColor="text1"/>
          <w:sz w:val="24"/>
          <w:szCs w:val="24"/>
        </w:rPr>
        <w:t xml:space="preserve"> on activity of Brassica </w:t>
      </w:r>
      <w:r w:rsidR="00A01F95">
        <w:rPr>
          <w:rFonts w:ascii="Arial" w:hAnsi="Arial" w:cs="Arial"/>
          <w:b/>
          <w:bCs/>
          <w:caps w:val="0"/>
          <w:color w:val="000000" w:themeColor="text1"/>
          <w:sz w:val="24"/>
          <w:szCs w:val="24"/>
        </w:rPr>
        <w:t xml:space="preserve">and Non-Brassica compounds </w:t>
      </w:r>
    </w:p>
    <w:p w14:paraId="41A85CBD" w14:textId="66BD272D" w:rsidR="00E36E51" w:rsidRDefault="006141EE" w:rsidP="00616CDC">
      <w:pPr>
        <w:pStyle w:val="paragraph"/>
        <w:spacing w:before="0" w:beforeAutospacing="0" w:after="0" w:afterAutospacing="0" w:line="360" w:lineRule="auto"/>
        <w:ind w:left="-284" w:right="-330"/>
        <w:jc w:val="both"/>
        <w:textAlignment w:val="baseline"/>
        <w:rPr>
          <w:rFonts w:ascii="Arial" w:hAnsi="Arial" w:cs="Arial"/>
          <w:color w:val="000000" w:themeColor="text1"/>
        </w:rPr>
      </w:pPr>
      <w:r>
        <w:rPr>
          <w:rFonts w:ascii="Arial" w:hAnsi="Arial" w:cs="Arial"/>
          <w:color w:val="000000" w:themeColor="text1"/>
        </w:rPr>
        <w:t>G</w:t>
      </w:r>
      <w:r w:rsidRPr="6AC1B2C3">
        <w:rPr>
          <w:rFonts w:ascii="Arial" w:hAnsi="Arial" w:cs="Arial"/>
          <w:color w:val="000000" w:themeColor="text1"/>
        </w:rPr>
        <w:t xml:space="preserve">lasshouse studies have been conducted to validate the use of brassica </w:t>
      </w:r>
      <w:r w:rsidR="00BD6F89">
        <w:rPr>
          <w:rFonts w:ascii="Arial" w:hAnsi="Arial" w:cs="Arial"/>
          <w:color w:val="000000" w:themeColor="text1"/>
        </w:rPr>
        <w:t xml:space="preserve">and non-brassica </w:t>
      </w:r>
      <w:r w:rsidR="00607269">
        <w:rPr>
          <w:rFonts w:ascii="Arial" w:hAnsi="Arial" w:cs="Arial"/>
          <w:color w:val="000000" w:themeColor="text1"/>
        </w:rPr>
        <w:t xml:space="preserve">compounds </w:t>
      </w:r>
      <w:r w:rsidRPr="6AC1B2C3">
        <w:rPr>
          <w:rFonts w:ascii="Arial" w:hAnsi="Arial" w:cs="Arial"/>
          <w:color w:val="000000" w:themeColor="text1"/>
        </w:rPr>
        <w:t>extracts</w:t>
      </w:r>
      <w:r w:rsidR="00607269">
        <w:rPr>
          <w:rFonts w:ascii="Arial" w:hAnsi="Arial" w:cs="Arial"/>
          <w:color w:val="000000" w:themeColor="text1"/>
        </w:rPr>
        <w:t xml:space="preserve"> </w:t>
      </w:r>
      <w:r w:rsidRPr="6AC1B2C3">
        <w:rPr>
          <w:rFonts w:ascii="Arial" w:hAnsi="Arial" w:cs="Arial"/>
          <w:color w:val="000000" w:themeColor="text1"/>
        </w:rPr>
        <w:t xml:space="preserve">to determine effective dosages and quantify nematode and damage reduction. </w:t>
      </w:r>
      <w:r w:rsidR="6AC1B2C3" w:rsidRPr="6AC1B2C3">
        <w:rPr>
          <w:rFonts w:ascii="Arial" w:hAnsi="Arial" w:cs="Arial"/>
          <w:color w:val="000000" w:themeColor="text1"/>
        </w:rPr>
        <w:t xml:space="preserve">Choice of </w:t>
      </w:r>
      <w:r w:rsidR="009A5787">
        <w:rPr>
          <w:rFonts w:ascii="Arial" w:hAnsi="Arial" w:cs="Arial"/>
          <w:color w:val="000000" w:themeColor="text1"/>
        </w:rPr>
        <w:t xml:space="preserve">green manure </w:t>
      </w:r>
      <w:r w:rsidR="00607269">
        <w:rPr>
          <w:rFonts w:ascii="Arial" w:hAnsi="Arial" w:cs="Arial"/>
          <w:color w:val="000000" w:themeColor="text1"/>
        </w:rPr>
        <w:t xml:space="preserve">cover crops </w:t>
      </w:r>
      <w:r w:rsidR="6AC1B2C3" w:rsidRPr="6AC1B2C3">
        <w:rPr>
          <w:rFonts w:ascii="Arial" w:hAnsi="Arial" w:cs="Arial"/>
          <w:color w:val="000000" w:themeColor="text1"/>
        </w:rPr>
        <w:t>needs to consider the host status of species or cultivars to PPNs as it ensures PPN s populations decline over time during the growth of the green manure and more reduction post incorporation (Matthiessen and Kirkegaard, 2006</w:t>
      </w:r>
      <w:r w:rsidR="008B5206">
        <w:rPr>
          <w:rFonts w:ascii="Arial" w:hAnsi="Arial" w:cs="Arial"/>
          <w:color w:val="000000" w:themeColor="text1"/>
        </w:rPr>
        <w:t xml:space="preserve">. </w:t>
      </w:r>
      <w:r w:rsidR="009563DD" w:rsidRPr="6AC1B2C3">
        <w:rPr>
          <w:rFonts w:ascii="Arial" w:hAnsi="Arial" w:cs="Arial"/>
          <w:color w:val="000000" w:themeColor="text1"/>
        </w:rPr>
        <w:t>Glasshouse experiments provide a good opportunity to screen the host status of the different cover crops</w:t>
      </w:r>
      <w:r w:rsidR="009563DD">
        <w:rPr>
          <w:rFonts w:ascii="Arial" w:hAnsi="Arial" w:cs="Arial"/>
          <w:color w:val="000000" w:themeColor="text1"/>
        </w:rPr>
        <w:t xml:space="preserve"> before</w:t>
      </w:r>
      <w:r w:rsidR="009563DD" w:rsidRPr="6AC1B2C3">
        <w:rPr>
          <w:rFonts w:ascii="Arial" w:hAnsi="Arial" w:cs="Arial"/>
          <w:color w:val="000000" w:themeColor="text1"/>
        </w:rPr>
        <w:t xml:space="preserve"> testing performance under field conditions. </w:t>
      </w:r>
      <w:r w:rsidR="6AC1B2C3" w:rsidRPr="6AC1B2C3">
        <w:rPr>
          <w:rFonts w:ascii="Arial" w:hAnsi="Arial" w:cs="Arial"/>
          <w:color w:val="000000" w:themeColor="text1"/>
        </w:rPr>
        <w:t xml:space="preserve">The susceptibility of different cover crop species is specific to the nematode species, pathotype and even race. This has been shown in a study where </w:t>
      </w:r>
      <w:r w:rsidR="6AC1B2C3" w:rsidRPr="6AC1B2C3">
        <w:rPr>
          <w:rFonts w:ascii="Arial" w:hAnsi="Arial" w:cs="Arial"/>
          <w:i/>
          <w:iCs/>
          <w:color w:val="000000" w:themeColor="text1"/>
        </w:rPr>
        <w:t>Raphanus sativus</w:t>
      </w:r>
      <w:r w:rsidR="6AC1B2C3" w:rsidRPr="6AC1B2C3">
        <w:rPr>
          <w:rFonts w:ascii="Arial" w:hAnsi="Arial" w:cs="Arial"/>
          <w:color w:val="000000" w:themeColor="text1"/>
        </w:rPr>
        <w:t xml:space="preserve"> var. Colonel and Terranova were excellent hosts for </w:t>
      </w:r>
      <w:r w:rsidR="6AC1B2C3" w:rsidRPr="6AC1B2C3">
        <w:rPr>
          <w:rFonts w:ascii="Arial" w:hAnsi="Arial" w:cs="Arial"/>
          <w:i/>
          <w:iCs/>
          <w:color w:val="000000" w:themeColor="text1"/>
        </w:rPr>
        <w:t>M. hapla</w:t>
      </w:r>
      <w:r w:rsidR="6AC1B2C3" w:rsidRPr="6AC1B2C3">
        <w:rPr>
          <w:rFonts w:ascii="Arial" w:hAnsi="Arial" w:cs="Arial"/>
          <w:color w:val="000000" w:themeColor="text1"/>
        </w:rPr>
        <w:t xml:space="preserve"> but poor hosts for </w:t>
      </w:r>
      <w:r w:rsidR="6AC1B2C3" w:rsidRPr="6AC1B2C3">
        <w:rPr>
          <w:rFonts w:ascii="Arial" w:hAnsi="Arial" w:cs="Arial"/>
          <w:i/>
          <w:iCs/>
          <w:color w:val="000000" w:themeColor="text1"/>
        </w:rPr>
        <w:t>M. incognita</w:t>
      </w:r>
      <w:r w:rsidR="6AC1B2C3" w:rsidRPr="6AC1B2C3">
        <w:rPr>
          <w:rFonts w:ascii="Arial" w:hAnsi="Arial" w:cs="Arial"/>
          <w:color w:val="000000" w:themeColor="text1"/>
        </w:rPr>
        <w:t xml:space="preserve"> and </w:t>
      </w:r>
      <w:r w:rsidR="6AC1B2C3" w:rsidRPr="6AC1B2C3">
        <w:rPr>
          <w:rFonts w:ascii="Arial" w:hAnsi="Arial" w:cs="Arial"/>
          <w:i/>
          <w:iCs/>
          <w:color w:val="000000" w:themeColor="text1"/>
        </w:rPr>
        <w:t>M. javanica</w:t>
      </w:r>
      <w:r w:rsidR="6AC1B2C3" w:rsidRPr="6AC1B2C3">
        <w:rPr>
          <w:rFonts w:ascii="Arial" w:hAnsi="Arial" w:cs="Arial"/>
          <w:color w:val="000000" w:themeColor="text1"/>
        </w:rPr>
        <w:t xml:space="preserve">. Variations in susceptibility of </w:t>
      </w:r>
      <w:r w:rsidR="6AC1B2C3" w:rsidRPr="6AC1B2C3">
        <w:rPr>
          <w:rFonts w:ascii="Arial" w:hAnsi="Arial" w:cs="Arial"/>
          <w:i/>
          <w:iCs/>
          <w:color w:val="000000" w:themeColor="text1"/>
        </w:rPr>
        <w:t>R.sativus</w:t>
      </w:r>
      <w:r w:rsidR="6AC1B2C3" w:rsidRPr="6AC1B2C3">
        <w:rPr>
          <w:rFonts w:ascii="Arial" w:hAnsi="Arial" w:cs="Arial"/>
          <w:color w:val="000000" w:themeColor="text1"/>
        </w:rPr>
        <w:t xml:space="preserve"> var. colonel and var. Adagio were shown where Colonel was an excellent host to </w:t>
      </w:r>
      <w:r w:rsidR="6AC1B2C3" w:rsidRPr="6AC1B2C3">
        <w:rPr>
          <w:rFonts w:ascii="Arial" w:hAnsi="Arial" w:cs="Arial"/>
          <w:i/>
          <w:iCs/>
          <w:color w:val="000000" w:themeColor="text1"/>
        </w:rPr>
        <w:t>M.hapla</w:t>
      </w:r>
      <w:r w:rsidR="6AC1B2C3" w:rsidRPr="6AC1B2C3">
        <w:rPr>
          <w:rFonts w:ascii="Arial" w:hAnsi="Arial" w:cs="Arial"/>
          <w:color w:val="000000" w:themeColor="text1"/>
        </w:rPr>
        <w:t xml:space="preserve"> while Adagio was a poor host to all Meloidogyne species. </w:t>
      </w:r>
      <w:r w:rsidR="005D111A" w:rsidRPr="6AC1B2C3">
        <w:rPr>
          <w:rFonts w:ascii="Arial" w:hAnsi="Arial" w:cs="Arial"/>
          <w:color w:val="000000" w:themeColor="text1"/>
        </w:rPr>
        <w:fldChar w:fldCharType="begin" w:fldLock="1"/>
      </w:r>
      <w:r w:rsidR="005D111A" w:rsidRPr="6AC1B2C3">
        <w:rPr>
          <w:rFonts w:ascii="Arial" w:hAnsi="Arial" w:cs="Arial"/>
          <w:color w:val="000000" w:themeColor="text1"/>
        </w:rPr>
        <w:instrText>ADDIN CSL_CITATION {"citationItems":[{"id":"ITEM-1","itemData":{"author":[{"dropping-particle":"","family":"Scott","given":"Edwards","non-dropping-particle":"","parse-names":false,"suffix":""},{"dropping-particle":"","family":"Antoon","given":"Ploeg","non-dropping-particle":"","parse-names":false,"suffix":""}],"id":"ITEM-1","issue":"3","issued":{"date-parts":[["2014"]]},"page":"287-295","title":"Evaluation of 31 Potential Biofumigant Brassicaceous Plants as Hosts for Three Meloiodogyne Species","type":"article-journal","volume":"46"},"uris":["http://www.mendeley.com/documents/?uuid=1356fb9f-d953-44d1-a177-d4d99f4c1f7c"]}],"mendeley":{"formattedCitation":"(Scott and Antoon, 2014)","plainTextFormattedCitation":"(Scott and Antoon, 2014)","previouslyFormattedCitation":"(Scott and Antoon, 2014)"},"properties":{"noteIndex":0},"schema":"https://github.com/citation-style-language/schema/raw/master/csl-citation.json"}</w:instrText>
      </w:r>
      <w:r w:rsidR="005D111A" w:rsidRPr="6AC1B2C3">
        <w:rPr>
          <w:rFonts w:ascii="Arial" w:hAnsi="Arial" w:cs="Arial"/>
          <w:color w:val="000000" w:themeColor="text1"/>
        </w:rPr>
        <w:fldChar w:fldCharType="separate"/>
      </w:r>
      <w:r w:rsidR="6AC1B2C3" w:rsidRPr="6AC1B2C3">
        <w:rPr>
          <w:rFonts w:ascii="Arial" w:hAnsi="Arial" w:cs="Arial"/>
          <w:noProof/>
          <w:color w:val="000000" w:themeColor="text1"/>
        </w:rPr>
        <w:t>(Scott and Antoon, 2014)</w:t>
      </w:r>
      <w:r w:rsidR="005D111A" w:rsidRPr="6AC1B2C3">
        <w:rPr>
          <w:rFonts w:ascii="Arial" w:hAnsi="Arial" w:cs="Arial"/>
          <w:color w:val="000000" w:themeColor="text1"/>
        </w:rPr>
        <w:fldChar w:fldCharType="end"/>
      </w:r>
      <w:r w:rsidR="6AC1B2C3" w:rsidRPr="6AC1B2C3">
        <w:rPr>
          <w:rFonts w:ascii="Arial" w:hAnsi="Arial" w:cs="Arial"/>
          <w:color w:val="000000" w:themeColor="text1"/>
        </w:rPr>
        <w:t xml:space="preserve">. </w:t>
      </w:r>
    </w:p>
    <w:p w14:paraId="1BB659D1" w14:textId="0194E116" w:rsidR="00E07207" w:rsidRDefault="6AC1B2C3" w:rsidP="6AC1B2C3">
      <w:pPr>
        <w:pStyle w:val="paragraph"/>
        <w:spacing w:before="0" w:beforeAutospacing="0" w:after="0" w:afterAutospacing="0" w:line="360" w:lineRule="auto"/>
        <w:ind w:left="-284" w:right="-330"/>
        <w:jc w:val="both"/>
        <w:textAlignment w:val="baseline"/>
        <w:rPr>
          <w:rFonts w:ascii="Arial" w:hAnsi="Arial" w:cs="Arial"/>
          <w:color w:val="000000" w:themeColor="text1"/>
        </w:rPr>
      </w:pPr>
      <w:r w:rsidRPr="6AC1B2C3">
        <w:rPr>
          <w:rFonts w:ascii="Arial" w:hAnsi="Arial" w:cs="Arial"/>
          <w:color w:val="000000" w:themeColor="text1"/>
        </w:rPr>
        <w:t xml:space="preserve">A pot experiment comparing different dosages of </w:t>
      </w:r>
      <w:r w:rsidRPr="6AC1B2C3">
        <w:rPr>
          <w:rFonts w:ascii="Arial" w:hAnsi="Arial" w:cs="Arial"/>
          <w:i/>
          <w:iCs/>
          <w:color w:val="000000" w:themeColor="text1"/>
        </w:rPr>
        <w:t>Brassica macrocarpa</w:t>
      </w:r>
      <w:r w:rsidRPr="6AC1B2C3">
        <w:rPr>
          <w:rFonts w:ascii="Arial" w:hAnsi="Arial" w:cs="Arial"/>
          <w:color w:val="000000" w:themeColor="text1"/>
        </w:rPr>
        <w:t xml:space="preserve"> leaf flour, which is known to contain high levels of sinigrin, recorded a 50% reduction in root galling index on tomato plant roots in pots treated with sinigrin when compared to the untreated control </w:t>
      </w:r>
      <w:r w:rsidR="00366229" w:rsidRPr="6AC1B2C3">
        <w:rPr>
          <w:rFonts w:ascii="Arial" w:hAnsi="Arial" w:cs="Arial"/>
          <w:color w:val="000000" w:themeColor="text1"/>
        </w:rPr>
        <w:fldChar w:fldCharType="begin" w:fldLock="1"/>
      </w:r>
      <w:r w:rsidR="00366229" w:rsidRPr="6AC1B2C3">
        <w:rPr>
          <w:rFonts w:ascii="Arial" w:hAnsi="Arial" w:cs="Arial"/>
          <w:color w:val="000000" w:themeColor="text1"/>
        </w:rPr>
        <w:instrText>ADDIN CSL_CITATION {"citationItems":[{"id":"ITEM-1","itemData":{"DOI":"10.3390/agronomy9120820","abstract":"Tomato crops are affected in Mediterranean cold-greenhouse agrosystems by soilborne diseases, such as root-knot nematodes (Meloidogyne spp.), which represent a serious problem leading to losses in production. Agroecological soil management based on biocontrol agents and natural compounds has had increased grower interest in order to reduce chemical residues in the produce and to adopt environmentally friendly farming methods. In this frame, we evaluate and validate soil biofumigation by the use of glucosinolate (GLS) compounds. Among them, sinigrin showed biocontrol activities against several pests and diseases via nematotoxic action. Among the Brassicaceae species rich in sinigrin, we chose Brassica macrocarpa Guss. (BM) because its leaves show 90% of all GLSs, and we could better estimate the action of this single GLS. Different dosages of BM leaf flour, containing 200 to 300, 350, 400, 450, and 650 µmol m −2 of sinigrin, were inserted into soil already infected by Meloidogyne spp. for evaluating their effects on tomatoes grown in cold greenhouses in comparison to absolute control (CTRL) and to the chemical one, Vydate 5G ® (CCTRL). The root disease index, caused by nematode attack, was the highest in CTRL, and a reduction of about 50% was observed with the 300 to 650 µmol m −2 sinigrin dosage. The CCTRL showed twofold marketable yield increase, and a fourfold increase was found in 650 µmol m −2 of sinigrin dosage, in comparison to the CTRL. Biofumigant applications improved tomato plant growth and development, and fruit quality, significantly for dry matter and soluble sugars (• Brix). BM leaf flour inserted into the soil, at a dose of 300 µmol m −2 of sinigrin, showed similar effects to the CCTRL on root disease index, root weight, and marketable yield. Data showed the nematotoxic effect of sinigrin for the biocontrol of Meloydogine spp. by the use of B. macrocarpa leaves, very rich in this GLS compound, which represents a new tool for agroecological soil management and for organic farming.","author":[{"dropping-particle":"","family":"Argento","given":"Sergio","non-dropping-particle":"","parse-names":false,"suffix":""},{"dropping-particle":"","family":"Melilli","given":"Maria Grazia","non-dropping-particle":"","parse-names":false,"suffix":""},{"dropping-particle":"","family":"Branca","given":"Ferdinando","non-dropping-particle":"","parse-names":false,"suffix":""}],"container-title":"Agronomy","id":"ITEM-1","issue":"12","issued":{"date-parts":[["2019"]]},"page":"1-13","title":"Enhancing Greenhouse Tomato-Crop Productivity by Using Brassica macrocarpa Guss. Leaves for Controlling Root-Knot Nematodes","type":"article-journal","volume":"9"},"uris":["http://www.mendeley.com/documents/?uuid=9a8036de-c206-3743-83de-6acec5900f95"]}],"mendeley":{"formattedCitation":"(Argento, Melilli and Branca, 2019)","plainTextFormattedCitation":"(Argento, Melilli and Branca, 2019)","previouslyFormattedCitation":"(Argento, Melilli and Branca, 2019)"},"properties":{"noteIndex":0},"schema":"https://github.com/citation-style-language/schema/raw/master/csl-citation.json"}</w:instrText>
      </w:r>
      <w:r w:rsidR="00366229" w:rsidRPr="6AC1B2C3">
        <w:rPr>
          <w:rFonts w:ascii="Arial" w:hAnsi="Arial" w:cs="Arial"/>
          <w:color w:val="000000" w:themeColor="text1"/>
        </w:rPr>
        <w:fldChar w:fldCharType="separate"/>
      </w:r>
      <w:r w:rsidRPr="6AC1B2C3">
        <w:rPr>
          <w:rFonts w:ascii="Arial" w:hAnsi="Arial" w:cs="Arial"/>
          <w:noProof/>
          <w:color w:val="000000" w:themeColor="text1"/>
        </w:rPr>
        <w:t>(Argento, Melilli and Branca, 2019)</w:t>
      </w:r>
      <w:r w:rsidR="00366229" w:rsidRPr="6AC1B2C3">
        <w:rPr>
          <w:rFonts w:ascii="Arial" w:hAnsi="Arial" w:cs="Arial"/>
          <w:color w:val="000000" w:themeColor="text1"/>
        </w:rPr>
        <w:fldChar w:fldCharType="end"/>
      </w:r>
      <w:r w:rsidRPr="6AC1B2C3">
        <w:rPr>
          <w:rFonts w:ascii="Arial" w:hAnsi="Arial" w:cs="Arial"/>
          <w:color w:val="000000" w:themeColor="text1"/>
        </w:rPr>
        <w:t xml:space="preserve">. In a similar experiment, the viability of </w:t>
      </w:r>
      <w:r w:rsidRPr="6AC1B2C3">
        <w:rPr>
          <w:rFonts w:ascii="Arial" w:hAnsi="Arial" w:cs="Arial"/>
          <w:i/>
          <w:iCs/>
          <w:color w:val="000000" w:themeColor="text1"/>
        </w:rPr>
        <w:t>Globodera pallida</w:t>
      </w:r>
      <w:r w:rsidRPr="6AC1B2C3">
        <w:rPr>
          <w:rFonts w:ascii="Arial" w:hAnsi="Arial" w:cs="Arial"/>
          <w:color w:val="000000" w:themeColor="text1"/>
        </w:rPr>
        <w:t xml:space="preserve"> encysted eggs was significantly reduced when sinigrin GSL was introduced in the soil compared to non-treated pots. The role of microbial activity in degradation of glucosinolates was also investigated in the study where sinigrin GSL was introduced in soil when Indian mustard and oilseed radish were cultivated. The degradation was monitored pre-planting, pre and post incorporation of the brassicas. Microbial activity was measured to determine its contribution in production of myrosinase responsible for degradation of sinigrin. A strong correlation between </w:t>
      </w:r>
      <w:r w:rsidRPr="6AC1B2C3">
        <w:rPr>
          <w:rFonts w:ascii="Arial" w:hAnsi="Arial" w:cs="Arial"/>
          <w:i/>
          <w:iCs/>
          <w:color w:val="000000" w:themeColor="text1"/>
        </w:rPr>
        <w:t>Globodera pallida</w:t>
      </w:r>
      <w:r w:rsidRPr="6AC1B2C3">
        <w:rPr>
          <w:rFonts w:ascii="Arial" w:hAnsi="Arial" w:cs="Arial"/>
          <w:color w:val="000000" w:themeColor="text1"/>
        </w:rPr>
        <w:t xml:space="preserve"> suppression by brassicas and microbial activity was recorded which was attributed to sinigrin degradation from myrosinase produced by incorporated brassica material and myrosinase produced by soil microbes that were seen to build up post incorporation of the brassicas. Significantly higher microbial activity was recorded in the unsterilized brassica incorporated treatments compared to the sterile fallow soil. The egg viability of </w:t>
      </w:r>
      <w:r w:rsidRPr="6AC1B2C3">
        <w:rPr>
          <w:rFonts w:ascii="Arial" w:hAnsi="Arial" w:cs="Arial"/>
          <w:i/>
          <w:iCs/>
          <w:color w:val="000000" w:themeColor="text1"/>
        </w:rPr>
        <w:t>Globodera pallida</w:t>
      </w:r>
      <w:r w:rsidRPr="6AC1B2C3">
        <w:rPr>
          <w:rFonts w:ascii="Arial" w:hAnsi="Arial" w:cs="Arial"/>
          <w:color w:val="000000" w:themeColor="text1"/>
        </w:rPr>
        <w:t xml:space="preserve"> encysted eggs was significantly lower in unsterilized </w:t>
      </w:r>
      <w:r w:rsidRPr="6AC1B2C3">
        <w:rPr>
          <w:rFonts w:ascii="Arial" w:hAnsi="Arial" w:cs="Arial"/>
          <w:i/>
          <w:iCs/>
          <w:color w:val="000000" w:themeColor="text1"/>
        </w:rPr>
        <w:t>Raphanus sativus</w:t>
      </w:r>
      <w:r w:rsidRPr="6AC1B2C3">
        <w:rPr>
          <w:rFonts w:ascii="Arial" w:hAnsi="Arial" w:cs="Arial"/>
          <w:color w:val="000000" w:themeColor="text1"/>
        </w:rPr>
        <w:t xml:space="preserve"> treated soil compared to the sterile fallow </w:t>
      </w:r>
      <w:r w:rsidR="00366229" w:rsidRPr="6AC1B2C3">
        <w:rPr>
          <w:rFonts w:ascii="Arial" w:hAnsi="Arial" w:cs="Arial"/>
          <w:color w:val="000000" w:themeColor="text1"/>
        </w:rPr>
        <w:fldChar w:fldCharType="begin" w:fldLock="1"/>
      </w:r>
      <w:r w:rsidR="00366229" w:rsidRPr="6AC1B2C3">
        <w:rPr>
          <w:rFonts w:ascii="Arial" w:hAnsi="Arial" w:cs="Arial"/>
          <w:color w:val="000000" w:themeColor="text1"/>
        </w:rPr>
        <w:instrText>ADDIN CSL_CITATION {"citationItems":[{"id":"ITEM-1","itemData":{"DOI":"10.1016/j.apsoil.2015.05.009","abstract":"Inter-cropping mustard and oilseed radish in potato production has been shown to suppress potato cyst nematode (PCN) reproduction in field plots. This suppressive effect is mostly attributed to the release of glucosinolate (GSL) hydrolysis products such as isothiocyanates, following chopping and incorporation of the crop biomass. This study examined the degradation of sinigrin introduced into soil where Indian mustard and oilseed radish were cultivated and the effect on PCN suppression. Glucosinolate degradation was measured by introducing sinigrin into the soil samples pre-planting, pre-and post-incorporation of the brassicas, while the soil microbial activity was quantified as the concentration of fluorescein di-acetate (FDA) g −1 oven dry soil. Sinigrin was significantly (P &lt; 0.001) degraded pre-and post-incorporation of the brassicas cultivated in unsterilized soil. The total microbial activity increased significantly (P &lt; 0.001) pre-and post-incorporation of brassicas when compared with fallow controls. Unsterilized soils planted with oilseed radish resulted in a significant (P &lt; 0.027) suppression of G. pallida encysted eggs (30-35% mortality). Microbial activity correlated positively with G. pallida mortality (R 2 = 0.94, P &lt; 0.001), but inversely with sinigrin degradation. This study has revealed that brassicas used for biofumigation may affect soil borne pests and pathogens not just after incorporation of the crop residues, but also during active growth of these plants.","author":[{"dropping-particle":"","family":"Ngala","given":"Bruno M","non-dropping-particle":"","parse-names":false,"suffix":""},{"dropping-particle":"","family":"Woods","given":"Simon R","non-dropping-particle":"","parse-names":false,"suffix":""},{"dropping-particle":"","family":"Back","given":"Matthew A","non-dropping-particle":"","parse-names":false,"suffix":""}],"container-title":"Applied Soil Ecology","id":"ITEM-1","issued":{"date-parts":[["2015"]]},"page":"9-14","title":"Sinigrin degradation and G. pallida suppression in soil cultivated with brassicas under controlled environmental conditions","type":"article-journal","volume":"95"},"uris":["http://www.mendeley.com/documents/?uuid=c9786827-ed44-3862-8c15-8f8b487ec9b4"]}],"mendeley":{"formattedCitation":"(Ngala, Woods and Back, 2015)","plainTextFormattedCitation":"(Ngala, Woods and Back, 2015)","previouslyFormattedCitation":"(Ngala, Woods and Back, 2015)"},"properties":{"noteIndex":0},"schema":"https://github.com/citation-style-language/schema/raw/master/csl-citation.json"}</w:instrText>
      </w:r>
      <w:r w:rsidR="00366229" w:rsidRPr="6AC1B2C3">
        <w:rPr>
          <w:rFonts w:ascii="Arial" w:hAnsi="Arial" w:cs="Arial"/>
          <w:color w:val="000000" w:themeColor="text1"/>
        </w:rPr>
        <w:fldChar w:fldCharType="separate"/>
      </w:r>
      <w:r w:rsidRPr="6AC1B2C3">
        <w:rPr>
          <w:rFonts w:ascii="Arial" w:hAnsi="Arial" w:cs="Arial"/>
          <w:noProof/>
          <w:color w:val="000000" w:themeColor="text1"/>
        </w:rPr>
        <w:t>(Ngala, Woods and Back, 2015)</w:t>
      </w:r>
      <w:r w:rsidR="00366229" w:rsidRPr="6AC1B2C3">
        <w:rPr>
          <w:rFonts w:ascii="Arial" w:hAnsi="Arial" w:cs="Arial"/>
          <w:color w:val="000000" w:themeColor="text1"/>
        </w:rPr>
        <w:fldChar w:fldCharType="end"/>
      </w:r>
      <w:r w:rsidRPr="6AC1B2C3">
        <w:rPr>
          <w:rFonts w:ascii="Arial" w:hAnsi="Arial" w:cs="Arial"/>
          <w:color w:val="000000" w:themeColor="text1"/>
        </w:rPr>
        <w:t>.</w:t>
      </w:r>
    </w:p>
    <w:p w14:paraId="47E86AF9" w14:textId="478BC682" w:rsidR="005367D5" w:rsidRPr="00646DDF" w:rsidRDefault="007819D4" w:rsidP="00616CDC">
      <w:pPr>
        <w:pStyle w:val="paragraph"/>
        <w:spacing w:before="0" w:beforeAutospacing="0" w:after="0" w:afterAutospacing="0" w:line="360" w:lineRule="auto"/>
        <w:ind w:left="-426" w:right="-330"/>
        <w:jc w:val="both"/>
        <w:textAlignment w:val="baseline"/>
        <w:rPr>
          <w:rFonts w:ascii="Arial" w:hAnsi="Arial" w:cs="Arial"/>
          <w:color w:val="000000" w:themeColor="text1"/>
        </w:rPr>
      </w:pPr>
      <w:r w:rsidRPr="002B3D8A">
        <w:rPr>
          <w:rFonts w:ascii="Arial" w:hAnsi="Arial" w:cs="Arial"/>
          <w:color w:val="000000" w:themeColor="text1"/>
        </w:rPr>
        <w:lastRenderedPageBreak/>
        <w:t xml:space="preserve">No effect of </w:t>
      </w:r>
      <w:r>
        <w:rPr>
          <w:rFonts w:ascii="Arial" w:hAnsi="Arial" w:cs="Arial"/>
          <w:color w:val="000000" w:themeColor="text1"/>
        </w:rPr>
        <w:t>b</w:t>
      </w:r>
      <w:r w:rsidRPr="002B3D8A">
        <w:rPr>
          <w:rFonts w:ascii="Arial" w:hAnsi="Arial" w:cs="Arial"/>
          <w:color w:val="000000" w:themeColor="text1"/>
        </w:rPr>
        <w:t xml:space="preserve">iofumigation on hatching of </w:t>
      </w:r>
      <w:r w:rsidRPr="002B3D8A">
        <w:rPr>
          <w:rFonts w:ascii="Arial" w:hAnsi="Arial" w:cs="Arial"/>
          <w:i/>
          <w:color w:val="000000" w:themeColor="text1"/>
        </w:rPr>
        <w:t>Globodera pallida</w:t>
      </w:r>
      <w:r w:rsidRPr="002B3D8A">
        <w:rPr>
          <w:rFonts w:ascii="Arial" w:hAnsi="Arial" w:cs="Arial"/>
          <w:color w:val="000000" w:themeColor="text1"/>
        </w:rPr>
        <w:t xml:space="preserve"> was recorded in the pot experiment and this was attributed to inability to obtain lethal isothiocyanate concentrations in the pot experiment </w:t>
      </w:r>
      <w:r w:rsidRPr="002B3D8A">
        <w:rPr>
          <w:rFonts w:ascii="Arial" w:hAnsi="Arial" w:cs="Arial"/>
          <w:color w:val="000000" w:themeColor="text1"/>
        </w:rPr>
        <w:fldChar w:fldCharType="begin" w:fldLock="1"/>
      </w:r>
      <w:r>
        <w:rPr>
          <w:rFonts w:ascii="Arial" w:hAnsi="Arial" w:cs="Arial"/>
          <w:color w:val="000000" w:themeColor="text1"/>
        </w:rPr>
        <w:instrText>ADDIN CSL_CITATION {"citationItems":[{"id":"ITEM-1","itemData":{"DOI":"10.1016/j.apsoil.2014.05.011","ISSN":"09291393","abstract":"The aim of this study was to assess the feasibility of controlling the potato cyst nematode Globodera pallida through biofumigation with glucosinolate-rich Brassica juncea genotypes. The main glucosinolate of B. juncea is 2-propenyl glucosinolate which is the precursor of 2-propenyl isothiocyanate. Toxicity of 2-propenyl isothiocyanate to encysted G. pallida was tested in vitro. Fifty percent reduction in hatching was found within 2. h of exposure to 0.002% 2-propenyl isothiocyanate. Based on the in vitro results, we hypothesized that biofumigation with B. juncea would reduce hatching of G. pallida in vivo and higher 2-propenyl glucosinolate levels would have a stronger effect. Plant genotype, sulfur fertilization and insect herbivory affected 2-propenyl glucosinolate concentration of B. juncea. However, increasing 2-propenyl glucosinolate concentration of B. juncea did not affect G. pallida hatching after biofumigation. The absence of a biofumigation effect was most likely due to lower concentrations of 2-propenyl isothiocyanate in vivo compared to in vitro conditions. These results show that it is difficult to reach sufficiently high levels of toxicity to reduce hatching of G. pallida under realistic conditions. © 2014 Elsevier B.V.","author":[{"dropping-particle":"","family":"Brolsma","given":"Karst M.","non-dropping-particle":"","parse-names":false,"suffix":""},{"dropping-particle":"","family":"Salm","given":"Renée J.","non-dropping-particle":"van der","parse-names":false,"suffix":""},{"dropping-particle":"","family":"Hoffland","given":"Ellis","non-dropping-particle":"","parse-names":false,"suffix":""},{"dropping-particle":"","family":"Goede","given":"Ron G.M.","non-dropping-particle":"de","parse-names":false,"suffix":""}],"container-title":"Applied Soil Ecology","id":"ITEM-1","issued":{"date-parts":[["2014"]]},"page":"6-11","publisher":"Elsevier B.V.","title":"Hatching of Globodera pallida is inhibited by 2-propenyl isothiocyanate in vitro but not by incorporation of Brassica juncea tissue in soil","type":"article-journal","volume":"84"},"uris":["http://www.mendeley.com/documents/?uuid=592446d4-0b28-382c-94cb-e511ec96c46a"]}],"mendeley":{"formattedCitation":"(Brolsma &lt;i&gt;et al.&lt;/i&gt;, 2014)","plainTextFormattedCitation":"(Brolsma et al., 2014)","previouslyFormattedCitation":"(Brolsma &lt;i&gt;et al.&lt;/i&gt;, 2014)"},"properties":{"noteIndex":0},"schema":"https://github.com/citation-style-language/schema/raw/master/csl-citation.json"}</w:instrText>
      </w:r>
      <w:r w:rsidRPr="002B3D8A">
        <w:rPr>
          <w:rFonts w:ascii="Arial" w:hAnsi="Arial" w:cs="Arial"/>
          <w:color w:val="000000" w:themeColor="text1"/>
        </w:rPr>
        <w:fldChar w:fldCharType="separate"/>
      </w:r>
      <w:r w:rsidRPr="00A07F2C">
        <w:rPr>
          <w:rFonts w:ascii="Arial" w:hAnsi="Arial" w:cs="Arial"/>
          <w:noProof/>
          <w:color w:val="000000" w:themeColor="text1"/>
        </w:rPr>
        <w:t xml:space="preserve">(Brolsma </w:t>
      </w:r>
      <w:r w:rsidRPr="00A07F2C">
        <w:rPr>
          <w:rFonts w:ascii="Arial" w:hAnsi="Arial" w:cs="Arial"/>
          <w:i/>
          <w:noProof/>
          <w:color w:val="000000" w:themeColor="text1"/>
        </w:rPr>
        <w:t>et al.</w:t>
      </w:r>
      <w:r w:rsidRPr="00A07F2C">
        <w:rPr>
          <w:rFonts w:ascii="Arial" w:hAnsi="Arial" w:cs="Arial"/>
          <w:noProof/>
          <w:color w:val="000000" w:themeColor="text1"/>
        </w:rPr>
        <w:t>, 2014)</w:t>
      </w:r>
      <w:r w:rsidRPr="002B3D8A">
        <w:rPr>
          <w:rFonts w:ascii="Arial" w:hAnsi="Arial" w:cs="Arial"/>
          <w:color w:val="000000" w:themeColor="text1"/>
        </w:rPr>
        <w:fldChar w:fldCharType="end"/>
      </w:r>
      <w:r w:rsidRPr="002B3D8A">
        <w:rPr>
          <w:rFonts w:ascii="Arial" w:hAnsi="Arial" w:cs="Arial"/>
          <w:color w:val="000000" w:themeColor="text1"/>
        </w:rPr>
        <w:t>.</w:t>
      </w:r>
    </w:p>
    <w:p w14:paraId="2EE15C47" w14:textId="15AB75A1" w:rsidR="00581F8C" w:rsidRPr="002B3D8A" w:rsidRDefault="002E4311" w:rsidP="00616CDC">
      <w:pPr>
        <w:pStyle w:val="paragraph"/>
        <w:spacing w:before="0" w:beforeAutospacing="0" w:after="0" w:afterAutospacing="0" w:line="360" w:lineRule="auto"/>
        <w:ind w:left="-426" w:right="-330"/>
        <w:jc w:val="both"/>
        <w:textAlignment w:val="baseline"/>
        <w:rPr>
          <w:rFonts w:ascii="Arial" w:hAnsi="Arial" w:cs="Arial"/>
          <w:color w:val="000000" w:themeColor="text1"/>
        </w:rPr>
      </w:pPr>
      <w:r>
        <w:rPr>
          <w:rFonts w:ascii="Arial" w:hAnsi="Arial" w:cs="Arial"/>
          <w:color w:val="000000" w:themeColor="text1"/>
        </w:rPr>
        <w:t>Commercially available ITCs have also been assessed in pot studies. A</w:t>
      </w:r>
      <w:r w:rsidR="009C5498" w:rsidRPr="002B3D8A">
        <w:rPr>
          <w:rFonts w:ascii="Arial" w:hAnsi="Arial" w:cs="Arial"/>
          <w:color w:val="000000" w:themeColor="text1"/>
        </w:rPr>
        <w:t xml:space="preserve">llyl ITCs and </w:t>
      </w:r>
      <w:r w:rsidR="00945561" w:rsidRPr="002B3D8A">
        <w:rPr>
          <w:rFonts w:ascii="Arial" w:hAnsi="Arial" w:cs="Arial"/>
          <w:color w:val="000000" w:themeColor="text1"/>
        </w:rPr>
        <w:t xml:space="preserve">acryloyl ITCs </w:t>
      </w:r>
      <w:r w:rsidR="00790B0B">
        <w:rPr>
          <w:rFonts w:ascii="Arial" w:hAnsi="Arial" w:cs="Arial"/>
          <w:color w:val="000000" w:themeColor="text1"/>
        </w:rPr>
        <w:t>were applied</w:t>
      </w:r>
      <w:r w:rsidR="000C6B21" w:rsidRPr="002B3D8A">
        <w:rPr>
          <w:rFonts w:ascii="Arial" w:hAnsi="Arial" w:cs="Arial"/>
          <w:color w:val="000000" w:themeColor="text1"/>
        </w:rPr>
        <w:t xml:space="preserve"> </w:t>
      </w:r>
      <w:r w:rsidR="009C5498" w:rsidRPr="002B3D8A">
        <w:rPr>
          <w:rFonts w:ascii="Arial" w:hAnsi="Arial" w:cs="Arial"/>
          <w:color w:val="000000" w:themeColor="text1"/>
        </w:rPr>
        <w:t xml:space="preserve">as pre-plant </w:t>
      </w:r>
      <w:r w:rsidR="00790B0B">
        <w:rPr>
          <w:rFonts w:ascii="Arial" w:hAnsi="Arial" w:cs="Arial"/>
          <w:color w:val="000000" w:themeColor="text1"/>
        </w:rPr>
        <w:t xml:space="preserve">and efficacy compared with </w:t>
      </w:r>
      <w:r w:rsidR="009C5498" w:rsidRPr="002B3D8A">
        <w:rPr>
          <w:rFonts w:ascii="Arial" w:hAnsi="Arial" w:cs="Arial"/>
          <w:color w:val="000000" w:themeColor="text1"/>
        </w:rPr>
        <w:t>chemical fumigant metam sodium</w:t>
      </w:r>
      <w:r w:rsidR="00945561" w:rsidRPr="002B3D8A">
        <w:rPr>
          <w:rFonts w:ascii="Arial" w:hAnsi="Arial" w:cs="Arial"/>
          <w:color w:val="000000" w:themeColor="text1"/>
        </w:rPr>
        <w:t xml:space="preserve"> and untreated control in management of </w:t>
      </w:r>
      <w:r w:rsidR="00945561" w:rsidRPr="002B3D8A">
        <w:rPr>
          <w:rFonts w:ascii="Arial" w:hAnsi="Arial" w:cs="Arial"/>
          <w:i/>
          <w:color w:val="000000" w:themeColor="text1"/>
        </w:rPr>
        <w:t xml:space="preserve">Meloidogyne javanica </w:t>
      </w:r>
      <w:r w:rsidR="00945561" w:rsidRPr="002B3D8A">
        <w:rPr>
          <w:rFonts w:ascii="Arial" w:hAnsi="Arial" w:cs="Arial"/>
          <w:color w:val="000000" w:themeColor="text1"/>
        </w:rPr>
        <w:t>in cucumber plants</w:t>
      </w:r>
      <w:r w:rsidR="00790B0B">
        <w:rPr>
          <w:rFonts w:ascii="Arial" w:hAnsi="Arial" w:cs="Arial"/>
          <w:color w:val="000000" w:themeColor="text1"/>
        </w:rPr>
        <w:t>. A</w:t>
      </w:r>
      <w:r w:rsidR="001D32AD" w:rsidRPr="002B3D8A">
        <w:rPr>
          <w:rFonts w:ascii="Arial" w:hAnsi="Arial" w:cs="Arial"/>
          <w:color w:val="000000" w:themeColor="text1"/>
        </w:rPr>
        <w:t>llyl and acr</w:t>
      </w:r>
      <w:r w:rsidR="001D32AD">
        <w:rPr>
          <w:rFonts w:ascii="Arial" w:hAnsi="Arial" w:cs="Arial"/>
          <w:color w:val="000000" w:themeColor="text1"/>
        </w:rPr>
        <w:t>y</w:t>
      </w:r>
      <w:r w:rsidR="001D32AD" w:rsidRPr="002B3D8A">
        <w:rPr>
          <w:rFonts w:ascii="Arial" w:hAnsi="Arial" w:cs="Arial"/>
          <w:color w:val="000000" w:themeColor="text1"/>
        </w:rPr>
        <w:t>loyl isothiocyanates</w:t>
      </w:r>
      <w:r w:rsidR="001D32AD">
        <w:rPr>
          <w:rFonts w:ascii="Arial" w:hAnsi="Arial" w:cs="Arial"/>
          <w:color w:val="000000" w:themeColor="text1"/>
        </w:rPr>
        <w:t xml:space="preserve"> were </w:t>
      </w:r>
      <w:r w:rsidR="00945561" w:rsidRPr="002B3D8A">
        <w:rPr>
          <w:rFonts w:ascii="Arial" w:hAnsi="Arial" w:cs="Arial"/>
          <w:color w:val="000000" w:themeColor="text1"/>
        </w:rPr>
        <w:t xml:space="preserve">applied </w:t>
      </w:r>
      <w:r w:rsidR="001D32AD">
        <w:rPr>
          <w:rFonts w:ascii="Arial" w:hAnsi="Arial" w:cs="Arial"/>
          <w:color w:val="000000" w:themeColor="text1"/>
        </w:rPr>
        <w:t>to</w:t>
      </w:r>
      <w:r w:rsidR="001D32AD" w:rsidRPr="002B3D8A">
        <w:rPr>
          <w:rFonts w:ascii="Arial" w:hAnsi="Arial" w:cs="Arial"/>
          <w:color w:val="000000" w:themeColor="text1"/>
        </w:rPr>
        <w:t xml:space="preserve"> </w:t>
      </w:r>
      <w:r w:rsidR="00945561" w:rsidRPr="002B3D8A">
        <w:rPr>
          <w:rFonts w:ascii="Arial" w:hAnsi="Arial" w:cs="Arial"/>
          <w:color w:val="000000" w:themeColor="text1"/>
        </w:rPr>
        <w:t>the soil at rates of 1.0 ml and 1.1 ml</w:t>
      </w:r>
      <w:r w:rsidR="001D32AD">
        <w:rPr>
          <w:rFonts w:ascii="Arial" w:hAnsi="Arial" w:cs="Arial"/>
          <w:color w:val="000000" w:themeColor="text1"/>
        </w:rPr>
        <w:t xml:space="preserve"> </w:t>
      </w:r>
      <w:r w:rsidR="00945561" w:rsidRPr="002B3D8A">
        <w:rPr>
          <w:rFonts w:ascii="Arial" w:hAnsi="Arial" w:cs="Arial"/>
          <w:color w:val="000000" w:themeColor="text1"/>
        </w:rPr>
        <w:t>respectively</w:t>
      </w:r>
      <w:r w:rsidR="001D32AD">
        <w:rPr>
          <w:rFonts w:ascii="Arial" w:hAnsi="Arial" w:cs="Arial"/>
          <w:color w:val="000000" w:themeColor="text1"/>
        </w:rPr>
        <w:t>.</w:t>
      </w:r>
      <w:r w:rsidR="00945561" w:rsidRPr="002B3D8A">
        <w:rPr>
          <w:rFonts w:ascii="Arial" w:hAnsi="Arial" w:cs="Arial"/>
          <w:color w:val="000000" w:themeColor="text1"/>
        </w:rPr>
        <w:t xml:space="preserve"> Results </w:t>
      </w:r>
      <w:r w:rsidR="000C6B21" w:rsidRPr="002B3D8A">
        <w:rPr>
          <w:rFonts w:ascii="Arial" w:hAnsi="Arial" w:cs="Arial"/>
          <w:color w:val="000000" w:themeColor="text1"/>
        </w:rPr>
        <w:t xml:space="preserve">showed that </w:t>
      </w:r>
      <w:r w:rsidR="00945561" w:rsidRPr="002B3D8A">
        <w:rPr>
          <w:rFonts w:ascii="Arial" w:hAnsi="Arial" w:cs="Arial"/>
          <w:color w:val="000000" w:themeColor="text1"/>
        </w:rPr>
        <w:t xml:space="preserve">there were significantly fewer galls on cucumber roots and fewer juveniles in the soil in ITC treated and metam sodium treated pots compared to the untreated control. </w:t>
      </w:r>
      <w:r w:rsidR="00267DA3" w:rsidRPr="002B3D8A">
        <w:rPr>
          <w:rFonts w:ascii="Arial" w:hAnsi="Arial" w:cs="Arial"/>
          <w:color w:val="000000" w:themeColor="text1"/>
        </w:rPr>
        <w:t xml:space="preserve">The two ITCs were equally effective at a lower rate </w:t>
      </w:r>
      <w:r w:rsidR="00D46418" w:rsidRPr="002B3D8A">
        <w:rPr>
          <w:rFonts w:ascii="Arial" w:hAnsi="Arial" w:cs="Arial"/>
          <w:color w:val="000000" w:themeColor="text1"/>
        </w:rPr>
        <w:t xml:space="preserve">of </w:t>
      </w:r>
      <w:r w:rsidR="00945561" w:rsidRPr="002B3D8A">
        <w:rPr>
          <w:rFonts w:ascii="Arial" w:hAnsi="Arial" w:cs="Arial"/>
          <w:color w:val="000000" w:themeColor="text1"/>
        </w:rPr>
        <w:t xml:space="preserve">0.5 ml per kg of soil </w:t>
      </w:r>
      <w:r w:rsidR="00267DA3" w:rsidRPr="002B3D8A">
        <w:rPr>
          <w:rFonts w:ascii="Arial" w:hAnsi="Arial" w:cs="Arial"/>
          <w:color w:val="000000" w:themeColor="text1"/>
        </w:rPr>
        <w:t xml:space="preserve">compared to metam sodium at its recommended rate </w:t>
      </w:r>
      <w:r w:rsidR="00267DA3"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{"citationItems":[{"id":"ITEM-1","itemData":{"DOI":"10.1016/j.cropro.2010.09.004","ISSN":"02612194","abstract":"Isothiocyanates (ITCs), a series of new nematicides of the -NCS group, were evaluated for their efficacy against root-knot nematode Meloidogyne javanica. Of the compounds tested, AllylITC, AcITC, EtITC, BzTC, BzITC, 1-PEITC and 2-PEITC showed in vitro irreversible nematicidal activity against second-stage juveniles of M. javanica, following exposure for 72 h at concentrations as low as 5 μg mL-1. When exposed to AllylITC, AcITC and EtITC at lower concentrations, motile juveniles also became irreversibly immobile in 3 days, with a LC50 value at 2.76, 2.53 and 3.05 μg mL-1, respectively. In the pot experiments, 1.0 ml AllylITC and 1.1 ml AcITC per kg of soil controlled M. javanica, similarly to or better than metam sodium at its recommended dose. Similar results were obtained in the field experiments using 1.0 kg AllylITC or 1.0 kg AcITC ha-1. Based on the results of this study, AllylITC and AcITC have potential to be used as new bio-fumigant nematicides. © 2010.","author":[{"dropping-particle":"","family":"Wu","given":"Hua","non-dropping-particle":"","parse-names":false,"suffix":""},{"dropping-particle":"","family":"Wang","given":"Chao Jun","non-dropping-particle":"","parse-names":false,"suffix":""},{"dropping-particle":"","family":"Bian","given":"Xiao Wei","non-dropping-particle":"","parse-names":false,"suffix":""},{"dropping-particle":"","family":"Zeng","given":"Shui Yun","non-dropping-particle":"","parse-names":false,"suffix":""},{"dropping-particle":"","family":"Lin","given":"Kai Chun","non-dropping-particle":"","parse-names":false,"suffix":""},{"dropping-particle":"","family":"Wu","given":"Bo","non-dropping-particle":"","parse-names":false,"suffix":""},{"dropping-particle":"","family":"Zhang","given":"Guo An","non-dropping-particle":"","parse-names":false,"suffix":""},{"dropping-particle":"","family":"Zhang","given":"Xing","non-dropping-particle":"","parse-names":false,"suffix":""}],"container-title":"Crop Protection","id":"ITEM-1","issue":"1","issued":{"date-parts":[["2011","1"]]},"page":"33-37","title":"Nematicidal efficacy of isothiocyanates against root-knot nematode Meloidogyne javanica in cucumber","type":"article-journal","volume":"30"},"uris":["http://www.mendeley.com/documents/?uuid=08a2ad65-6663-3412-8518-718f2aeaaace"]}],"mendeley":{"formattedCitation":"(Wu &lt;i&gt;et al.&lt;/i&gt;, 2011)","plainTextFormattedCitation":"(Wu et al., 2011)","previouslyFormattedCitation":"(Wu &lt;i&gt;et al.&lt;/i&gt;, 2011)"},"properties":{"noteIndex":0},"schema":"https://github.com/citation-style-language/schema/raw/master/csl-citation.json"}</w:instrText>
      </w:r>
      <w:r w:rsidR="00267DA3" w:rsidRPr="002B3D8A">
        <w:rPr>
          <w:rFonts w:ascii="Arial" w:hAnsi="Arial" w:cs="Arial"/>
          <w:color w:val="000000" w:themeColor="text1"/>
        </w:rPr>
        <w:fldChar w:fldCharType="separate"/>
      </w:r>
      <w:r w:rsidR="00A07F2C" w:rsidRPr="00A07F2C">
        <w:rPr>
          <w:rFonts w:ascii="Arial" w:hAnsi="Arial" w:cs="Arial"/>
          <w:noProof/>
          <w:color w:val="000000" w:themeColor="text1"/>
        </w:rPr>
        <w:t xml:space="preserve">(Wu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2011)</w:t>
      </w:r>
      <w:r w:rsidR="00267DA3" w:rsidRPr="002B3D8A">
        <w:rPr>
          <w:rFonts w:ascii="Arial" w:hAnsi="Arial" w:cs="Arial"/>
          <w:color w:val="000000" w:themeColor="text1"/>
        </w:rPr>
        <w:fldChar w:fldCharType="end"/>
      </w:r>
      <w:r w:rsidR="001D32AD">
        <w:rPr>
          <w:rFonts w:ascii="Arial" w:hAnsi="Arial" w:cs="Arial"/>
          <w:color w:val="000000" w:themeColor="text1"/>
        </w:rPr>
        <w:t>.</w:t>
      </w:r>
    </w:p>
    <w:p w14:paraId="7AC7273D" w14:textId="36F24F28" w:rsidR="001049BE" w:rsidRDefault="001049BE" w:rsidP="00474F68">
      <w:pPr>
        <w:pStyle w:val="paragraph"/>
        <w:spacing w:before="0" w:beforeAutospacing="0" w:after="0" w:afterAutospacing="0" w:line="360" w:lineRule="auto"/>
        <w:ind w:left="-142" w:right="-330" w:firstLine="142"/>
        <w:jc w:val="both"/>
        <w:textAlignment w:val="baseline"/>
        <w:rPr>
          <w:rFonts w:ascii="Arial" w:hAnsi="Arial" w:cs="Arial"/>
          <w:color w:val="000000" w:themeColor="text1"/>
        </w:rPr>
      </w:pPr>
    </w:p>
    <w:p w14:paraId="7133E899" w14:textId="19B77155" w:rsidR="001049BE" w:rsidRPr="00616CDC" w:rsidRDefault="00F52458" w:rsidP="00616CDC">
      <w:pPr>
        <w:pStyle w:val="Heading3"/>
        <w:spacing w:line="360" w:lineRule="auto"/>
        <w:rPr>
          <w:rFonts w:ascii="Arial" w:hAnsi="Arial" w:cs="Arial"/>
          <w:b/>
          <w:color w:val="000000" w:themeColor="text1"/>
        </w:rPr>
      </w:pPr>
      <w:bookmarkStart w:id="35" w:name="_Toc110341285"/>
      <w:r w:rsidRPr="00616CDC">
        <w:rPr>
          <w:rFonts w:ascii="Arial" w:hAnsi="Arial" w:cs="Arial"/>
          <w:b/>
          <w:color w:val="000000" w:themeColor="text1"/>
          <w:sz w:val="24"/>
          <w:szCs w:val="24"/>
        </w:rPr>
        <w:t>1</w:t>
      </w:r>
      <w:r w:rsidR="003C6C7F" w:rsidRPr="00616CDC">
        <w:rPr>
          <w:rFonts w:ascii="Arial" w:hAnsi="Arial" w:cs="Arial"/>
          <w:b/>
          <w:color w:val="000000" w:themeColor="text1"/>
          <w:sz w:val="24"/>
          <w:szCs w:val="24"/>
        </w:rPr>
        <w:t>.</w:t>
      </w:r>
      <w:r w:rsidRPr="00616CDC">
        <w:rPr>
          <w:rFonts w:ascii="Arial" w:hAnsi="Arial" w:cs="Arial"/>
          <w:b/>
          <w:color w:val="000000" w:themeColor="text1"/>
          <w:sz w:val="24"/>
          <w:szCs w:val="24"/>
        </w:rPr>
        <w:t>3</w:t>
      </w:r>
      <w:r w:rsidR="003C6C7F" w:rsidRPr="00616CDC">
        <w:rPr>
          <w:rFonts w:ascii="Arial" w:hAnsi="Arial" w:cs="Arial"/>
          <w:b/>
          <w:color w:val="000000" w:themeColor="text1"/>
          <w:sz w:val="24"/>
          <w:szCs w:val="24"/>
        </w:rPr>
        <w:t>.</w:t>
      </w:r>
      <w:r w:rsidRPr="00616CDC">
        <w:rPr>
          <w:rFonts w:ascii="Arial" w:hAnsi="Arial" w:cs="Arial"/>
          <w:b/>
          <w:color w:val="000000" w:themeColor="text1"/>
          <w:sz w:val="24"/>
          <w:szCs w:val="24"/>
        </w:rPr>
        <w:t>4</w:t>
      </w:r>
      <w:r w:rsidR="00260F32" w:rsidRPr="00616CDC">
        <w:rPr>
          <w:rFonts w:ascii="Arial" w:hAnsi="Arial" w:cs="Arial"/>
          <w:b/>
          <w:color w:val="000000" w:themeColor="text1"/>
          <w:sz w:val="24"/>
          <w:szCs w:val="24"/>
        </w:rPr>
        <w:t xml:space="preserve"> </w:t>
      </w:r>
      <w:r w:rsidR="00D4255D" w:rsidRPr="00616CDC">
        <w:rPr>
          <w:rFonts w:ascii="Arial" w:hAnsi="Arial" w:cs="Arial"/>
          <w:b/>
          <w:color w:val="000000" w:themeColor="text1"/>
          <w:sz w:val="24"/>
          <w:szCs w:val="24"/>
        </w:rPr>
        <w:t>Allelopathic plant species</w:t>
      </w:r>
      <w:bookmarkEnd w:id="35"/>
      <w:r w:rsidR="00D4255D" w:rsidRPr="00616CDC">
        <w:rPr>
          <w:rFonts w:ascii="Arial" w:hAnsi="Arial" w:cs="Arial"/>
          <w:b/>
          <w:color w:val="000000" w:themeColor="text1"/>
          <w:sz w:val="24"/>
          <w:szCs w:val="24"/>
        </w:rPr>
        <w:t xml:space="preserve"> </w:t>
      </w:r>
    </w:p>
    <w:p w14:paraId="0DB2C652" w14:textId="00D509A8" w:rsidR="000F4812" w:rsidRDefault="00D4255D" w:rsidP="00616CDC">
      <w:pPr>
        <w:pStyle w:val="paragraph"/>
        <w:spacing w:before="0" w:beforeAutospacing="0" w:after="0" w:afterAutospacing="0" w:line="360" w:lineRule="auto"/>
        <w:ind w:left="-426" w:right="-330"/>
        <w:jc w:val="both"/>
        <w:textAlignment w:val="baseline"/>
        <w:rPr>
          <w:rFonts w:ascii="Arial" w:hAnsi="Arial" w:cs="Arial"/>
          <w:color w:val="000000" w:themeColor="text1"/>
        </w:rPr>
      </w:pPr>
      <w:r w:rsidRPr="002B3D8A">
        <w:rPr>
          <w:rFonts w:ascii="Arial" w:hAnsi="Arial" w:cs="Arial"/>
          <w:color w:val="000000" w:themeColor="text1"/>
        </w:rPr>
        <w:t xml:space="preserve">The exploitation of crops eliciting allelochemicals has many advantages </w:t>
      </w:r>
      <w:r w:rsidR="0034208D">
        <w:rPr>
          <w:rFonts w:ascii="Arial" w:hAnsi="Arial" w:cs="Arial"/>
          <w:color w:val="000000" w:themeColor="text1"/>
        </w:rPr>
        <w:t>over</w:t>
      </w:r>
      <w:r w:rsidRPr="002B3D8A">
        <w:rPr>
          <w:rFonts w:ascii="Arial" w:hAnsi="Arial" w:cs="Arial"/>
          <w:color w:val="000000" w:themeColor="text1"/>
        </w:rPr>
        <w:t xml:space="preserve"> chemical fumigants, and this can be exploited either through crop rotations, intercropping or use as green manures. Allelopathy refers to ability of plant species to produce allelochemicals, which are secondary metabolites or their products into the environment, which have negative effects on other plants or microorganisms. These allelochemicals are released either through volatilization, exudation, leaching from plant roots or through decomposition of plant residues</w:t>
      </w:r>
      <w:r w:rsidR="00431B6E">
        <w:rPr>
          <w:rFonts w:ascii="Arial" w:hAnsi="Arial" w:cs="Arial"/>
          <w:color w:val="000000" w:themeColor="text1"/>
        </w:rPr>
        <w:t xml:space="preserve"> </w:t>
      </w:r>
      <w:r w:rsidRPr="002B3D8A">
        <w:rPr>
          <w:rFonts w:ascii="Arial" w:hAnsi="Arial" w:cs="Arial"/>
          <w:color w:val="000000" w:themeColor="text1"/>
        </w:rPr>
        <w:fldChar w:fldCharType="begin" w:fldLock="1"/>
      </w:r>
      <w:r w:rsidR="00F5057D" w:rsidRPr="002B3D8A">
        <w:rPr>
          <w:rFonts w:ascii="Arial" w:hAnsi="Arial" w:cs="Arial"/>
          <w:color w:val="000000" w:themeColor="text1"/>
        </w:rPr>
        <w:instrText>ADDIN CSL_CITATION {"citationItems":[{"id":"ITEM-1","itemData":{"ISSN":"0022300X","abstract":"There are numerous reports of nematicidal chemicals in crude plant homogenates, leachates, and decomposing residues. These compounds are usually assumed to be secondary metabolites, which serve as chemical defenses against disease and parasites. When such compounds are released into the rhizosphere, they are known as allelochemicals. The possibility exists to exploit allelochemicals for nematode control, and there have been many attempts to use this approach either by rotation, intercropping, or green manure treatments. Results have met with mixed success. Proof of allelochemical activity in field situations is difficult to obtain, but it is evident that some rotation crops are significantly better at reducing nematode populations than others. Rotations with non-host plants may simply deny the nematode population an adequate food source for reproduction (passive suppression), whereas allelopathic crops kill nematodes by the production of toxic compounds (active suppression). Progress toward sustainable agriculture should benefit from studies on allelopathic nematode control. However, grower acceptance of new plant-rotation strategies are based on economic and logistical considerations as well as efficacy. A potential practical application of allelopathic nematode control that involves using rapeseed as a green manure crop to reduce populations of Xiphinema americanum sensu lato in temperate orchards is presented.","author":[{"dropping-particle":"","family":"Halbrendt","given":"J. M.","non-dropping-particle":"","parse-names":false,"suffix":""}],"container-title":"Journal of Nematology","id":"ITEM-1","issue":"1","issued":{"date-parts":[["1996"]]},"page":"8-14","title":"Allelopathy in the management of plant-parasitic nematodes","type":"article-journal","volume":"28"},"uris":["http://www.mendeley.com/documents/?uuid=851842ef-ecea-4034-959f-faeea2961536"]}],"mendeley":{"formattedCitation":"(Halbrendt, 1996)","manualFormatting":"(Halbrendt, 1996a","plainTextFormattedCitation":"(Halbrendt, 1996)","previouslyFormattedCitation":"(Halbrendt, 1996)"},"properties":{"noteIndex":0},"schema":"https://github.com/citation-style-language/schema/raw/master/csl-citation.json"}</w:instrText>
      </w:r>
      <w:r w:rsidRPr="002B3D8A">
        <w:rPr>
          <w:rFonts w:ascii="Arial" w:hAnsi="Arial" w:cs="Arial"/>
          <w:color w:val="000000" w:themeColor="text1"/>
        </w:rPr>
        <w:fldChar w:fldCharType="separate"/>
      </w:r>
      <w:r w:rsidRPr="002B3D8A">
        <w:rPr>
          <w:rFonts w:ascii="Arial" w:hAnsi="Arial" w:cs="Arial"/>
          <w:noProof/>
          <w:color w:val="000000" w:themeColor="text1"/>
        </w:rPr>
        <w:t>(Halbrendt, 1996a</w:t>
      </w:r>
      <w:r w:rsidRPr="002B3D8A">
        <w:rPr>
          <w:rFonts w:ascii="Arial" w:hAnsi="Arial" w:cs="Arial"/>
          <w:color w:val="000000" w:themeColor="text1"/>
        </w:rPr>
        <w:fldChar w:fldCharType="end"/>
      </w:r>
      <w:r w:rsidRPr="002B3D8A">
        <w:rPr>
          <w:rFonts w:ascii="Arial" w:hAnsi="Arial" w:cs="Arial"/>
          <w:color w:val="000000" w:themeColor="text1"/>
        </w:rPr>
        <w:t>;</w:t>
      </w:r>
      <w:r w:rsidR="00431B6E">
        <w:rPr>
          <w:rFonts w:ascii="Arial" w:hAnsi="Arial" w:cs="Arial"/>
          <w:color w:val="000000" w:themeColor="text1"/>
        </w:rPr>
        <w:t xml:space="preserve"> </w:t>
      </w:r>
      <w:r w:rsidRPr="002B3D8A">
        <w:rPr>
          <w:rFonts w:ascii="Arial" w:hAnsi="Arial" w:cs="Arial"/>
          <w:color w:val="000000" w:themeColor="text1"/>
        </w:rPr>
        <w:fldChar w:fldCharType="begin" w:fldLock="1"/>
      </w:r>
      <w:r w:rsidR="00D36042">
        <w:rPr>
          <w:rFonts w:ascii="Arial" w:hAnsi="Arial" w:cs="Arial"/>
          <w:color w:val="000000" w:themeColor="text1"/>
        </w:rPr>
        <w:instrText>ADDIN CSL_CITATION {"citationItems":[{"id":"ITEM-1","itemData":{"DOI":"10.1016/j.cpb.2019.02.001","ISSN":"22146628","abstract":"Plant-parasitic nematodes (PPNs)are considered as one of the major limiting factors in global crop production system. Due to the introduction of tighter limits in registering new biocidal molecules and a gradual phase-out of nematicides for high environmental impact, considerations for non-chemical alternatives have been realised. The biofumigation technique which involves the incorporation of mechanically chopped brassicaceous plant material into the soil to control soilborne nematodes offers an attractive alternative for PPN management. Biofumigant effect is mainly caused by the volatile and toxic isothiocynates originated from the hydrolysis of secondary metabolite glucosinolate present in the Brassica tissues. The scope of biofumigation has been expanded to other non-brassica plants which produce volatile pathogen-suppressing molecules. The graminaceous plants such as sorghum and sudangrass are known to produce nematicidal cyanides via enzymatic hydrolysis of precursor cyanogenic glycoside/dhurrin. The allelopathic plant marigold is known to produce α-terthienyl, which has shown potential biofumigation effect against PPNs. The objective of this review is to detail the tactics used to manipulate various brassica and non-brassica biofumigant crops and to present the mechanisms responsible for PPN suppression by these crops. The ecological aspects underpinning the responses of PPNs to these crops were not austerely discussed in earlier literature. Herein, we present a holistic assessment of the impact of biofumigation technique in managing PPNs in various crops and explore the employability of this technique in integrated nematode management (INM)practices.","author":[{"dropping-particle":"","family":"Dutta","given":"Tushar K.","non-dropping-particle":"","parse-names":false,"suffix":""},{"dropping-particle":"","family":"Khan","given":"Matiyar R.","non-dropping-particle":"","parse-names":false,"suffix":""},{"dropping-particle":"","family":"Phani","given":"Victor","non-dropping-particle":"","parse-names":false,"suffix":""}],"container-title":"Current Plant Biology","id":"ITEM-1","issue":"February","issued":{"date-parts":[["2019"]]},"page":"17-32","publisher":"Elsevier","title":"Plant-parasitic nematode management via biofumigation using brassica and non-brassica plants: Current status and future prospects","type":"article-journal","volume":"17"},"uris":["http://www.mendeley.com/documents/?uuid=da3fa037-8177-4777-80c8-9f65769c50a4"]}],"mendeley":{"formattedCitation":"(Dutta, Khan and Phani, 2019)","manualFormatting":"Dutta et al., 2019b","plainTextFormattedCitation":"(Dutta, Khan and Phani, 2019)","previouslyFormattedCitation":"(Dutta, Khan and Phani, 2019)"},"properties":{"noteIndex":0},"schema":"https://github.com/citation-style-language/schema/raw/master/csl-citation.json"}</w:instrText>
      </w:r>
      <w:r w:rsidRPr="002B3D8A">
        <w:rPr>
          <w:rFonts w:ascii="Arial" w:hAnsi="Arial" w:cs="Arial"/>
          <w:color w:val="000000" w:themeColor="text1"/>
        </w:rPr>
        <w:fldChar w:fldCharType="separate"/>
      </w:r>
      <w:r w:rsidRPr="002B3D8A">
        <w:rPr>
          <w:rFonts w:ascii="Arial" w:hAnsi="Arial" w:cs="Arial"/>
          <w:noProof/>
          <w:color w:val="000000" w:themeColor="text1"/>
        </w:rPr>
        <w:t>Dutta et al., 2019b</w:t>
      </w:r>
      <w:r w:rsidRPr="002B3D8A">
        <w:rPr>
          <w:rFonts w:ascii="Arial" w:hAnsi="Arial" w:cs="Arial"/>
          <w:color w:val="000000" w:themeColor="text1"/>
        </w:rPr>
        <w:fldChar w:fldCharType="end"/>
      </w:r>
      <w:r w:rsidRPr="002B3D8A">
        <w:rPr>
          <w:rFonts w:ascii="Arial" w:hAnsi="Arial" w:cs="Arial"/>
          <w:color w:val="000000" w:themeColor="text1"/>
        </w:rPr>
        <w:t>;</w:t>
      </w:r>
      <w:r w:rsidR="00431B6E">
        <w:rPr>
          <w:rFonts w:ascii="Arial" w:hAnsi="Arial" w:cs="Arial"/>
          <w:color w:val="000000" w:themeColor="text1"/>
        </w:rPr>
        <w:t xml:space="preserve"> </w:t>
      </w:r>
      <w:r w:rsidRPr="002B3D8A">
        <w:rPr>
          <w:rFonts w:ascii="Arial" w:hAnsi="Arial" w:cs="Arial"/>
          <w:color w:val="000000" w:themeColor="text1"/>
        </w:rPr>
        <w:fldChar w:fldCharType="begin" w:fldLock="1"/>
      </w:r>
      <w:r w:rsidR="00E13293">
        <w:rPr>
          <w:rFonts w:ascii="Arial" w:hAnsi="Arial" w:cs="Arial"/>
          <w:color w:val="000000" w:themeColor="text1"/>
        </w:rPr>
        <w:instrText>ADDIN CSL_CITATION {"citationItems":[{"id":"ITEM-1","itemData":{"DOI":"10.1007/BF01020168","ISSN":"00980331","abstract":"Two phytotoxic compounds [2,4-dihydroxy-1,4(2 H)-benzoxazin-3-one (DIBOA) and 2(3 H)-benzoxazolinone (BOA)] were previously isolated and identified in 35-day-old greenhouse-grown rye shoot tissue. Both compounds were also detected by TLC in greenhouse-grown root and fieldgrown shoot tissue. The concentration of DIBOA varied in the tissues, with the greatest quantity detected in greenhouse-grown shoots. DIBOA and BOA were compared with β-phenyllactic acid (PLA) and β-hydroxybutyric acid (HBA) for activity on seed germination and seedling growth and were consistently more toxic than either compound. Dicot species tested, including lettuce (Lactuca sativa L.), tomato (Lycopersicon esculentum Mill.), and redroot pigweed (Amaranthus retroflexus L.), were 30% more sensitive than the monocots tested. Of the two benzoxazinone compounds, DIBOA was most toxic to seedling growth. DIBOA and BOA reduced chlorophyll production in Chlamydomonas rheinhardtii Dangeard, by 50% at 7.5 × 10-5 M and 1.0 × 10-3 M, respectively. Both DIBOA and BOA inhibited emergence of barnyardgrass (Echinochloa crusgalli L. Beauv.), cress (Lepidium sativum L.), and lettuce when applied to soil, indicating their potential for allelopathic activity. © 1987 Plenum Publishing Corporation.","author":[{"dropping-particle":"","family":"Barnes","given":"Jane P.","non-dropping-particle":"","parse-names":false,"suffix":""},{"dropping-particle":"","family":"Putnam","given":"Alan R.","non-dropping-particle":"","parse-names":false,"suffix":""}],"container-title":"Journal of Chemical Ecology","id":"ITEM-1","issue":"4","issued":{"date-parts":[["1987","4"]]},"page":"889-906","publisher":"Kluwer Academic Publishers-Plenum Publishers","title":"Role of benzoxazinones in allelopathy by rye (Secale cereale L.)","type":"article-journal","volume":"13"},"uris":["http://www.mendeley.com/documents/?uuid=91818108-ff06-382a-9847-ff16d97f0069"]}],"mendeley":{"formattedCitation":"(Barnes and Putnam, 1987)","manualFormatting":"Barnes &amp; Putnam, 1987)","plainTextFormattedCitation":"(Barnes and Putnam, 1987)","previouslyFormattedCitation":"(Barnes and Putnam, 1987)"},"properties":{"noteIndex":0},"schema":"https://github.com/citation-style-language/schema/raw/master/csl-citation.json"}</w:instrText>
      </w:r>
      <w:r w:rsidRPr="002B3D8A">
        <w:rPr>
          <w:rFonts w:ascii="Arial" w:hAnsi="Arial" w:cs="Arial"/>
          <w:color w:val="000000" w:themeColor="text1"/>
        </w:rPr>
        <w:fldChar w:fldCharType="separate"/>
      </w:r>
      <w:r w:rsidRPr="002B3D8A">
        <w:rPr>
          <w:rFonts w:ascii="Arial" w:hAnsi="Arial" w:cs="Arial"/>
          <w:noProof/>
          <w:color w:val="000000" w:themeColor="text1"/>
        </w:rPr>
        <w:t>Barnes &amp; Putnam, 1987)</w:t>
      </w:r>
      <w:r w:rsidRPr="002B3D8A">
        <w:rPr>
          <w:rFonts w:ascii="Arial" w:hAnsi="Arial" w:cs="Arial"/>
          <w:color w:val="000000" w:themeColor="text1"/>
        </w:rPr>
        <w:fldChar w:fldCharType="end"/>
      </w:r>
      <w:r w:rsidRPr="002B3D8A">
        <w:rPr>
          <w:rFonts w:ascii="Arial" w:hAnsi="Arial" w:cs="Arial"/>
          <w:color w:val="000000" w:themeColor="text1"/>
        </w:rPr>
        <w:t xml:space="preserve">. </w:t>
      </w:r>
      <w:r w:rsidR="00597F9F">
        <w:rPr>
          <w:rFonts w:ascii="Arial" w:hAnsi="Arial" w:cs="Arial"/>
          <w:color w:val="000000" w:themeColor="text1"/>
        </w:rPr>
        <w:t xml:space="preserve">The secondary metabolites are produced by different crops and differ in chemical structure and activity against plant parasitic nematodes </w:t>
      </w:r>
      <w:r w:rsidR="00597F9F">
        <w:rPr>
          <w:rFonts w:ascii="Arial" w:hAnsi="Arial" w:cs="Arial"/>
          <w:color w:val="000000" w:themeColor="text1"/>
        </w:rPr>
        <w:fldChar w:fldCharType="begin" w:fldLock="1"/>
      </w:r>
      <w:r w:rsidR="00D36042">
        <w:rPr>
          <w:rFonts w:ascii="Arial" w:hAnsi="Arial" w:cs="Arial"/>
          <w:color w:val="000000" w:themeColor="text1"/>
        </w:rPr>
        <w:instrText>ADDIN CSL_CITATION {"citationItems":[{"id":"ITEM-1","itemData":{"DOI":"10.1016/j.cpb.2019.02.001","ISSN":"22146628","abstract":"Plant-parasitic nematodes (PPNs)are considered as one of the major limiting factors in global crop production system. Due to the introduction of tighter limits in registering new biocidal molecules and a gradual phase-out of nematicides for high environmental impact, considerations for non-chemical alternatives have been realised. The biofumigation technique which involves the incorporation of mechanically chopped brassicaceous plant material into the soil to control soilborne nematodes offers an attractive alternative for PPN management. Biofumigant effect is mainly caused by the volatile and toxic isothiocynates originated from the hydrolysis of secondary metabolite glucosinolate present in the Brassica tissues. The scope of biofumigation has been expanded to other non-brassica plants which produce volatile pathogen-suppressing molecules. The graminaceous plants such as sorghum and sudangrass are known to produce nematicidal cyanides via enzymatic hydrolysis of precursor cyanogenic glycoside/dhurrin. The allelopathic plant marigold is known to produce α-terthienyl, which has shown potential biofumigation effect against PPNs. The objective of this review is to detail the tactics used to manipulate various brassica and non-brassica biofumigant crops and to present the mechanisms responsible for PPN suppression by these crops. The ecological aspects underpinning the responses of PPNs to these crops were not austerely discussed in earlier literature. Herein, we present a holistic assessment of the impact of biofumigation technique in managing PPNs in various crops and explore the employability of this technique in integrated nematode management (INM)practices.","author":[{"dropping-particle":"","family":"Dutta","given":"Tushar K.","non-dropping-particle":"","parse-names":false,"suffix":""},{"dropping-particle":"","family":"Khan","given":"Matiyar R.","non-dropping-particle":"","parse-names":false,"suffix":""},{"dropping-particle":"","family":"Phani","given":"Victor","non-dropping-particle":"","parse-names":false,"suffix":""}],"container-title":"Current Plant Biology","id":"ITEM-1","issue":"February","issued":{"date-parts":[["2019"]]},"page":"17-32","publisher":"Elsevier","title":"Plant-parasitic nematode management via biofumigation using brassica and non-brassica plants: Current status and future prospects","type":"article-journal","volume":"17"},"uris":["http://www.mendeley.com/documents/?uuid=da3fa037-8177-4777-80c8-9f65769c50a4"]}],"mendeley":{"formattedCitation":"(Dutta, Khan and Phani, 2019)","plainTextFormattedCitation":"(Dutta, Khan and Phani, 2019)","previouslyFormattedCitation":"(Dutta, Khan and Phani, 2019)"},"properties":{"noteIndex":0},"schema":"https://github.com/citation-style-language/schema/raw/master/csl-citation.json"}</w:instrText>
      </w:r>
      <w:r w:rsidR="00597F9F">
        <w:rPr>
          <w:rFonts w:ascii="Arial" w:hAnsi="Arial" w:cs="Arial"/>
          <w:color w:val="000000" w:themeColor="text1"/>
        </w:rPr>
        <w:fldChar w:fldCharType="separate"/>
      </w:r>
      <w:r w:rsidR="00AC07D4" w:rsidRPr="00AC07D4">
        <w:rPr>
          <w:rFonts w:ascii="Arial" w:hAnsi="Arial" w:cs="Arial"/>
          <w:noProof/>
          <w:color w:val="000000" w:themeColor="text1"/>
        </w:rPr>
        <w:t>(Dutta, Khan and Phani, 2019)</w:t>
      </w:r>
      <w:r w:rsidR="00597F9F">
        <w:rPr>
          <w:rFonts w:ascii="Arial" w:hAnsi="Arial" w:cs="Arial"/>
          <w:color w:val="000000" w:themeColor="text1"/>
        </w:rPr>
        <w:fldChar w:fldCharType="end"/>
      </w:r>
      <w:r w:rsidR="00431B6E">
        <w:rPr>
          <w:rFonts w:ascii="Arial" w:hAnsi="Arial" w:cs="Arial"/>
          <w:color w:val="000000" w:themeColor="text1"/>
        </w:rPr>
        <w:t>.</w:t>
      </w:r>
    </w:p>
    <w:p w14:paraId="4878B4B1" w14:textId="34F5A8D6" w:rsidR="007A5447" w:rsidRDefault="00597F9F" w:rsidP="00616CDC">
      <w:pPr>
        <w:pStyle w:val="paragraph"/>
        <w:spacing w:before="0" w:beforeAutospacing="0" w:after="0" w:afterAutospacing="0" w:line="360" w:lineRule="auto"/>
        <w:ind w:left="-426" w:right="-330"/>
        <w:jc w:val="both"/>
        <w:textAlignment w:val="baseline"/>
        <w:rPr>
          <w:rFonts w:ascii="Arial" w:eastAsia="STXinwei" w:hAnsi="Arial" w:cs="Arial"/>
          <w:color w:val="000000" w:themeColor="text1"/>
        </w:rPr>
      </w:pPr>
      <w:r>
        <w:rPr>
          <w:rFonts w:ascii="Arial" w:hAnsi="Arial" w:cs="Arial"/>
          <w:color w:val="000000" w:themeColor="text1"/>
        </w:rPr>
        <w:t>S</w:t>
      </w:r>
      <w:r w:rsidR="00D4255D" w:rsidRPr="002B3D8A">
        <w:rPr>
          <w:rFonts w:ascii="Arial" w:hAnsi="Arial" w:cs="Arial"/>
          <w:color w:val="000000" w:themeColor="text1"/>
        </w:rPr>
        <w:t>udan grass (</w:t>
      </w:r>
      <w:r w:rsidR="00D4255D" w:rsidRPr="002B3D8A">
        <w:rPr>
          <w:rFonts w:ascii="Arial" w:hAnsi="Arial" w:cs="Arial"/>
          <w:i/>
          <w:color w:val="000000" w:themeColor="text1"/>
        </w:rPr>
        <w:t>Sorghum sudanense</w:t>
      </w:r>
      <w:r w:rsidR="00D4255D" w:rsidRPr="002B3D8A">
        <w:rPr>
          <w:rFonts w:ascii="Arial" w:hAnsi="Arial" w:cs="Arial"/>
          <w:color w:val="000000" w:themeColor="text1"/>
        </w:rPr>
        <w:t xml:space="preserve"> (Piper) Stapf), Sorghum-Sudan grass hybrids (</w:t>
      </w:r>
      <w:r w:rsidR="00D4255D" w:rsidRPr="002B3D8A">
        <w:rPr>
          <w:rFonts w:ascii="Arial" w:hAnsi="Arial" w:cs="Arial"/>
          <w:i/>
          <w:color w:val="000000" w:themeColor="text1"/>
        </w:rPr>
        <w:t>S. bicolor</w:t>
      </w:r>
      <w:r w:rsidR="00D4255D" w:rsidRPr="002B3D8A">
        <w:rPr>
          <w:rFonts w:ascii="Arial" w:hAnsi="Arial" w:cs="Arial"/>
          <w:color w:val="000000" w:themeColor="text1"/>
        </w:rPr>
        <w:t xml:space="preserve"> (L.) Moench× </w:t>
      </w:r>
      <w:r w:rsidR="00D4255D" w:rsidRPr="002B3D8A">
        <w:rPr>
          <w:rFonts w:ascii="Arial" w:hAnsi="Arial" w:cs="Arial"/>
          <w:i/>
          <w:color w:val="000000" w:themeColor="text1"/>
        </w:rPr>
        <w:t>S.sudanense</w:t>
      </w:r>
      <w:r w:rsidR="00D4255D" w:rsidRPr="002B3D8A">
        <w:rPr>
          <w:rFonts w:ascii="Arial" w:hAnsi="Arial" w:cs="Arial"/>
          <w:color w:val="000000" w:themeColor="text1"/>
        </w:rPr>
        <w:t>), and Sudan grass hybrids (</w:t>
      </w:r>
      <w:r w:rsidR="00D4255D" w:rsidRPr="002B3D8A">
        <w:rPr>
          <w:rFonts w:ascii="Arial" w:hAnsi="Arial" w:cs="Arial"/>
          <w:i/>
          <w:color w:val="000000" w:themeColor="text1"/>
        </w:rPr>
        <w:t>S.sudanense</w:t>
      </w:r>
      <w:r w:rsidR="00D4255D" w:rsidRPr="002B3D8A">
        <w:rPr>
          <w:rFonts w:ascii="Arial" w:hAnsi="Arial" w:cs="Arial"/>
          <w:color w:val="000000" w:themeColor="text1"/>
        </w:rPr>
        <w:t xml:space="preserve"> × </w:t>
      </w:r>
      <w:r w:rsidR="00D4255D" w:rsidRPr="002B3D8A">
        <w:rPr>
          <w:rFonts w:ascii="Arial" w:hAnsi="Arial" w:cs="Arial"/>
          <w:i/>
          <w:color w:val="000000" w:themeColor="text1"/>
        </w:rPr>
        <w:t>S. sudanense</w:t>
      </w:r>
      <w:r w:rsidR="00D4255D" w:rsidRPr="002B3D8A">
        <w:rPr>
          <w:rFonts w:ascii="Arial" w:hAnsi="Arial" w:cs="Arial"/>
          <w:color w:val="000000" w:themeColor="text1"/>
        </w:rPr>
        <w:t xml:space="preserve">) have been shown in several glasshouse and in field studies to be effective in supressing </w:t>
      </w:r>
      <w:r w:rsidR="00D4255D" w:rsidRPr="002B3D8A">
        <w:rPr>
          <w:rFonts w:ascii="Arial" w:hAnsi="Arial" w:cs="Arial"/>
          <w:i/>
          <w:color w:val="000000" w:themeColor="text1"/>
        </w:rPr>
        <w:t>Meloidogyne</w:t>
      </w:r>
      <w:r w:rsidR="00D4255D" w:rsidRPr="002B3D8A">
        <w:rPr>
          <w:rFonts w:ascii="Arial" w:hAnsi="Arial" w:cs="Arial"/>
          <w:color w:val="000000" w:themeColor="text1"/>
        </w:rPr>
        <w:t xml:space="preserve"> spp when utilised as green manures </w:t>
      </w:r>
      <w:r w:rsidR="00D4255D"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{"citationItems":[{"id":"ITEM-1","itemData":{"abstract":"Meloidogyne chitwoodi race 1 reproduced on Piper sudangrass (Sorghum bicolor (L.) Moench), 332 (sudangrass hybrid), and P855F and P877F (sorghum-sudangrass hybrids), but failed to reproduce efficiently on Trudan 8, Trudex 9 (sudangrass hybrids), and Sordan 79, SS-222, and Bravo II (sorghum-sudangrass hybrids). Meloidogyne chitwoodi race 2 behaved similarly and reproduced more efficiently on Piper, P855F, and P877F than on Trudan 8, Trudex 9, or Sordan 79. The mean reproductive factor for M. chitwoodi races on the poorer hosts ranged from &lt;0.1 to 0.9 under greenhouse and field conditions. Meloidogyne hapla failed to reproduce on any of the cultivars tested. In the laboratory, leaves of each cultivar chopped and incorporated as green manure reduced the M. chitwoodi population in infested soil more than unamended or wheat green manure treatments. Trudan 8, although limited to the zone of incorporation, protected this zone from colonization of upward migrating second stage juveniles (]2) for up to 6 weeks. Leaves of Trudan 8 but not roots were effective against M. chitwoodi, and J2 appeared to be more sensitive than egg masses. Trudan 8 and Sordan 79 as green manure reduced M. chitwoodi in bucket microplots under field conditions.","author":[{"dropping-particle":"","family":"Mojtahedi","given":"H","non-dropping-particle":"","parse-names":false,"suffix":""},{"dropping-particle":"","family":"Santo","given":"G S","non-dropping-particle":"","parse-names":false,"suffix":""},{"dropping-particle":"","family":"Ingham","given":"R E","non-dropping-particle":"","parse-names":false,"suffix":""}],"container-title":"Journal of Nematology","id":"ITEM-1","issue":"2","issued":{"date-parts":[["1993"]]},"page":"303-311","title":"Suppression of Meloidogyne chitwoodi with Sudangrass Cultivars as Green Manure 1","type":"article-journal","volume":"25"},"uris":["http://www.mendeley.com/documents/?uuid=366eefdf-d9aa-31a9-8151-cc5975c18c47"]},{"id":"ITEM-2","itemData":{"DOI":"10.1080/07352680600611543","ISSN":"07352689","abstract":"Management of soilborne pests and diseases in cropping systems is often highly challenging - in implementation of acceptable methodologies and in dealing with secondary problems. The phase-out of methyl bromide brings this into particularly sharp focus. There is a need for diversified options and alternatives to fill different roles across the soilborne pest and disease management spectrum, but flexibility is limited, as practicalities demand that they fit into a prophylactic methodology. It is against such a backdrop that expectations and promotion of alternatives must be set. There is also a need to recognize potentially serious problems that may have been masked under historical management regimes, but for which the nature of the system offers little scope to avoid or manage. Biofumigation is the beneficial use of Brassica green manures that release isothiocyanates chemically similar to methyl isothiocyanate, the active agent from the synthetic fumigant metam sodium, which is used as a substitute for methyl bromide in some systems. A systematic approach to research into biofumigation, specifically aimed at overcoming a long history of empiricism, has seen significant recent advances in both basic and applied knowledge. A key development has been achievement of maximal biofumigation potential through greatly enhanced release of appropriate isothiocyanates into soil. These advances have led to commercial adoption, demonstrating that biofumigation, when applied to appropriate production systems, can have efficacy and offer cost savings. Crucially, these systematically derived research and development findings and their adoption now provide the impetus for self-sustaining further development and market penetration of the concept. Despite this success, biofumigation is not seen as being sufficiently powerful or practical in implementation to be an alternative to methyl bromide on a broad scale and misdirection in that regard could be counterproductive to more appropriately targeted further development. Enhanced microbial biodegradation is a cryptic phenomenon that can diminish the efficacy of soil-applied pesticides, including isothiocyanates and most other currently available methyl bromide substitutes. Because methyl bromide is not susceptible, the phenomenon has potentially serious implications in intensive production systems switching from methyl bromide to reliance on other compounds that are. It is an intractable problem once induced. Avoidance of i…","author":[{"dropping-particle":"","family":"Matthiessen","given":"John","non-dropping-particle":"","parse-names":false,"suffix":""},{"dropping-particle":"","family":"Kirkegaard","given":"John","non-dropping-particle":"","parse-names":false,"suffix":""}],"container-title":"Critical Reviews in Plant Sciences","id":"ITEM-2","issue":"3","issued":{"date-parts":[["2006","5"]]},"page":"235-265","title":"Biofumigation and enhanced biodegradation: Opportunity and challenge in soilborne pest and disease management","type":"article","volume":"25"},"uris":["http://www.mendeley.com/documents/?uuid=c6d88a66-d55c-3c62-aa05-88d1d5cdba46"]}],"mendeley":{"formattedCitation":"(Mojtahedi, Santo and Ingham, 1993; Matthiessen and Kirkegaard, 2006)","plainTextFormattedCitation":"(Mojtahedi, Santo and Ingham, 1993; Matthiessen and Kirkegaard, 2006)","previouslyFormattedCitation":"(Mojtahedi, Santo and Ingham, 1993; Matthiessen and Kirkegaard, 2006)"},"properties":{"noteIndex":0},"schema":"https://github.com/citation-style-language/schema/raw/master/csl-citation.json"}</w:instrText>
      </w:r>
      <w:r w:rsidR="00D4255D" w:rsidRPr="002B3D8A">
        <w:rPr>
          <w:rFonts w:ascii="Arial" w:hAnsi="Arial" w:cs="Arial"/>
          <w:color w:val="000000" w:themeColor="text1"/>
        </w:rPr>
        <w:fldChar w:fldCharType="separate"/>
      </w:r>
      <w:r w:rsidR="00A07F2C" w:rsidRPr="00A07F2C">
        <w:rPr>
          <w:rFonts w:ascii="Arial" w:hAnsi="Arial" w:cs="Arial"/>
          <w:noProof/>
          <w:color w:val="000000" w:themeColor="text1"/>
        </w:rPr>
        <w:t>(Mojtahedi, Santo and Ingham, 1993; Matthiessen and Kirkegaard, 2006)</w:t>
      </w:r>
      <w:r w:rsidR="00D4255D" w:rsidRPr="002B3D8A">
        <w:rPr>
          <w:rFonts w:ascii="Arial" w:hAnsi="Arial" w:cs="Arial"/>
          <w:color w:val="000000" w:themeColor="text1"/>
        </w:rPr>
        <w:fldChar w:fldCharType="end"/>
      </w:r>
      <w:r w:rsidR="00D4255D" w:rsidRPr="002B3D8A">
        <w:rPr>
          <w:rFonts w:ascii="Arial" w:hAnsi="Arial" w:cs="Arial"/>
          <w:color w:val="000000" w:themeColor="text1"/>
        </w:rPr>
        <w:t xml:space="preserve">. </w:t>
      </w:r>
      <w:r>
        <w:rPr>
          <w:rFonts w:ascii="Arial" w:hAnsi="Arial" w:cs="Arial"/>
          <w:color w:val="000000" w:themeColor="text1"/>
        </w:rPr>
        <w:t xml:space="preserve">This effect has been </w:t>
      </w:r>
      <w:r w:rsidR="00D4255D" w:rsidRPr="002B3D8A">
        <w:rPr>
          <w:rFonts w:ascii="Arial" w:eastAsia="STXinwei" w:hAnsi="Arial" w:cs="Arial"/>
          <w:color w:val="000000" w:themeColor="text1"/>
        </w:rPr>
        <w:t xml:space="preserve">attributed to the cyanoglycoside compounds contained in all parts of </w:t>
      </w:r>
      <w:r w:rsidR="00452518" w:rsidRPr="002B3D8A">
        <w:rPr>
          <w:rFonts w:ascii="Arial" w:eastAsia="STXinwei" w:hAnsi="Arial" w:cs="Arial"/>
          <w:color w:val="000000" w:themeColor="text1"/>
        </w:rPr>
        <w:t>Sudan</w:t>
      </w:r>
      <w:r w:rsidR="00D4255D" w:rsidRPr="002B3D8A">
        <w:rPr>
          <w:rFonts w:ascii="Arial" w:eastAsia="STXinwei" w:hAnsi="Arial" w:cs="Arial"/>
          <w:color w:val="000000" w:themeColor="text1"/>
        </w:rPr>
        <w:t xml:space="preserve"> grass known as dhurrin. Dhurrin undergoes hydrolysis to produce hydrogen cyanide which has nematicidal effects </w:t>
      </w:r>
      <w:r w:rsidR="00D4255D" w:rsidRPr="002B3D8A">
        <w:rPr>
          <w:rFonts w:ascii="Arial" w:eastAsia="STXinwei" w:hAnsi="Arial" w:cs="Arial"/>
          <w:color w:val="000000" w:themeColor="text1"/>
        </w:rPr>
        <w:fldChar w:fldCharType="begin" w:fldLock="1"/>
      </w:r>
      <w:r w:rsidR="00E13293">
        <w:rPr>
          <w:rFonts w:ascii="Arial" w:eastAsia="STXinwei" w:hAnsi="Arial" w:cs="Arial"/>
          <w:color w:val="000000" w:themeColor="text1"/>
        </w:rPr>
        <w:instrText>ADDIN CSL_CITATION {"citationItems":[{"id":"ITEM-1","itemData":{"author":[{"dropping-particle":"","family":"Viaene","given":"Nicole M","non-dropping-particle":"","parse-names":false,"suffix":""},{"dropping-particle":"","family":"Abawi","given":"George S","non-dropping-particle":"","parse-names":false,"suffix":""}],"container-title":"Plant Disease","id":"ITEM-1","issued":{"date-parts":[["1998"]]},"page":"945-952","title":"Management of Meloidogyne hapla on Lettuce in Organic Soil with Sudangrass as a Cover Crop","type":"article-journal","volume":"82"},"uris":["http://www.mendeley.com/documents/?uuid=b80a6b05-0d31-3f39-a973-fa92e20529ca"]}],"mendeley":{"formattedCitation":"(Viaene and Abawi, 1998)","plainTextFormattedCitation":"(Viaene and Abawi, 1998)","previouslyFormattedCitation":"(Viaene and Abawi, 1998)"},"properties":{"noteIndex":0},"schema":"https://github.com/citation-style-language/schema/raw/master/csl-citation.json"}</w:instrText>
      </w:r>
      <w:r w:rsidR="00D4255D" w:rsidRPr="002B3D8A">
        <w:rPr>
          <w:rFonts w:ascii="Arial" w:eastAsia="STXinwei" w:hAnsi="Arial" w:cs="Arial"/>
          <w:color w:val="000000" w:themeColor="text1"/>
        </w:rPr>
        <w:fldChar w:fldCharType="separate"/>
      </w:r>
      <w:r w:rsidR="00E13293" w:rsidRPr="00E13293">
        <w:rPr>
          <w:rFonts w:ascii="Arial" w:eastAsia="STXinwei" w:hAnsi="Arial" w:cs="Arial"/>
          <w:noProof/>
          <w:color w:val="000000" w:themeColor="text1"/>
        </w:rPr>
        <w:t>(Viaene and Abawi, 1998)</w:t>
      </w:r>
      <w:r w:rsidR="00D4255D" w:rsidRPr="002B3D8A">
        <w:rPr>
          <w:rFonts w:ascii="Arial" w:eastAsia="STXinwei" w:hAnsi="Arial" w:cs="Arial"/>
          <w:color w:val="000000" w:themeColor="text1"/>
        </w:rPr>
        <w:fldChar w:fldCharType="end"/>
      </w:r>
      <w:r w:rsidR="00D4255D" w:rsidRPr="002B3D8A">
        <w:rPr>
          <w:rFonts w:ascii="Arial" w:eastAsia="STXinwei" w:hAnsi="Arial" w:cs="Arial"/>
          <w:color w:val="000000" w:themeColor="text1"/>
        </w:rPr>
        <w:t xml:space="preserve">. The hydrolysis product of dhurrin, hydrogen cyanide, was also attributed to the suppression of the ring nematode, </w:t>
      </w:r>
      <w:r w:rsidR="00D4255D" w:rsidRPr="002B3D8A">
        <w:rPr>
          <w:rFonts w:ascii="Arial" w:eastAsia="STXinwei" w:hAnsi="Arial" w:cs="Arial"/>
          <w:i/>
          <w:color w:val="000000" w:themeColor="text1"/>
        </w:rPr>
        <w:t xml:space="preserve">Criconemoides xenoplax, </w:t>
      </w:r>
      <w:r w:rsidR="00D4255D" w:rsidRPr="002B3D8A">
        <w:rPr>
          <w:rFonts w:ascii="Arial" w:eastAsia="STXinwei" w:hAnsi="Arial" w:cs="Arial"/>
          <w:color w:val="000000" w:themeColor="text1"/>
        </w:rPr>
        <w:t>in a field experiment where</w:t>
      </w:r>
      <w:r w:rsidR="00D4255D" w:rsidRPr="002B3D8A">
        <w:rPr>
          <w:rFonts w:ascii="Arial" w:eastAsia="STXinwei" w:hAnsi="Arial" w:cs="Arial"/>
          <w:i/>
          <w:color w:val="000000" w:themeColor="text1"/>
        </w:rPr>
        <w:t xml:space="preserve"> Sorghum vulgare </w:t>
      </w:r>
      <w:r w:rsidR="00D4255D" w:rsidRPr="002B3D8A">
        <w:rPr>
          <w:rFonts w:ascii="Arial" w:eastAsia="STXinwei" w:hAnsi="Arial" w:cs="Arial"/>
          <w:color w:val="000000" w:themeColor="text1"/>
        </w:rPr>
        <w:t xml:space="preserve">was incorporated as a green manure preplant. Incorporation of </w:t>
      </w:r>
      <w:r w:rsidR="00D4255D" w:rsidRPr="002B3D8A">
        <w:rPr>
          <w:rFonts w:ascii="Arial" w:eastAsia="STXinwei" w:hAnsi="Arial" w:cs="Arial"/>
          <w:i/>
          <w:color w:val="000000" w:themeColor="text1"/>
        </w:rPr>
        <w:t xml:space="preserve">Sorghum vulgare </w:t>
      </w:r>
      <w:r w:rsidR="00D4255D" w:rsidRPr="002B3D8A">
        <w:rPr>
          <w:rFonts w:ascii="Arial" w:eastAsia="STXinwei" w:hAnsi="Arial" w:cs="Arial"/>
          <w:color w:val="000000" w:themeColor="text1"/>
        </w:rPr>
        <w:t xml:space="preserve">with and without tarp was comparable with methyl bromide fumigation in suppressing </w:t>
      </w:r>
      <w:r w:rsidR="00D4255D" w:rsidRPr="002B3D8A">
        <w:rPr>
          <w:rFonts w:ascii="Arial" w:eastAsia="STXinwei" w:hAnsi="Arial" w:cs="Arial"/>
          <w:color w:val="000000" w:themeColor="text1"/>
        </w:rPr>
        <w:lastRenderedPageBreak/>
        <w:t>the ring nematod</w:t>
      </w:r>
      <w:r w:rsidR="00452518">
        <w:rPr>
          <w:rFonts w:ascii="Arial" w:eastAsia="STXinwei" w:hAnsi="Arial" w:cs="Arial"/>
          <w:color w:val="000000" w:themeColor="text1"/>
        </w:rPr>
        <w:t>e</w:t>
      </w:r>
      <w:r w:rsidR="003262E5">
        <w:rPr>
          <w:rFonts w:ascii="Arial" w:eastAsia="STXinwei" w:hAnsi="Arial" w:cs="Arial"/>
          <w:color w:val="000000" w:themeColor="text1"/>
        </w:rPr>
        <w:t xml:space="preserve">; </w:t>
      </w:r>
      <w:r w:rsidR="00452518">
        <w:rPr>
          <w:rFonts w:ascii="Arial" w:eastAsia="STXinwei" w:hAnsi="Arial" w:cs="Arial"/>
          <w:color w:val="000000" w:themeColor="text1"/>
        </w:rPr>
        <w:t xml:space="preserve">nematode densities for </w:t>
      </w:r>
      <w:r w:rsidR="00452518" w:rsidRPr="00452518">
        <w:rPr>
          <w:rFonts w:ascii="Arial" w:eastAsia="STXinwei" w:hAnsi="Arial" w:cs="Arial"/>
          <w:color w:val="000000" w:themeColor="text1"/>
        </w:rPr>
        <w:t>non</w:t>
      </w:r>
      <w:r w:rsidR="007D719C">
        <w:rPr>
          <w:rFonts w:ascii="Arial" w:eastAsia="STXinwei" w:hAnsi="Arial" w:cs="Arial"/>
          <w:color w:val="000000" w:themeColor="text1"/>
        </w:rPr>
        <w:t>-</w:t>
      </w:r>
      <w:r w:rsidR="00452518" w:rsidRPr="00452518">
        <w:rPr>
          <w:rFonts w:ascii="Arial" w:eastAsia="STXinwei" w:hAnsi="Arial" w:cs="Arial"/>
          <w:color w:val="000000" w:themeColor="text1"/>
        </w:rPr>
        <w:t>fumigated-alone</w:t>
      </w:r>
      <w:r w:rsidR="003262E5">
        <w:rPr>
          <w:rFonts w:ascii="Arial" w:eastAsia="STXinwei" w:hAnsi="Arial" w:cs="Arial"/>
          <w:color w:val="000000" w:themeColor="text1"/>
        </w:rPr>
        <w:t xml:space="preserve"> was</w:t>
      </w:r>
      <w:r w:rsidR="00452518" w:rsidRPr="00452518">
        <w:rPr>
          <w:rFonts w:ascii="Arial" w:eastAsia="STXinwei" w:hAnsi="Arial" w:cs="Arial"/>
          <w:color w:val="000000" w:themeColor="text1"/>
        </w:rPr>
        <w:t xml:space="preserve"> 50 </w:t>
      </w:r>
      <w:r w:rsidR="00452518" w:rsidRPr="00452518">
        <w:rPr>
          <w:rFonts w:ascii="Arial" w:eastAsia="STXinwei" w:hAnsi="Arial" w:cs="Arial"/>
          <w:i/>
          <w:color w:val="000000" w:themeColor="text1"/>
        </w:rPr>
        <w:t>C. xenoplax</w:t>
      </w:r>
      <w:r w:rsidR="00452518" w:rsidRPr="00452518">
        <w:rPr>
          <w:rFonts w:ascii="Arial" w:eastAsia="STXinwei" w:hAnsi="Arial" w:cs="Arial"/>
          <w:color w:val="000000" w:themeColor="text1"/>
        </w:rPr>
        <w:t>/100 cm3 of soil,</w:t>
      </w:r>
      <w:r w:rsidR="003262E5">
        <w:rPr>
          <w:rFonts w:ascii="Arial" w:eastAsia="STXinwei" w:hAnsi="Arial" w:cs="Arial"/>
          <w:color w:val="000000" w:themeColor="text1"/>
        </w:rPr>
        <w:t xml:space="preserve"> while</w:t>
      </w:r>
      <w:r w:rsidR="00452518" w:rsidRPr="00452518">
        <w:rPr>
          <w:rFonts w:ascii="Arial" w:eastAsia="STXinwei" w:hAnsi="Arial" w:cs="Arial"/>
          <w:color w:val="000000" w:themeColor="text1"/>
        </w:rPr>
        <w:t xml:space="preserve"> nonfumigated-tarp-urea </w:t>
      </w:r>
      <w:r w:rsidR="003262E5">
        <w:rPr>
          <w:rFonts w:ascii="Arial" w:eastAsia="STXinwei" w:hAnsi="Arial" w:cs="Arial"/>
          <w:color w:val="000000" w:themeColor="text1"/>
        </w:rPr>
        <w:t>was</w:t>
      </w:r>
      <w:r w:rsidR="00452518" w:rsidRPr="00452518">
        <w:rPr>
          <w:rFonts w:ascii="Arial" w:eastAsia="STXinwei" w:hAnsi="Arial" w:cs="Arial"/>
          <w:color w:val="000000" w:themeColor="text1"/>
        </w:rPr>
        <w:t xml:space="preserve"> 30 </w:t>
      </w:r>
      <w:r w:rsidR="00452518" w:rsidRPr="00452518">
        <w:rPr>
          <w:rFonts w:ascii="Arial" w:eastAsia="STXinwei" w:hAnsi="Arial" w:cs="Arial"/>
          <w:i/>
          <w:color w:val="000000" w:themeColor="text1"/>
        </w:rPr>
        <w:t xml:space="preserve">C. </w:t>
      </w:r>
      <w:r w:rsidR="00452518" w:rsidRPr="00DF4AC2">
        <w:rPr>
          <w:rFonts w:ascii="Arial" w:eastAsia="STXinwei" w:hAnsi="Arial" w:cs="Arial"/>
          <w:i/>
          <w:color w:val="000000" w:themeColor="text1"/>
        </w:rPr>
        <w:t>xenoplax</w:t>
      </w:r>
      <w:r w:rsidR="00452518" w:rsidRPr="00DF4AC2">
        <w:rPr>
          <w:rFonts w:ascii="Arial" w:eastAsia="STXinwei" w:hAnsi="Arial" w:cs="Arial"/>
          <w:color w:val="000000" w:themeColor="text1"/>
        </w:rPr>
        <w:t>/100 cm</w:t>
      </w:r>
      <w:r w:rsidR="00452518" w:rsidRPr="00F63475">
        <w:rPr>
          <w:rFonts w:ascii="Arial" w:eastAsia="STXinwei" w:hAnsi="Arial" w:cs="Arial"/>
          <w:color w:val="000000" w:themeColor="text1"/>
          <w:vertAlign w:val="superscript"/>
        </w:rPr>
        <w:t>3</w:t>
      </w:r>
      <w:r w:rsidR="00452518" w:rsidRPr="00DF4AC2">
        <w:rPr>
          <w:rFonts w:ascii="Arial" w:eastAsia="STXinwei" w:hAnsi="Arial" w:cs="Arial"/>
          <w:color w:val="000000" w:themeColor="text1"/>
        </w:rPr>
        <w:t xml:space="preserve"> of soil, sorghum-alone </w:t>
      </w:r>
      <w:r w:rsidR="003262E5">
        <w:rPr>
          <w:rFonts w:ascii="Arial" w:eastAsia="STXinwei" w:hAnsi="Arial" w:cs="Arial"/>
          <w:color w:val="000000" w:themeColor="text1"/>
        </w:rPr>
        <w:t xml:space="preserve"> was</w:t>
      </w:r>
      <w:r w:rsidR="00452518" w:rsidRPr="00DF4AC2">
        <w:rPr>
          <w:rFonts w:ascii="Arial" w:eastAsia="STXinwei" w:hAnsi="Arial" w:cs="Arial"/>
          <w:color w:val="000000" w:themeColor="text1"/>
        </w:rPr>
        <w:t xml:space="preserve"> 13 </w:t>
      </w:r>
      <w:r w:rsidR="00452518" w:rsidRPr="00DF4AC2">
        <w:rPr>
          <w:rFonts w:ascii="Arial" w:eastAsia="STXinwei" w:hAnsi="Arial" w:cs="Arial"/>
          <w:i/>
          <w:color w:val="000000" w:themeColor="text1"/>
        </w:rPr>
        <w:t>C. xenoplax</w:t>
      </w:r>
      <w:r w:rsidR="00452518" w:rsidRPr="00DF4AC2">
        <w:rPr>
          <w:rFonts w:ascii="Arial" w:eastAsia="STXinwei" w:hAnsi="Arial" w:cs="Arial"/>
          <w:color w:val="000000" w:themeColor="text1"/>
        </w:rPr>
        <w:t>/100 cm</w:t>
      </w:r>
      <w:r w:rsidR="00452518" w:rsidRPr="00F63475">
        <w:rPr>
          <w:rFonts w:ascii="Arial" w:eastAsia="STXinwei" w:hAnsi="Arial" w:cs="Arial"/>
          <w:color w:val="000000" w:themeColor="text1"/>
          <w:vertAlign w:val="superscript"/>
        </w:rPr>
        <w:t>3</w:t>
      </w:r>
      <w:r w:rsidR="00452518" w:rsidRPr="00DF4AC2">
        <w:rPr>
          <w:rFonts w:ascii="Arial" w:eastAsia="STXinwei" w:hAnsi="Arial" w:cs="Arial"/>
          <w:color w:val="000000" w:themeColor="text1"/>
        </w:rPr>
        <w:t xml:space="preserve"> of soil, sorghum- tarp-urea </w:t>
      </w:r>
      <w:r w:rsidR="003262E5">
        <w:rPr>
          <w:rFonts w:ascii="Arial" w:eastAsia="STXinwei" w:hAnsi="Arial" w:cs="Arial"/>
          <w:color w:val="000000" w:themeColor="text1"/>
        </w:rPr>
        <w:t>was</w:t>
      </w:r>
      <w:r w:rsidR="00452518" w:rsidRPr="00DF4AC2">
        <w:rPr>
          <w:rFonts w:ascii="Arial" w:eastAsia="STXinwei" w:hAnsi="Arial" w:cs="Arial"/>
          <w:color w:val="000000" w:themeColor="text1"/>
        </w:rPr>
        <w:t xml:space="preserve"> 43 C. xenoplax/100 cm3 of soil, or M</w:t>
      </w:r>
      <w:r w:rsidR="00576699">
        <w:rPr>
          <w:rFonts w:ascii="Arial" w:eastAsia="STXinwei" w:hAnsi="Arial" w:cs="Arial"/>
          <w:color w:val="000000" w:themeColor="text1"/>
        </w:rPr>
        <w:t>ethyl b</w:t>
      </w:r>
      <w:r w:rsidR="00452518" w:rsidRPr="00DF4AC2">
        <w:rPr>
          <w:rFonts w:ascii="Arial" w:eastAsia="STXinwei" w:hAnsi="Arial" w:cs="Arial"/>
          <w:color w:val="000000" w:themeColor="text1"/>
        </w:rPr>
        <w:t>r</w:t>
      </w:r>
      <w:r w:rsidR="00576699">
        <w:rPr>
          <w:rFonts w:ascii="Arial" w:eastAsia="STXinwei" w:hAnsi="Arial" w:cs="Arial"/>
          <w:color w:val="000000" w:themeColor="text1"/>
        </w:rPr>
        <w:t>omide</w:t>
      </w:r>
      <w:r w:rsidR="00452518" w:rsidRPr="00DF4AC2">
        <w:rPr>
          <w:rFonts w:ascii="Arial" w:eastAsia="STXinwei" w:hAnsi="Arial" w:cs="Arial"/>
          <w:color w:val="000000" w:themeColor="text1"/>
        </w:rPr>
        <w:t xml:space="preserve"> fumigation </w:t>
      </w:r>
      <w:r w:rsidR="003262E5">
        <w:rPr>
          <w:rFonts w:ascii="Arial" w:eastAsia="STXinwei" w:hAnsi="Arial" w:cs="Arial"/>
          <w:color w:val="000000" w:themeColor="text1"/>
        </w:rPr>
        <w:t>was</w:t>
      </w:r>
      <w:r w:rsidR="00452518" w:rsidRPr="00DF4AC2">
        <w:rPr>
          <w:rFonts w:ascii="Arial" w:eastAsia="STXinwei" w:hAnsi="Arial" w:cs="Arial"/>
          <w:color w:val="000000" w:themeColor="text1"/>
        </w:rPr>
        <w:t xml:space="preserve"> 33 </w:t>
      </w:r>
      <w:r w:rsidR="00452518" w:rsidRPr="00DF4AC2">
        <w:rPr>
          <w:rFonts w:ascii="Arial" w:eastAsia="STXinwei" w:hAnsi="Arial" w:cs="Arial"/>
          <w:i/>
          <w:color w:val="000000" w:themeColor="text1"/>
        </w:rPr>
        <w:t>C. xenoplax</w:t>
      </w:r>
      <w:r w:rsidR="00452518" w:rsidRPr="00DF4AC2">
        <w:rPr>
          <w:rFonts w:ascii="Arial" w:eastAsia="STXinwei" w:hAnsi="Arial" w:cs="Arial"/>
          <w:color w:val="000000" w:themeColor="text1"/>
        </w:rPr>
        <w:t xml:space="preserve">/100 cm3 of soil </w:t>
      </w:r>
      <w:r w:rsidR="00D4255D" w:rsidRPr="00DF4AC2">
        <w:rPr>
          <w:rFonts w:ascii="Arial" w:eastAsia="STXinwei" w:hAnsi="Arial" w:cs="Arial"/>
          <w:color w:val="000000" w:themeColor="text1"/>
        </w:rPr>
        <w:fldChar w:fldCharType="begin" w:fldLock="1"/>
      </w:r>
      <w:r w:rsidR="00E13293">
        <w:rPr>
          <w:rFonts w:ascii="Arial" w:eastAsia="STXinwei" w:hAnsi="Arial" w:cs="Arial"/>
          <w:color w:val="000000" w:themeColor="text1"/>
        </w:rPr>
        <w:instrText>ADDIN CSL_CITATION {"citationItems":[{"id":"ITEM-1","itemData":{"DOI":"10.1094/PDIS-91-12-1607","ISBN":"91:16071611","author":[{"dropping-particle":"","family":"Nyczepir","given":"A P","non-dropping-particle":"","parse-names":false,"suffix":""},{"dropping-particle":"","family":"Rodriguez-Kabana","given":"R","non-dropping-particle":"","parse-names":false,"suffix":""}],"container-title":"Plant Disease","id":"ITEM-1","issue":"12","issued":{"date-parts":[["2007"]]},"page":"1607-1611","title":"Preplant Biofumigation with Sorghum or Methyl Bromide Compared for Managing Criconemoides xenoplax in a Young Peach Orchard","type":"article-journal","volume":"91"},"uris":["http://www.mendeley.com/documents/?uuid=23b5efcd-c084-337a-9374-2e2252358ab1"]}],"mendeley":{"formattedCitation":"(Nyczepir and Rodriguez-Kabana, 2007)","plainTextFormattedCitation":"(Nyczepir and Rodriguez-Kabana, 2007)","previouslyFormattedCitation":"(Nyczepir and Rodriguez-Kabana, 2007)"},"properties":{"noteIndex":0},"schema":"https://github.com/citation-style-language/schema/raw/master/csl-citation.json"}</w:instrText>
      </w:r>
      <w:r w:rsidR="00D4255D" w:rsidRPr="00DF4AC2">
        <w:rPr>
          <w:rFonts w:ascii="Arial" w:eastAsia="STXinwei" w:hAnsi="Arial" w:cs="Arial"/>
          <w:color w:val="000000" w:themeColor="text1"/>
        </w:rPr>
        <w:fldChar w:fldCharType="separate"/>
      </w:r>
      <w:r w:rsidR="00E13293" w:rsidRPr="00E13293">
        <w:rPr>
          <w:rFonts w:ascii="Arial" w:eastAsia="STXinwei" w:hAnsi="Arial" w:cs="Arial"/>
          <w:noProof/>
          <w:color w:val="000000" w:themeColor="text1"/>
        </w:rPr>
        <w:t>(Nyczepir and Rodriguez-Kabana, 2007)</w:t>
      </w:r>
      <w:r w:rsidR="00D4255D" w:rsidRPr="00DF4AC2">
        <w:rPr>
          <w:rFonts w:ascii="Arial" w:eastAsia="STXinwei" w:hAnsi="Arial" w:cs="Arial"/>
          <w:color w:val="000000" w:themeColor="text1"/>
        </w:rPr>
        <w:fldChar w:fldCharType="end"/>
      </w:r>
      <w:r w:rsidR="003262E5">
        <w:rPr>
          <w:rFonts w:ascii="Arial" w:eastAsia="STXinwei" w:hAnsi="Arial" w:cs="Arial"/>
          <w:color w:val="000000" w:themeColor="text1"/>
        </w:rPr>
        <w:t>.</w:t>
      </w:r>
      <w:r w:rsidR="00D4255D" w:rsidRPr="00DF4AC2">
        <w:rPr>
          <w:rFonts w:ascii="Arial" w:eastAsia="STXinwei" w:hAnsi="Arial" w:cs="Arial"/>
          <w:color w:val="000000" w:themeColor="text1"/>
        </w:rPr>
        <w:t xml:space="preserve"> Sudan grass cultivars </w:t>
      </w:r>
      <w:r w:rsidR="003262E5">
        <w:rPr>
          <w:rFonts w:ascii="Arial" w:eastAsia="STXinwei" w:hAnsi="Arial" w:cs="Arial"/>
          <w:color w:val="000000" w:themeColor="text1"/>
        </w:rPr>
        <w:t>grown</w:t>
      </w:r>
      <w:r w:rsidR="003262E5" w:rsidRPr="00DF4AC2">
        <w:rPr>
          <w:rFonts w:ascii="Arial" w:eastAsia="STXinwei" w:hAnsi="Arial" w:cs="Arial"/>
          <w:color w:val="000000" w:themeColor="text1"/>
        </w:rPr>
        <w:t xml:space="preserve"> </w:t>
      </w:r>
      <w:r w:rsidR="00D4255D" w:rsidRPr="00DF4AC2">
        <w:rPr>
          <w:rFonts w:ascii="Arial" w:eastAsia="STXinwei" w:hAnsi="Arial" w:cs="Arial"/>
          <w:color w:val="000000" w:themeColor="text1"/>
        </w:rPr>
        <w:t xml:space="preserve">as green manures showed variation in their suppression of </w:t>
      </w:r>
      <w:r w:rsidR="00D4255D" w:rsidRPr="00DF4AC2">
        <w:rPr>
          <w:rFonts w:ascii="Arial" w:eastAsia="STXinwei" w:hAnsi="Arial" w:cs="Arial"/>
          <w:i/>
          <w:color w:val="000000" w:themeColor="text1"/>
        </w:rPr>
        <w:t>Meloidogyne hapla</w:t>
      </w:r>
      <w:r w:rsidR="00D4255D" w:rsidRPr="00DF4AC2">
        <w:rPr>
          <w:rFonts w:ascii="Arial" w:eastAsia="STXinwei" w:hAnsi="Arial" w:cs="Arial"/>
          <w:color w:val="000000" w:themeColor="text1"/>
        </w:rPr>
        <w:t xml:space="preserve"> and </w:t>
      </w:r>
      <w:r w:rsidR="00D4255D" w:rsidRPr="00DF4AC2">
        <w:rPr>
          <w:rFonts w:ascii="Arial" w:eastAsia="STXinwei" w:hAnsi="Arial" w:cs="Arial"/>
          <w:i/>
          <w:color w:val="000000" w:themeColor="text1"/>
        </w:rPr>
        <w:t>Meloidogyne chitwoodi</w:t>
      </w:r>
      <w:r w:rsidR="00D4255D" w:rsidRPr="00DF4AC2">
        <w:rPr>
          <w:rFonts w:ascii="Arial" w:eastAsia="STXinwei" w:hAnsi="Arial" w:cs="Arial"/>
          <w:color w:val="000000" w:themeColor="text1"/>
        </w:rPr>
        <w:t xml:space="preserve"> race 1 and race 2. All Sudan grass cultivars tested were able to effectively suppress the juvenile stages of </w:t>
      </w:r>
      <w:r w:rsidR="00D4255D" w:rsidRPr="00DF4AC2">
        <w:rPr>
          <w:rFonts w:ascii="Arial" w:eastAsia="STXinwei" w:hAnsi="Arial" w:cs="Arial"/>
          <w:i/>
          <w:color w:val="000000" w:themeColor="text1"/>
        </w:rPr>
        <w:t>Meloidogyne hapla</w:t>
      </w:r>
      <w:r w:rsidR="00D4255D" w:rsidRPr="00DF4AC2">
        <w:rPr>
          <w:rFonts w:ascii="Arial" w:eastAsia="STXinwei" w:hAnsi="Arial" w:cs="Arial"/>
          <w:color w:val="000000" w:themeColor="text1"/>
        </w:rPr>
        <w:t xml:space="preserve"> but </w:t>
      </w:r>
      <w:r w:rsidR="00D4255D" w:rsidRPr="00DF4AC2">
        <w:rPr>
          <w:rFonts w:ascii="Arial" w:eastAsia="STXinwei" w:hAnsi="Arial" w:cs="Arial"/>
          <w:i/>
          <w:color w:val="000000" w:themeColor="text1"/>
        </w:rPr>
        <w:t>Meloidogyne incognita</w:t>
      </w:r>
      <w:r w:rsidR="00D4255D" w:rsidRPr="00DF4AC2">
        <w:rPr>
          <w:rFonts w:ascii="Arial" w:eastAsia="STXinwei" w:hAnsi="Arial" w:cs="Arial"/>
          <w:color w:val="000000" w:themeColor="text1"/>
        </w:rPr>
        <w:t xml:space="preserve"> race 1 and 2 was able to reproduce in some cultivars except for the cultivars </w:t>
      </w:r>
      <w:proofErr w:type="spellStart"/>
      <w:r w:rsidR="00D4255D" w:rsidRPr="00DF4AC2">
        <w:rPr>
          <w:rFonts w:ascii="Arial" w:eastAsia="STXinwei" w:hAnsi="Arial" w:cs="Arial"/>
          <w:color w:val="000000" w:themeColor="text1"/>
        </w:rPr>
        <w:t>Trudan</w:t>
      </w:r>
      <w:proofErr w:type="spellEnd"/>
      <w:r w:rsidR="00D4255D" w:rsidRPr="00DF4AC2">
        <w:rPr>
          <w:rFonts w:ascii="Arial" w:eastAsia="STXinwei" w:hAnsi="Arial" w:cs="Arial"/>
          <w:color w:val="000000" w:themeColor="text1"/>
        </w:rPr>
        <w:t xml:space="preserve"> 8 and </w:t>
      </w:r>
      <w:proofErr w:type="spellStart"/>
      <w:r w:rsidR="00D4255D" w:rsidRPr="00DF4AC2">
        <w:rPr>
          <w:rFonts w:ascii="Arial" w:eastAsia="STXinwei" w:hAnsi="Arial" w:cs="Arial"/>
          <w:color w:val="000000" w:themeColor="text1"/>
        </w:rPr>
        <w:t>Sordan</w:t>
      </w:r>
      <w:proofErr w:type="spellEnd"/>
      <w:r w:rsidR="00D4255D" w:rsidRPr="00DF4AC2">
        <w:rPr>
          <w:rFonts w:ascii="Arial" w:eastAsia="STXinwei" w:hAnsi="Arial" w:cs="Arial"/>
          <w:color w:val="000000" w:themeColor="text1"/>
        </w:rPr>
        <w:t xml:space="preserve"> 79 which suppressed it in both glasshouse and field experiments. The juveniles of </w:t>
      </w:r>
      <w:r w:rsidR="00D4255D" w:rsidRPr="00DF4AC2">
        <w:rPr>
          <w:rFonts w:ascii="Arial" w:eastAsia="STXinwei" w:hAnsi="Arial" w:cs="Arial"/>
          <w:i/>
          <w:color w:val="000000" w:themeColor="text1"/>
        </w:rPr>
        <w:t>Meloidogyne</w:t>
      </w:r>
      <w:r w:rsidR="00D4255D" w:rsidRPr="00DF4AC2">
        <w:rPr>
          <w:rFonts w:ascii="Arial" w:eastAsia="STXinwei" w:hAnsi="Arial" w:cs="Arial"/>
          <w:color w:val="000000" w:themeColor="text1"/>
        </w:rPr>
        <w:t xml:space="preserve"> spp</w:t>
      </w:r>
      <w:r w:rsidR="00833369">
        <w:rPr>
          <w:rFonts w:ascii="Arial" w:eastAsia="STXinwei" w:hAnsi="Arial" w:cs="Arial"/>
          <w:color w:val="000000" w:themeColor="text1"/>
        </w:rPr>
        <w:t>.</w:t>
      </w:r>
      <w:r w:rsidR="00D4255D" w:rsidRPr="00DF4AC2">
        <w:rPr>
          <w:rFonts w:ascii="Arial" w:eastAsia="STXinwei" w:hAnsi="Arial" w:cs="Arial"/>
          <w:color w:val="000000" w:themeColor="text1"/>
        </w:rPr>
        <w:t xml:space="preserve"> were seen to be more sensitive than the egg masses in glasshouse studies </w:t>
      </w:r>
      <w:r w:rsidR="00D4255D" w:rsidRPr="00DF4AC2">
        <w:rPr>
          <w:rFonts w:ascii="Arial" w:eastAsia="STXinwei" w:hAnsi="Arial" w:cs="Arial"/>
          <w:color w:val="000000" w:themeColor="text1"/>
        </w:rPr>
        <w:fldChar w:fldCharType="begin" w:fldLock="1"/>
      </w:r>
      <w:r w:rsidR="00200FF9">
        <w:rPr>
          <w:rFonts w:ascii="Arial" w:eastAsia="STXinwei" w:hAnsi="Arial" w:cs="Arial"/>
          <w:color w:val="000000" w:themeColor="text1"/>
        </w:rPr>
        <w:instrText>ADDIN CSL_CITATION {"citationItems":[{"id":"ITEM-1","itemData":{"abstract":"Meloidogyne chitwoodi race 1 reproduced on Piper sudangrass (Sorghum bicolor (L.) Moench), 332 (sudangrass hybrid), and P855F and P877F (sorghum-sudangrass hybrids), but failed to reproduce efficiently on Trudan 8, Trudex 9 (sudangrass hybrids), and Sordan 79, SS-222, and Bravo II (sorghum-sudangrass hybrids). Meloidogyne chitwoodi race 2 behaved similarly and reproduced more efficiently on Piper, P855F, and P877F than on Trudan 8, Trudex 9, or Sordan 79. The mean reproductive factor for M. chitwoodi races on the poorer hosts ranged from &lt;0.1 to 0.9 under greenhouse and field conditions. Meloidogyne hapla failed to reproduce on any of the cultivars tested. In the laboratory, leaves of each cultivar chopped and incorporated as green manure reduced the M. chitwoodi population in infested soil more than unamended or wheat green manure treatments. Trudan 8, although limited to the zone of incorporation, protected this zone from colonization of upward migrating second stage juveniles (]2) for up to 6 weeks. Leaves of Trudan 8 but not roots were effective against M. chitwoodi, and J2 appeared to be more sensitive than egg masses. Trudan 8 and Sordan 79 as green manure reduced M. chitwoodi in bucket microplots under field conditions.","author":[{"dropping-particle":"","family":"Mojtahedi","given":"H","non-dropping-particle":"","parse-names":false,"suffix":""},{"dropping-particle":"","family":"Santo","given":"G S","non-dropping-particle":"","parse-names":false,"suffix":""},{"dropping-particle":"","family":"Ingham","given":"R E","non-dropping-particle":"","parse-names":false,"suffix":""}],"container-title":"Journal of Nematology","id":"ITEM-1","issue":"2","issued":{"date-parts":[["1993"]]},"page":"303-311","title":"Suppression of Meloidogyne chitwoodi with Sudangrass Cultivars as Green Manure 1","type":"article-journal","volume":"25"},"uris":["http://www.mendeley.com/documents/?uuid=366eefdf-d9aa-31a9-8151-cc5975c18c47"]}],"mendeley":{"formattedCitation":"(Mojtahedi, Santo and Ingham, 1993)","plainTextFormattedCitation":"(Mojtahedi, Santo and Ingham, 1993)","previouslyFormattedCitation":"(Mojtahedi, Santo and Ingham, 1993)"},"properties":{"noteIndex":0},"schema":"https://github.com/citation-style-language/schema/raw/master/csl-citation.json"}</w:instrText>
      </w:r>
      <w:r w:rsidR="00D4255D" w:rsidRPr="00DF4AC2">
        <w:rPr>
          <w:rFonts w:ascii="Arial" w:eastAsia="STXinwei" w:hAnsi="Arial" w:cs="Arial"/>
          <w:color w:val="000000" w:themeColor="text1"/>
        </w:rPr>
        <w:fldChar w:fldCharType="separate"/>
      </w:r>
      <w:r w:rsidR="00A07F2C" w:rsidRPr="00A07F2C">
        <w:rPr>
          <w:rFonts w:ascii="Arial" w:eastAsia="STXinwei" w:hAnsi="Arial" w:cs="Arial"/>
          <w:noProof/>
          <w:color w:val="000000" w:themeColor="text1"/>
        </w:rPr>
        <w:t>(Mojtahedi, Santo and Ingham, 1993)</w:t>
      </w:r>
      <w:r w:rsidR="00D4255D" w:rsidRPr="00DF4AC2">
        <w:rPr>
          <w:rFonts w:ascii="Arial" w:eastAsia="STXinwei" w:hAnsi="Arial" w:cs="Arial"/>
          <w:color w:val="000000" w:themeColor="text1"/>
        </w:rPr>
        <w:fldChar w:fldCharType="end"/>
      </w:r>
      <w:r w:rsidR="00D4255D" w:rsidRPr="00DF4AC2">
        <w:rPr>
          <w:rFonts w:ascii="Arial" w:eastAsia="STXinwei" w:hAnsi="Arial" w:cs="Arial"/>
          <w:color w:val="000000" w:themeColor="text1"/>
        </w:rPr>
        <w:t xml:space="preserve">. In studies evaluating effect of dhurrin concentrations on juvenile mobility and hatching of </w:t>
      </w:r>
      <w:r w:rsidR="00D4255D" w:rsidRPr="00DF4AC2">
        <w:rPr>
          <w:rFonts w:ascii="Arial" w:eastAsia="STXinwei" w:hAnsi="Arial" w:cs="Arial"/>
          <w:i/>
          <w:color w:val="000000" w:themeColor="text1"/>
        </w:rPr>
        <w:t>Meloidogyne incognita</w:t>
      </w:r>
      <w:r w:rsidR="00D4255D" w:rsidRPr="00DF4AC2">
        <w:rPr>
          <w:rFonts w:ascii="Arial" w:eastAsia="STXinwei" w:hAnsi="Arial" w:cs="Arial"/>
          <w:color w:val="000000" w:themeColor="text1"/>
        </w:rPr>
        <w:t xml:space="preserve">, </w:t>
      </w:r>
      <w:r w:rsidR="00D4255D" w:rsidRPr="00DF4AC2">
        <w:rPr>
          <w:rFonts w:ascii="Arial" w:eastAsia="STXinwei" w:hAnsi="Arial" w:cs="Arial"/>
          <w:i/>
          <w:color w:val="000000" w:themeColor="text1"/>
        </w:rPr>
        <w:t>Sorghum hybrida</w:t>
      </w:r>
      <w:r w:rsidR="00D4255D" w:rsidRPr="00DF4AC2">
        <w:rPr>
          <w:rFonts w:ascii="Arial" w:eastAsia="STXinwei" w:hAnsi="Arial" w:cs="Arial"/>
          <w:color w:val="000000" w:themeColor="text1"/>
        </w:rPr>
        <w:t xml:space="preserve"> cv. Super dolce showed inhibitory effects in the hatching of </w:t>
      </w:r>
      <w:r w:rsidR="00D4255D" w:rsidRPr="00DF4AC2">
        <w:rPr>
          <w:rFonts w:ascii="Arial" w:eastAsia="STXinwei" w:hAnsi="Arial" w:cs="Arial"/>
          <w:i/>
          <w:color w:val="000000" w:themeColor="text1"/>
        </w:rPr>
        <w:t>M. incognita.</w:t>
      </w:r>
      <w:r w:rsidR="00D4255D" w:rsidRPr="00DF4AC2">
        <w:rPr>
          <w:rFonts w:ascii="Arial" w:eastAsia="STXinwei" w:hAnsi="Arial" w:cs="Arial"/>
          <w:color w:val="000000" w:themeColor="text1"/>
        </w:rPr>
        <w:t xml:space="preserve"> </w:t>
      </w:r>
      <w:r w:rsidR="00DF4AC2" w:rsidRPr="00DF4AC2">
        <w:rPr>
          <w:rFonts w:ascii="Arial" w:hAnsi="Arial" w:cs="Arial"/>
          <w:color w:val="000000" w:themeColor="text1"/>
          <w:shd w:val="clear" w:color="auto" w:fill="FFFFFF"/>
        </w:rPr>
        <w:t>The dhurrin concentration able to cause the death of 50% J2 population in 24 h (LD</w:t>
      </w:r>
      <w:r w:rsidR="00DF4AC2" w:rsidRPr="00DF4AC2">
        <w:rPr>
          <w:rFonts w:ascii="Arial" w:hAnsi="Arial" w:cs="Arial"/>
          <w:color w:val="000000" w:themeColor="text1"/>
          <w:shd w:val="clear" w:color="auto" w:fill="FFFFFF"/>
          <w:vertAlign w:val="subscript"/>
        </w:rPr>
        <w:t>50</w:t>
      </w:r>
      <w:r w:rsidR="00DF4AC2" w:rsidRPr="00DF4AC2">
        <w:rPr>
          <w:rFonts w:ascii="Arial" w:hAnsi="Arial" w:cs="Arial"/>
          <w:color w:val="000000" w:themeColor="text1"/>
          <w:shd w:val="clear" w:color="auto" w:fill="FFFFFF"/>
        </w:rPr>
        <w:t>) was 0.58 Mm</w:t>
      </w:r>
      <w:r w:rsidR="00DF4AC2" w:rsidRPr="00DF4AC2">
        <w:rPr>
          <w:rFonts w:ascii="Arial" w:eastAsia="STXinwei" w:hAnsi="Arial" w:cs="Arial"/>
          <w:color w:val="000000" w:themeColor="text1"/>
        </w:rPr>
        <w:t xml:space="preserve">. </w:t>
      </w:r>
      <w:r w:rsidR="00833369">
        <w:rPr>
          <w:rFonts w:ascii="Arial" w:eastAsia="STXinwei" w:hAnsi="Arial" w:cs="Arial"/>
          <w:color w:val="000000" w:themeColor="text1"/>
        </w:rPr>
        <w:t xml:space="preserve">A </w:t>
      </w:r>
      <w:r w:rsidR="000D35D1" w:rsidRPr="00DF4AC2">
        <w:rPr>
          <w:rFonts w:ascii="Arial" w:hAnsi="Arial" w:cs="Arial"/>
          <w:color w:val="000000"/>
          <w:shd w:val="clear" w:color="auto" w:fill="FFFFFF"/>
        </w:rPr>
        <w:t xml:space="preserve">50% egg hatch inhibition was recorded post exposure of egg masses to 0.38mM of dhurrin concentration, </w:t>
      </w:r>
      <w:r w:rsidR="00DF4AC2" w:rsidRPr="00DF4AC2">
        <w:rPr>
          <w:rFonts w:ascii="Arial" w:hAnsi="Arial" w:cs="Arial"/>
          <w:color w:val="000000"/>
          <w:shd w:val="clear" w:color="auto" w:fill="FFFFFF"/>
        </w:rPr>
        <w:t xml:space="preserve">when </w:t>
      </w:r>
      <w:r w:rsidR="000D35D1" w:rsidRPr="00F63475">
        <w:rPr>
          <w:rFonts w:ascii="Arial" w:hAnsi="Arial" w:cs="Arial"/>
          <w:i/>
          <w:color w:val="000000"/>
          <w:shd w:val="clear" w:color="auto" w:fill="FFFFFF"/>
        </w:rPr>
        <w:t>M. incognita</w:t>
      </w:r>
      <w:r w:rsidR="000D35D1" w:rsidRPr="00DF4AC2">
        <w:rPr>
          <w:rFonts w:ascii="Arial" w:hAnsi="Arial" w:cs="Arial"/>
          <w:color w:val="000000"/>
          <w:shd w:val="clear" w:color="auto" w:fill="FFFFFF"/>
        </w:rPr>
        <w:t xml:space="preserve"> hatch w</w:t>
      </w:r>
      <w:r w:rsidR="00DF4AC2" w:rsidRPr="00DF4AC2">
        <w:rPr>
          <w:rFonts w:ascii="Arial" w:hAnsi="Arial" w:cs="Arial"/>
          <w:color w:val="000000"/>
          <w:shd w:val="clear" w:color="auto" w:fill="FFFFFF"/>
        </w:rPr>
        <w:t>as</w:t>
      </w:r>
      <w:r w:rsidR="000D35D1" w:rsidRPr="00DF4AC2">
        <w:rPr>
          <w:rFonts w:ascii="Arial" w:hAnsi="Arial" w:cs="Arial"/>
          <w:color w:val="000000"/>
          <w:shd w:val="clear" w:color="auto" w:fill="FFFFFF"/>
        </w:rPr>
        <w:t xml:space="preserve"> monitored 7 days after treatment</w:t>
      </w:r>
      <w:r w:rsidR="00DF4AC2">
        <w:rPr>
          <w:rFonts w:ascii="Arial" w:hAnsi="Arial" w:cs="Arial"/>
          <w:color w:val="000000"/>
          <w:shd w:val="clear" w:color="auto" w:fill="FFFFFF"/>
        </w:rPr>
        <w:t xml:space="preserve">, in comparison to untreated phosphate buffer. </w:t>
      </w:r>
      <w:r w:rsidR="00D4255D" w:rsidRPr="002B3D8A">
        <w:rPr>
          <w:rFonts w:ascii="Arial" w:eastAsia="STXinwei" w:hAnsi="Arial" w:cs="Arial"/>
          <w:color w:val="000000" w:themeColor="text1"/>
        </w:rPr>
        <w:t xml:space="preserve">Under glasshouse conditions, </w:t>
      </w:r>
      <w:r w:rsidR="00D4255D" w:rsidRPr="002B3D8A">
        <w:rPr>
          <w:rFonts w:ascii="Arial" w:eastAsia="STXinwei" w:hAnsi="Arial" w:cs="Arial"/>
          <w:i/>
          <w:color w:val="000000" w:themeColor="text1"/>
        </w:rPr>
        <w:t>Sorghum hybrida</w:t>
      </w:r>
      <w:r w:rsidR="00D4255D" w:rsidRPr="002B3D8A">
        <w:rPr>
          <w:rFonts w:ascii="Arial" w:eastAsia="STXinwei" w:hAnsi="Arial" w:cs="Arial"/>
          <w:color w:val="000000" w:themeColor="text1"/>
        </w:rPr>
        <w:t xml:space="preserve"> and </w:t>
      </w:r>
      <w:r w:rsidR="00D4255D" w:rsidRPr="002B3D8A">
        <w:rPr>
          <w:rFonts w:ascii="Arial" w:eastAsia="STXinwei" w:hAnsi="Arial" w:cs="Arial"/>
          <w:i/>
          <w:color w:val="000000" w:themeColor="text1"/>
        </w:rPr>
        <w:t>Eruca sativa</w:t>
      </w:r>
      <w:r w:rsidR="00D4255D" w:rsidRPr="002B3D8A">
        <w:rPr>
          <w:rFonts w:ascii="Arial" w:eastAsia="STXinwei" w:hAnsi="Arial" w:cs="Arial"/>
          <w:color w:val="000000" w:themeColor="text1"/>
        </w:rPr>
        <w:t xml:space="preserve"> were compared in their efficacy to suppress </w:t>
      </w:r>
      <w:r w:rsidR="00D4255D" w:rsidRPr="002B3D8A">
        <w:rPr>
          <w:rFonts w:ascii="Arial" w:eastAsia="STXinwei" w:hAnsi="Arial" w:cs="Arial"/>
          <w:i/>
          <w:color w:val="000000" w:themeColor="text1"/>
        </w:rPr>
        <w:t xml:space="preserve">M. incognita </w:t>
      </w:r>
      <w:r w:rsidR="00D4255D" w:rsidRPr="002B3D8A">
        <w:rPr>
          <w:rFonts w:ascii="Arial" w:eastAsia="STXinwei" w:hAnsi="Arial" w:cs="Arial"/>
          <w:color w:val="000000" w:themeColor="text1"/>
        </w:rPr>
        <w:t xml:space="preserve">and both proved to be poor hosts  </w:t>
      </w:r>
      <w:r w:rsidR="00D4255D" w:rsidRPr="002B3D8A">
        <w:rPr>
          <w:rFonts w:ascii="Arial" w:eastAsia="STXinwei" w:hAnsi="Arial" w:cs="Arial"/>
          <w:color w:val="000000" w:themeColor="text1"/>
        </w:rPr>
        <w:fldChar w:fldCharType="begin" w:fldLock="1"/>
      </w:r>
      <w:r w:rsidR="00200FF9">
        <w:rPr>
          <w:rFonts w:ascii="Arial" w:eastAsia="STXinwei" w:hAnsi="Arial" w:cs="Arial"/>
          <w:color w:val="000000" w:themeColor="text1"/>
        </w:rPr>
        <w:instrText>ADDIN CSL_CITATION {"citationItems":[{"id":"ITEM-1","itemData":{"DOI":"10.1163/156854112X627291","ISSN":"13885545","abstract":"The epidermal cells of leaf and roots of sorghum (Sorghum bicolor), sudangrass (5. sudanensis) and sorghum-sudangrass hybrids (5. bicolor × S. sudanensis) contain the cyanogenic glucoside dhurrin, which can degrade into hydrogen cyanide (HCN), well known for its toxicity to many organisms, including nematodes. In vitro bioassays were carried out with the aim of evaluating the nematicidal and the nematistatic effects of dhurrin concentrations on second-stage juveniles (J2) of Meloidogyne incognita, and the effectiveness of dhurrin in decreasing or preventing hatching of M. incognita. Furthermore, Sorghum hybrid c v. Super Dolce 10, selected for its dhurrin content, and Eruca sativa sel. Nemat were used in two glasshouse experiments to study the host-nematode relationship and the development of M. incognita life cycle in the roots. In the in vitro bioassays, Sorghum hybrid cv. Super Dolce 10 showed an inhibitory effect on hatching, a slow nematicidal effect on J2 and no nematistatic activity. In the glasshouse experiments, both Sorghum hybrid cv. Super Dolce 10 and E. sativa sel. Nemat proved to be a poor to non-host of M. incognita, with reproduction factor (R) always &lt;1, compared with Solanum lycopersicum cv. UC82, an excellent host (R = 43). In both bioactive accessions two generations were completed in 15 weeks (four cycles in S. lycopersicum), but with the production of very few egg masses, while root infestation was also always very low, with gall index (G.I.) &lt; 1, compared with S. lycopersicum (G.I. = 4). In this study, the effectiveness of E. sativa sel. Nemat in controlling M. incognita confirmed data from previous work. © Koninklijke Brill NV., Leiden, 2012.","author":[{"dropping-particle":"","family":"Curto","given":"Giovanna","non-dropping-particle":"","parse-names":false,"suffix":""},{"dropping-particle":"","family":"Dallavalle","given":"Elisabetta","non-dropping-particle":"","parse-names":false,"suffix":""},{"dropping-particle":"","family":"Nicola","given":"Gina Rosalinda","non-dropping-particle":"De","parse-names":false,"suffix":""},{"dropping-particle":"","family":"Lazzeri","given":"Luca","non-dropping-particle":"","parse-names":false,"suffix":""}],"container-title":"Nematology","id":"ITEM-1","issue":"PART6","issued":{"date-parts":[["2012"]]},"page":"759-769","title":"Evaluation of the activity of dhurrin and sorghum towards Meloidogyne incognita","type":"article-journal","volume":"16"},"uris":["http://www.mendeley.com/documents/?uuid=5329a330-de9d-30c7-8e9e-cab829e2fae2"]}],"mendeley":{"formattedCitation":"(Curto &lt;i&gt;et al.&lt;/i&gt;, 2012)","plainTextFormattedCitation":"(Curto et al., 2012)","previouslyFormattedCitation":"(Curto &lt;i&gt;et al.&lt;/i&gt;, 2012)"},"properties":{"noteIndex":0},"schema":"https://github.com/citation-style-language/schema/raw/master/csl-citation.json"}</w:instrText>
      </w:r>
      <w:r w:rsidR="00D4255D" w:rsidRPr="002B3D8A">
        <w:rPr>
          <w:rFonts w:ascii="Arial" w:eastAsia="STXinwei" w:hAnsi="Arial" w:cs="Arial"/>
          <w:color w:val="000000" w:themeColor="text1"/>
        </w:rPr>
        <w:fldChar w:fldCharType="separate"/>
      </w:r>
      <w:r w:rsidR="00A07F2C" w:rsidRPr="00A07F2C">
        <w:rPr>
          <w:rFonts w:ascii="Arial" w:eastAsia="STXinwei" w:hAnsi="Arial" w:cs="Arial"/>
          <w:noProof/>
          <w:color w:val="000000" w:themeColor="text1"/>
        </w:rPr>
        <w:t xml:space="preserve">(Curto </w:t>
      </w:r>
      <w:r w:rsidR="00A07F2C" w:rsidRPr="00A07F2C">
        <w:rPr>
          <w:rFonts w:ascii="Arial" w:eastAsia="STXinwei" w:hAnsi="Arial" w:cs="Arial"/>
          <w:i/>
          <w:noProof/>
          <w:color w:val="000000" w:themeColor="text1"/>
        </w:rPr>
        <w:t>et al.</w:t>
      </w:r>
      <w:r w:rsidR="00A07F2C" w:rsidRPr="00A07F2C">
        <w:rPr>
          <w:rFonts w:ascii="Arial" w:eastAsia="STXinwei" w:hAnsi="Arial" w:cs="Arial"/>
          <w:noProof/>
          <w:color w:val="000000" w:themeColor="text1"/>
        </w:rPr>
        <w:t>, 2012)</w:t>
      </w:r>
      <w:r w:rsidR="00D4255D" w:rsidRPr="002B3D8A">
        <w:rPr>
          <w:rFonts w:ascii="Arial" w:eastAsia="STXinwei" w:hAnsi="Arial" w:cs="Arial"/>
          <w:color w:val="000000" w:themeColor="text1"/>
        </w:rPr>
        <w:fldChar w:fldCharType="end"/>
      </w:r>
      <w:r w:rsidR="00D4255D" w:rsidRPr="002B3D8A">
        <w:rPr>
          <w:rFonts w:ascii="Arial" w:eastAsia="STXinwei" w:hAnsi="Arial" w:cs="Arial"/>
          <w:color w:val="000000" w:themeColor="text1"/>
        </w:rPr>
        <w:t xml:space="preserve">. An experiment conducted to examine dhurrin and its decomposition products, proved that indeed the hydrogen cyanide produced as a result of dhurrin hydrolysis is responsible for the suppression of </w:t>
      </w:r>
      <w:r w:rsidR="00D4255D" w:rsidRPr="002B3D8A">
        <w:rPr>
          <w:rFonts w:ascii="Arial" w:eastAsia="STXinwei" w:hAnsi="Arial" w:cs="Arial"/>
          <w:i/>
          <w:color w:val="000000" w:themeColor="text1"/>
        </w:rPr>
        <w:t>Melidogyne hapla</w:t>
      </w:r>
      <w:r w:rsidR="00D4255D" w:rsidRPr="002B3D8A">
        <w:rPr>
          <w:rFonts w:ascii="Arial" w:eastAsia="STXinwei" w:hAnsi="Arial" w:cs="Arial"/>
          <w:color w:val="000000" w:themeColor="text1"/>
        </w:rPr>
        <w:t xml:space="preserve">. </w:t>
      </w:r>
    </w:p>
    <w:p w14:paraId="514448A3" w14:textId="0A4E013B" w:rsidR="007A5447" w:rsidRPr="002B3D8A" w:rsidRDefault="00D4255D" w:rsidP="00616CDC">
      <w:pPr>
        <w:pStyle w:val="paragraph"/>
        <w:spacing w:before="0" w:beforeAutospacing="0" w:after="0" w:afterAutospacing="0" w:line="360" w:lineRule="auto"/>
        <w:ind w:left="-426" w:right="-330"/>
        <w:jc w:val="both"/>
        <w:textAlignment w:val="baseline"/>
        <w:rPr>
          <w:rFonts w:ascii="Arial" w:hAnsi="Arial" w:cs="Arial"/>
          <w:color w:val="000000" w:themeColor="text1"/>
        </w:rPr>
      </w:pPr>
      <w:r w:rsidRPr="002B3D8A">
        <w:rPr>
          <w:rFonts w:ascii="Arial" w:hAnsi="Arial" w:cs="Arial"/>
          <w:color w:val="000000" w:themeColor="text1"/>
        </w:rPr>
        <w:t>Winter rye (</w:t>
      </w:r>
      <w:r w:rsidRPr="002B3D8A">
        <w:rPr>
          <w:rFonts w:ascii="Arial" w:hAnsi="Arial" w:cs="Arial"/>
          <w:i/>
          <w:color w:val="000000" w:themeColor="text1"/>
        </w:rPr>
        <w:t>Secale cereale</w:t>
      </w:r>
      <w:r w:rsidRPr="002B3D8A">
        <w:rPr>
          <w:rFonts w:ascii="Arial" w:hAnsi="Arial" w:cs="Arial"/>
          <w:color w:val="000000" w:themeColor="text1"/>
        </w:rPr>
        <w:t xml:space="preserve">) has been frequently used as a cover crop in many rotation systems due to its allelopathic effects on soil borne pests and pathogens. It is </w:t>
      </w:r>
      <w:r w:rsidR="00576699" w:rsidRPr="002B3D8A">
        <w:rPr>
          <w:rFonts w:ascii="Arial" w:hAnsi="Arial" w:cs="Arial"/>
          <w:color w:val="000000" w:themeColor="text1"/>
        </w:rPr>
        <w:t>also recognised</w:t>
      </w:r>
      <w:r w:rsidRPr="002B3D8A">
        <w:rPr>
          <w:rFonts w:ascii="Arial" w:hAnsi="Arial" w:cs="Arial"/>
          <w:color w:val="000000" w:themeColor="text1"/>
        </w:rPr>
        <w:t xml:space="preserve"> for its beneficial agronomic properties, such as reducing soil erosion, increasing nutrient sequestration as well as being </w:t>
      </w:r>
      <w:r w:rsidR="00576699" w:rsidRPr="002B3D8A">
        <w:rPr>
          <w:rFonts w:ascii="Arial" w:hAnsi="Arial" w:cs="Arial"/>
          <w:color w:val="000000" w:themeColor="text1"/>
        </w:rPr>
        <w:t>suppressive</w:t>
      </w:r>
      <w:r w:rsidRPr="002B3D8A">
        <w:rPr>
          <w:rFonts w:ascii="Arial" w:hAnsi="Arial" w:cs="Arial"/>
          <w:color w:val="000000" w:themeColor="text1"/>
        </w:rPr>
        <w:t xml:space="preserve"> to weeds, and plant parasitic nematodes </w:t>
      </w:r>
      <w:r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{"citationItems":[{"id":"ITEM-1","itemData":{"DOI":"10.1094/PHYTO-95-1116","ISSN":"0031949X","abstract":"Cyclic hydroxamic acids are secondary metabolites found in the family Poaceae and have been implicated in the allelopathy of rye (Secale cereale). The toxicity of these compounds against plant-parasitic nematodes is unknown. DIBOA (2,4-dihydroxy-(2H)-1,4-benzoxazin-3(4H)-one), DIMBOA (2,4-hydroxy-7-methoxy- (2H)-1,4-benzoxazin-3(4H)-one), and their degradation products BOA (benzoxazolin-2(3H)-one) and MBOA (6-methoxy-benzoxazolin-2(3H)-one) were screened in vitro against Meloidogyne incognita second-stage juveniles (J2) and eggs and mixed-stages of Xiphinema americanum. Xiphinema americanum was more sensitive to DIBOA and DIMBOA than M. incognita J2, with a maximum apparent mortality of 96 and 92% compared to 73 and 72% at 90 μg/ml. Eggs of M. incognita were less sensitive to the hydroxamic acids than J2; only DIBOA resulted in a 50% reduction in egg hatch, with a lethal concentration (LC 50) of 74 μg/ml compared to 21 μg/ml for J2. When M. incognita J2 were exposed to DIBOA for 48 h and the compound was removed and replaced with water, the LC50 value increased from 21.0 to 40.7 μg/ml. MBOA was not toxic to X. americanum or M. incognita eggs, but was toxic to M. incognita J2, with LC50 values of 44 and 20 μg/ml before and after the compound was removed and replaced with water. BOA was the least toxic hydroxamic acid tested; it did not reduce M. incognita egg hatch after 1 week of exposure or increase X. americanum mortality after 24 h of exposure. While in vitro studies provide a valuable starting point in determining the toxicity of the chemical component of rye, the relevance of the data to soil remains to be determined.","author":[{"dropping-particle":"","family":"Zasada","given":"I. A.","non-dropping-particle":"","parse-names":false,"suffix":""},{"dropping-particle":"","family":"Meyer","given":"S. L.F.","non-dropping-particle":"","parse-names":false,"suffix":""},{"dropping-particle":"","family":"Halbrendt","given":"J. M.","non-dropping-particle":"","parse-names":false,"suffix":""},{"dropping-particle":"","family":"Rice","given":"C.","non-dropping-particle":"","parse-names":false,"suffix":""}],"container-title":"Phytopathology","id":"ITEM-1","issue":"10","issued":{"date-parts":[["2005"]]},"page":"1116-1121","title":"Activity of hydroxamic acids from Secale cereale against the plant-parasitic nematodes Meloidogyne incognita and Xiphinema americanum","type":"article-journal","volume":"95"},"uris":["http://www.mendeley.com/documents/?uuid=b3fe173e-b731-4ecf-be8a-244b954c39dc"]}],"mendeley":{"formattedCitation":"(Zasada &lt;i&gt;et al.&lt;/i&gt;, 2005)","plainTextFormattedCitation":"(Zasada et al., 2005)","previouslyFormattedCitation":"(Zasada &lt;i&gt;et al.&lt;/i&gt;, 2005)"},"properties":{"noteIndex":0},"schema":"https://github.com/citation-style-language/schema/raw/master/csl-citation.json"}</w:instrText>
      </w:r>
      <w:r w:rsidRPr="002B3D8A">
        <w:rPr>
          <w:rFonts w:ascii="Arial" w:hAnsi="Arial" w:cs="Arial"/>
          <w:color w:val="000000" w:themeColor="text1"/>
        </w:rPr>
        <w:fldChar w:fldCharType="separate"/>
      </w:r>
      <w:r w:rsidR="00A07F2C" w:rsidRPr="00A07F2C">
        <w:rPr>
          <w:rFonts w:ascii="Arial" w:hAnsi="Arial" w:cs="Arial"/>
          <w:noProof/>
          <w:color w:val="000000" w:themeColor="text1"/>
        </w:rPr>
        <w:t xml:space="preserve">(Zasada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2005)</w:t>
      </w:r>
      <w:r w:rsidRPr="002B3D8A">
        <w:rPr>
          <w:rFonts w:ascii="Arial" w:hAnsi="Arial" w:cs="Arial"/>
          <w:color w:val="000000" w:themeColor="text1"/>
        </w:rPr>
        <w:fldChar w:fldCharType="end"/>
      </w:r>
      <w:r w:rsidRPr="002B3D8A">
        <w:rPr>
          <w:rFonts w:ascii="Arial" w:hAnsi="Arial" w:cs="Arial"/>
          <w:color w:val="000000" w:themeColor="text1"/>
        </w:rPr>
        <w:t xml:space="preserve">. Rye is associated with the production of allelochemicals, which are detrimental to soil borne pathogens </w:t>
      </w:r>
      <w:r w:rsidR="000010C7" w:rsidRPr="002B3D8A">
        <w:rPr>
          <w:rFonts w:ascii="Arial" w:hAnsi="Arial" w:cs="Arial"/>
          <w:color w:val="000000" w:themeColor="text1"/>
        </w:rPr>
        <w:t>including PPNs</w:t>
      </w:r>
      <w:r w:rsidRPr="002B3D8A">
        <w:rPr>
          <w:rFonts w:ascii="Arial" w:hAnsi="Arial" w:cs="Arial"/>
          <w:color w:val="000000" w:themeColor="text1"/>
        </w:rPr>
        <w:t xml:space="preserve">; it produces secondary metabolites known as benzoxazinoids, which are also found in other plants belonging to </w:t>
      </w:r>
      <w:r w:rsidR="00576699" w:rsidRPr="002B3D8A">
        <w:rPr>
          <w:rFonts w:ascii="Arial" w:hAnsi="Arial" w:cs="Arial"/>
          <w:color w:val="000000" w:themeColor="text1"/>
        </w:rPr>
        <w:t>the Poaceae</w:t>
      </w:r>
      <w:r w:rsidRPr="002B3D8A">
        <w:rPr>
          <w:rFonts w:ascii="Arial" w:hAnsi="Arial" w:cs="Arial"/>
          <w:color w:val="000000" w:themeColor="text1"/>
        </w:rPr>
        <w:t xml:space="preserve">, Acanthaceae, Lamiaceae, Ranunculaceae and Scrophulariaceae. This compound is released when crops are macerated/incorporated in the soil. The compound 2,4-dihydroxy-(2H)-1,4-benzoxazin-3(4H)- one (DIBOA) and its breakdown product benzoxazolin2(3H)-one (BOA) has each been linked with allelopathy from rye </w:t>
      </w:r>
      <w:r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{"citationItems":[{"id":"ITEM-1","itemData":{"DOI":"10.1016/S1572-5995(02)80037-0","ISSN":"15725995","abstract":"Acetal glycosides of the 2-hydroxy-2H-1,4-benzoxazin-3(4H)-one skeleton are naturally occurring in Acanthaceae, Poaceae, Ranunculaceae, and Scrophulariaceae, i.e. in plants of different taxonomic positions. They act as plant own resistance factors towards pests, like microbial diseases, insects and fungi. Structurally, they are unique because only in their case a nitrogen atom is part of the aglyconic cyclohemiacetal unit. In case of a pest attack, the glycosides undergo a two step degradation, consisting in an enzymatic deglycosylation followed by a chemical ring contraction of the 1,4-benzoxazinone aglycone to form a benzoxazolinon-2(3H)-one derivative. The latter process is taking place, when plants release such aglycones into the environment by root exudation. Both series of degradation products are bioactive towards pests and can also act as allelochemicals The driving forcefor all investigations is the possibility to make agricultural use of the results in the growing of main cereals, like maize, rye, and wheat (Poaceae). A future goal consists in the gene transfer for the benzoxazinone biosynthesis into other plants of agricultural interest. A detailed overview on natural occurring benzoxazinone acetal glucosides, benzoxazinone aglycones, and benzoxazolinones is presented. Three subjects of the benzoxazinone research are especially emphasised: synthetic access to aglucones and glucosides, medical effects of structures derived from natural product leads and molecular allelopathy, i.e. detoxification strategies of plants coexisting with benzoxazinone forming species in comparison with those belonging to other plant associations. Rapidaccess to further fields of research, like biosynthesis, plant-pest interaction, and molecular mode of action is given by citation of leading references. © 2002 Elsevier B.V. All rights reserved.","author":[{"dropping-particle":"","family":"Sicker","given":"Dieter","non-dropping-particle":"","parse-names":false,"suffix":""},{"dropping-particle":"","family":"Schulz","given":"Margot","non-dropping-particle":"","parse-names":false,"suffix":""}],"container-title":"Studies in Natural Products Chemistry","id":"ITEM-1","issue":"PART H","issued":{"date-parts":[["2002"]]},"page":"185-232","title":"Benzoxazinones in plants: Occurrence, synthetic access, and biological activity","type":"article-journal","volume":"27"},"uris":["http://www.mendeley.com/documents/?uuid=16c22143-7d91-33db-a094-4ea6fb359e0d"]},{"id":"ITEM-2","itemData":{"DOI":"10.1016/s0074-7696(00)98008-2","ISSN":"00747696","PMID":"10804466","abstract":"Benzoxazinoid acetal glucosides are a unique class of natural products abundant in Gramineae, including the major agricultural crops maize, wheat, and rye. These secondary metabolites are also found in several dicotyledonous species. Benzoxazinoids serve as important factors of host plant resistance against microbial diseases and insects and as allelochemicals and endogenous ligands. Interdisciplinary investigations by biologists, biochemists, and chemists are stimulated by the intention to make agricultural use of the benzoxazinones as natural pesticides. These natural products are not only constituents of a plant defense system but also part of an active allelochemical system used in the competition with other plants. This review covers biological and chemical aspects of benzoxazinone research over the last decade with special emphasis on recent advances in the elucidation of the biosynthetic pathway. (C) 2000 Academic Press.","author":[{"dropping-particle":"","family":"Sicker","given":"Dieter","non-dropping-particle":"","parse-names":false,"suffix":""},{"dropping-particle":"","family":"Frey","given":"Monika","non-dropping-particle":"","parse-names":false,"suffix":""},{"dropping-particle":"","family":"Schulz","given":"Margot","non-dropping-particle":"","parse-names":false,"suffix":""},{"dropping-particle":"","family":"Gierl","given":"Alfons","non-dropping-particle":"","parse-names":false,"suffix":""}],"container-title":"International Review of Cytology","id":"ITEM-2","issued":{"date-parts":[["2000"]]},"page":"319-346","publisher":"Academic Press Inc.","title":"Role of natural benzoxazinones in the survival strategy of plants","type":"article","volume":"198"},"uris":["http://www.mendeley.com/documents/?uuid=c54a9b63-7377-30f2-8082-f9056a923563"]},{"id":"ITEM-3","itemData":{"DOI":"10.1007/BF01020168","ISSN":"00980331","abstract":"Two phytotoxic compounds [2,4-dihydroxy-1,4(2 H)-benzoxazin-3-one (DIBOA) and 2(3 H)-benzoxazolinone (BOA)] were previously isolated and identified in 35-day-old greenhouse-grown rye shoot tissue. Both compounds were also detected by TLC in greenhouse-grown root and fieldgrown shoot tissue. The concentration of DIBOA varied in the tissues, with the greatest quantity detected in greenhouse-grown shoots. DIBOA and BOA were compared with β-phenyllactic acid (PLA) and β-hydroxybutyric acid (HBA) for activity on seed germination and seedling growth and were consistently more toxic than either compound. Dicot species tested, including lettuce (Lactuca sativa L.), tomato (Lycopersicon esculentum Mill.), and redroot pigweed (Amaranthus retroflexus L.), were 30% more sensitive than the monocots tested. Of the two benzoxazinone compounds, DIBOA was most toxic to seedling growth. DIBOA and BOA reduced chlorophyll production in Chlamydomonas rheinhardtii Dangeard, by 50% at 7.5 × 10-5 M and 1.0 × 10-3 M, respectively. Both DIBOA and BOA inhibited emergence of barnyardgrass (Echinochloa crusgalli L. Beauv.), cress (Lepidium sativum L.), and lettuce when applied to soil, indicating their potential for allelopathic activity. © 1987 Plenum Publishing Corporation.","author":[{"dropping-particle":"","family":"Barnes","given":"Jane P.","non-dropping-particle":"","parse-names":false,"suffix":""},{"dropping-particle":"","family":"Putnam","given":"Alan R.","non-dropping-particle":"","parse-names":false,"suffix":""}],"container-title":"Journal of Chemical Ecology","id":"ITEM-3","issue":"4","issued":{"date-parts":[["1987","4"]]},"page":"889-906","publisher":"Kluwer Academic Publishers-Plenum Publishers","title":"Role of benzoxazinones in allelopathy by rye (Secale cereale L.)","type":"article-journal","volume":"13"},"uris":["http://www.mendeley.com/documents/?uuid=91818108-ff06-382a-9847-ff16d97f0069"]}],"mendeley":{"formattedCitation":"(Barnes and Putnam, 1987; Sicker &lt;i&gt;et al.&lt;/i&gt;, 2000; Sicker and Schulz, 2002)","plainTextFormattedCitation":"(Barnes and Putnam, 1987; Sicker et al., 2000; Sicker and Schulz, 2002)","previouslyFormattedCitation":"(Barnes and Putnam, 1987; Sicker &lt;i&gt;et al.&lt;/i&gt;, 2000; Sicker and Schulz, 2002)"},"properties":{"noteIndex":0},"schema":"https://github.com/citation-style-language/schema/raw/master/csl-citation.json"}</w:instrText>
      </w:r>
      <w:r w:rsidRPr="002B3D8A">
        <w:rPr>
          <w:rFonts w:ascii="Arial" w:hAnsi="Arial" w:cs="Arial"/>
          <w:color w:val="000000" w:themeColor="text1"/>
        </w:rPr>
        <w:fldChar w:fldCharType="separate"/>
      </w:r>
      <w:r w:rsidR="00A07F2C" w:rsidRPr="00A07F2C">
        <w:rPr>
          <w:rFonts w:ascii="Arial" w:hAnsi="Arial" w:cs="Arial"/>
          <w:noProof/>
          <w:color w:val="000000" w:themeColor="text1"/>
        </w:rPr>
        <w:t xml:space="preserve">(Barnes and Putnam, 1987; Sicker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2000; Sicker and Schulz, 2002)</w:t>
      </w:r>
      <w:r w:rsidRPr="002B3D8A">
        <w:rPr>
          <w:rFonts w:ascii="Arial" w:hAnsi="Arial" w:cs="Arial"/>
          <w:color w:val="000000" w:themeColor="text1"/>
        </w:rPr>
        <w:fldChar w:fldCharType="end"/>
      </w:r>
      <w:r w:rsidRPr="002B3D8A">
        <w:rPr>
          <w:rFonts w:ascii="Arial" w:hAnsi="Arial" w:cs="Arial"/>
          <w:color w:val="000000" w:themeColor="text1"/>
        </w:rPr>
        <w:t>. The benzoxazinoids DIBOA and DIMBOA occur as glucosides in intact rye. Rye has been reported to reduce gall formation by</w:t>
      </w:r>
      <w:r w:rsidRPr="002B3D8A">
        <w:rPr>
          <w:rFonts w:ascii="Arial" w:hAnsi="Arial" w:cs="Arial"/>
          <w:i/>
          <w:color w:val="000000" w:themeColor="text1"/>
        </w:rPr>
        <w:t xml:space="preserve"> Meloidogyne hapla</w:t>
      </w:r>
      <w:r w:rsidRPr="002B3D8A">
        <w:rPr>
          <w:rFonts w:ascii="Arial" w:hAnsi="Arial" w:cs="Arial"/>
          <w:color w:val="000000" w:themeColor="text1"/>
        </w:rPr>
        <w:t xml:space="preserve"> in a rye</w:t>
      </w:r>
      <w:r w:rsidR="00DF4AC2">
        <w:rPr>
          <w:rFonts w:ascii="Arial" w:hAnsi="Arial" w:cs="Arial"/>
          <w:color w:val="000000" w:themeColor="text1"/>
        </w:rPr>
        <w:t>-</w:t>
      </w:r>
      <w:r w:rsidRPr="002B3D8A">
        <w:rPr>
          <w:rFonts w:ascii="Arial" w:hAnsi="Arial" w:cs="Arial"/>
          <w:color w:val="000000" w:themeColor="text1"/>
        </w:rPr>
        <w:t xml:space="preserve">tomato </w:t>
      </w:r>
      <w:r w:rsidR="00DF4AC2">
        <w:rPr>
          <w:rFonts w:ascii="Arial" w:hAnsi="Arial" w:cs="Arial"/>
          <w:color w:val="000000" w:themeColor="text1"/>
        </w:rPr>
        <w:t xml:space="preserve">crop </w:t>
      </w:r>
      <w:r w:rsidRPr="002B3D8A">
        <w:rPr>
          <w:rFonts w:ascii="Arial" w:hAnsi="Arial" w:cs="Arial"/>
          <w:color w:val="000000" w:themeColor="text1"/>
        </w:rPr>
        <w:lastRenderedPageBreak/>
        <w:t>rotation</w:t>
      </w:r>
      <w:r w:rsidR="00833369">
        <w:rPr>
          <w:rFonts w:ascii="Arial" w:hAnsi="Arial" w:cs="Arial"/>
          <w:color w:val="000000" w:themeColor="text1"/>
        </w:rPr>
        <w:t xml:space="preserve"> </w:t>
      </w:r>
      <w:sdt>
        <w:sdtPr>
          <w:rPr>
            <w:rFonts w:ascii="Arial" w:hAnsi="Arial" w:cs="Arial"/>
            <w:color w:val="000000" w:themeColor="text1"/>
          </w:rPr>
          <w:tag w:val="MENDELEY_CITATION_92ce6f0d-74ee-4804-92eb-3fbfc83695e9"/>
          <w:id w:val="1034098028"/>
          <w:placeholder>
            <w:docPart w:val="1B2A41E8EBF8470E86B758AB7F4EEBDE"/>
          </w:placeholder>
        </w:sdtPr>
        <w:sdtEndPr/>
        <w:sdtContent>
          <w:r w:rsidRPr="002B3D8A">
            <w:rPr>
              <w:rFonts w:ascii="Arial" w:hAnsi="Arial" w:cs="Arial"/>
              <w:color w:val="000000" w:themeColor="text1"/>
            </w:rPr>
            <w:t>(Halbrendt, 1996b)</w:t>
          </w:r>
        </w:sdtContent>
      </w:sdt>
      <w:r w:rsidRPr="002B3D8A">
        <w:rPr>
          <w:rFonts w:ascii="Arial" w:hAnsi="Arial" w:cs="Arial"/>
          <w:color w:val="000000" w:themeColor="text1"/>
        </w:rPr>
        <w:t xml:space="preserve">. Production of hydroxamic acids is another mechanism of suppression that has been associated with </w:t>
      </w:r>
      <w:r w:rsidR="000010C7" w:rsidRPr="002B3D8A">
        <w:rPr>
          <w:rFonts w:ascii="Arial" w:hAnsi="Arial" w:cs="Arial"/>
          <w:color w:val="000000" w:themeColor="text1"/>
        </w:rPr>
        <w:t>rye; hydroxamic</w:t>
      </w:r>
      <w:r w:rsidRPr="002B3D8A">
        <w:rPr>
          <w:rFonts w:ascii="Arial" w:hAnsi="Arial" w:cs="Arial"/>
          <w:color w:val="000000" w:themeColor="text1"/>
        </w:rPr>
        <w:t xml:space="preserve"> acids have been shown to exhibit acute toxicity on </w:t>
      </w:r>
      <w:r w:rsidRPr="002B3D8A">
        <w:rPr>
          <w:rFonts w:ascii="Arial" w:hAnsi="Arial" w:cs="Arial"/>
          <w:i/>
          <w:color w:val="000000" w:themeColor="text1"/>
        </w:rPr>
        <w:t>Meloidogyne incognita</w:t>
      </w:r>
      <w:r w:rsidRPr="002B3D8A">
        <w:rPr>
          <w:rFonts w:ascii="Arial" w:hAnsi="Arial" w:cs="Arial"/>
          <w:color w:val="000000" w:themeColor="text1"/>
        </w:rPr>
        <w:t xml:space="preserve"> and</w:t>
      </w:r>
      <w:r w:rsidRPr="002B3D8A">
        <w:rPr>
          <w:rFonts w:ascii="Arial" w:hAnsi="Arial" w:cs="Arial"/>
          <w:i/>
          <w:color w:val="000000" w:themeColor="text1"/>
        </w:rPr>
        <w:t xml:space="preserve"> Xiphinema americanum</w:t>
      </w:r>
      <w:r w:rsidRPr="002B3D8A">
        <w:rPr>
          <w:rFonts w:ascii="Arial" w:hAnsi="Arial" w:cs="Arial"/>
          <w:color w:val="000000" w:themeColor="text1"/>
        </w:rPr>
        <w:t xml:space="preserve"> populations. In addition to these allelopathic properties, rye has been shown to exhibit antagonistic mechanisms to plants, bacterial, insects and fungi due to production of the secondary metabolites </w:t>
      </w:r>
      <w:r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{"citationItems":[{"id":"ITEM-1","itemData":{"DOI":"10.1094/PHYTO-95-1116","ISSN":"0031949X","abstract":"Cyclic hydroxamic acids are secondary metabolites found in the family Poaceae and have been implicated in the allelopathy of rye (Secale cereale). The toxicity of these compounds against plant-parasitic nematodes is unknown. DIBOA (2,4-dihydroxy-(2H)-1,4-benzoxazin-3(4H)-one), DIMBOA (2,4-hydroxy-7-methoxy- (2H)-1,4-benzoxazin-3(4H)-one), and their degradation products BOA (benzoxazolin-2(3H)-one) and MBOA (6-methoxy-benzoxazolin-2(3H)-one) were screened in vitro against Meloidogyne incognita second-stage juveniles (J2) and eggs and mixed-stages of Xiphinema americanum. Xiphinema americanum was more sensitive to DIBOA and DIMBOA than M. incognita J2, with a maximum apparent mortality of 96 and 92% compared to 73 and 72% at 90 μg/ml. Eggs of M. incognita were less sensitive to the hydroxamic acids than J2; only DIBOA resulted in a 50% reduction in egg hatch, with a lethal concentration (LC 50) of 74 μg/ml compared to 21 μg/ml for J2. When M. incognita J2 were exposed to DIBOA for 48 h and the compound was removed and replaced with water, the LC50 value increased from 21.0 to 40.7 μg/ml. MBOA was not toxic to X. americanum or M. incognita eggs, but was toxic to M. incognita J2, with LC50 values of 44 and 20 μg/ml before and after the compound was removed and replaced with water. BOA was the least toxic hydroxamic acid tested; it did not reduce M. incognita egg hatch after 1 week of exposure or increase X. americanum mortality after 24 h of exposure. While in vitro studies provide a valuable starting point in determining the toxicity of the chemical component of rye, the relevance of the data to soil remains to be determined.","author":[{"dropping-particle":"","family":"Zasada","given":"I. A.","non-dropping-particle":"","parse-names":false,"suffix":""},{"dropping-particle":"","family":"Meyer","given":"S. L.F.","non-dropping-particle":"","parse-names":false,"suffix":""},{"dropping-particle":"","family":"Halbrendt","given":"J. M.","non-dropping-particle":"","parse-names":false,"suffix":""},{"dropping-particle":"","family":"Rice","given":"C.","non-dropping-particle":"","parse-names":false,"suffix":""}],"container-title":"Phytopathology","id":"ITEM-1","issue":"10","issued":{"date-parts":[["2005"]]},"page":"1116-1121","title":"Activity of hydroxamic acids from Secale cereale against the plant-parasitic nematodes Meloidogyne incognita and Xiphinema americanum","type":"article-journal","volume":"95"},"uris":["http://www.mendeley.com/documents/?uuid=b3fe173e-b731-4ecf-be8a-244b954c39dc"]}],"mendeley":{"formattedCitation":"(Zasada &lt;i&gt;et al.&lt;/i&gt;, 2005)","plainTextFormattedCitation":"(Zasada et al., 2005)","previouslyFormattedCitation":"(Zasada &lt;i&gt;et al.&lt;/i&gt;, 2005)"},"properties":{"noteIndex":0},"schema":"https://github.com/citation-style-language/schema/raw/master/csl-citation.json"}</w:instrText>
      </w:r>
      <w:r w:rsidRPr="002B3D8A">
        <w:rPr>
          <w:rFonts w:ascii="Arial" w:hAnsi="Arial" w:cs="Arial"/>
          <w:color w:val="000000" w:themeColor="text1"/>
        </w:rPr>
        <w:fldChar w:fldCharType="separate"/>
      </w:r>
      <w:r w:rsidR="00A07F2C" w:rsidRPr="00A07F2C">
        <w:rPr>
          <w:rFonts w:ascii="Arial" w:hAnsi="Arial" w:cs="Arial"/>
          <w:noProof/>
          <w:color w:val="000000" w:themeColor="text1"/>
        </w:rPr>
        <w:t xml:space="preserve">(Zasada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2005)</w:t>
      </w:r>
      <w:r w:rsidRPr="002B3D8A">
        <w:rPr>
          <w:rFonts w:ascii="Arial" w:hAnsi="Arial" w:cs="Arial"/>
          <w:color w:val="000000" w:themeColor="text1"/>
        </w:rPr>
        <w:fldChar w:fldCharType="end"/>
      </w:r>
      <w:r w:rsidRPr="002B3D8A">
        <w:rPr>
          <w:rFonts w:ascii="Arial" w:hAnsi="Arial" w:cs="Arial"/>
          <w:color w:val="000000" w:themeColor="text1"/>
        </w:rPr>
        <w:t xml:space="preserve">. Host status studies of rye cultivars to </w:t>
      </w:r>
      <w:r w:rsidRPr="002B3D8A">
        <w:rPr>
          <w:rFonts w:ascii="Arial" w:hAnsi="Arial" w:cs="Arial"/>
          <w:i/>
          <w:color w:val="000000" w:themeColor="text1"/>
        </w:rPr>
        <w:t>Meloidogyne incognita</w:t>
      </w:r>
      <w:r w:rsidRPr="002B3D8A">
        <w:rPr>
          <w:rFonts w:ascii="Arial" w:hAnsi="Arial" w:cs="Arial"/>
          <w:color w:val="000000" w:themeColor="text1"/>
        </w:rPr>
        <w:t xml:space="preserve"> demonstrated that nematode reproduction is mostly influenced by cultivar selection and less by concentration of the benzoxazinoids, where some cultivars of rye had significantly lower nematode reproduction than others, despite having similar concentration of the compound </w:t>
      </w:r>
      <w:sdt>
        <w:sdtPr>
          <w:rPr>
            <w:rFonts w:ascii="Arial" w:hAnsi="Arial" w:cs="Arial"/>
            <w:color w:val="000000" w:themeColor="text1"/>
          </w:rPr>
          <w:tag w:val="MENDELEY_CITATION_f8b43f63-5425-4b8f-b186-436d42559386"/>
          <w:id w:val="438740970"/>
          <w:placeholder>
            <w:docPart w:val="1B2A41E8EBF8470E86B758AB7F4EEBDE"/>
          </w:placeholder>
        </w:sdtPr>
        <w:sdtEndPr/>
        <w:sdtContent>
          <w:r w:rsidRPr="002B3D8A">
            <w:rPr>
              <w:rFonts w:ascii="Arial" w:hAnsi="Arial" w:cs="Arial"/>
              <w:color w:val="000000" w:themeColor="text1"/>
            </w:rPr>
            <w:t>(Zasada et al., 2005)</w:t>
          </w:r>
        </w:sdtContent>
      </w:sdt>
      <w:r w:rsidRPr="002B3D8A">
        <w:rPr>
          <w:rFonts w:ascii="Arial" w:hAnsi="Arial" w:cs="Arial"/>
          <w:color w:val="000000" w:themeColor="text1"/>
        </w:rPr>
        <w:t xml:space="preserve">. </w:t>
      </w:r>
    </w:p>
    <w:p w14:paraId="4E69C2B5" w14:textId="278AC3E7" w:rsidR="007A5447" w:rsidRPr="002B3D8A" w:rsidRDefault="00D4255D" w:rsidP="00616CDC">
      <w:pPr>
        <w:pStyle w:val="paragraph"/>
        <w:spacing w:before="0" w:beforeAutospacing="0" w:after="0" w:afterAutospacing="0" w:line="360" w:lineRule="auto"/>
        <w:ind w:left="-426" w:right="-330"/>
        <w:jc w:val="both"/>
        <w:textAlignment w:val="baseline"/>
        <w:rPr>
          <w:rFonts w:ascii="Arial" w:hAnsi="Arial" w:cs="Arial"/>
          <w:color w:val="000000" w:themeColor="text1"/>
        </w:rPr>
      </w:pPr>
      <w:r w:rsidRPr="002B3D8A">
        <w:rPr>
          <w:rFonts w:ascii="Arial" w:hAnsi="Arial" w:cs="Arial"/>
          <w:color w:val="000000" w:themeColor="text1"/>
        </w:rPr>
        <w:t xml:space="preserve">Members of the genus </w:t>
      </w:r>
      <w:r w:rsidRPr="002B3D8A">
        <w:rPr>
          <w:rFonts w:ascii="Arial" w:hAnsi="Arial" w:cs="Arial"/>
          <w:i/>
          <w:color w:val="000000" w:themeColor="text1"/>
        </w:rPr>
        <w:t>Medicago</w:t>
      </w:r>
      <w:r w:rsidRPr="002B3D8A">
        <w:rPr>
          <w:rFonts w:ascii="Arial" w:hAnsi="Arial" w:cs="Arial"/>
          <w:color w:val="000000" w:themeColor="text1"/>
        </w:rPr>
        <w:t xml:space="preserve"> are also known to produce nematicidal compounds known as saponins. </w:t>
      </w:r>
      <w:r w:rsidRPr="002B3D8A">
        <w:rPr>
          <w:rFonts w:ascii="Arial" w:hAnsi="Arial" w:cs="Arial"/>
          <w:i/>
          <w:color w:val="000000" w:themeColor="text1"/>
        </w:rPr>
        <w:t>Medicago</w:t>
      </w:r>
      <w:r w:rsidRPr="002B3D8A">
        <w:rPr>
          <w:rFonts w:ascii="Arial" w:hAnsi="Arial" w:cs="Arial"/>
          <w:color w:val="000000" w:themeColor="text1"/>
        </w:rPr>
        <w:t xml:space="preserve"> spp. belongs to the family Fabaceae </w:t>
      </w:r>
      <w:r w:rsidR="00833369">
        <w:rPr>
          <w:rFonts w:ascii="Arial" w:hAnsi="Arial" w:cs="Arial"/>
          <w:color w:val="000000" w:themeColor="text1"/>
        </w:rPr>
        <w:t>(</w:t>
      </w:r>
      <w:r w:rsidRPr="002B3D8A">
        <w:rPr>
          <w:rFonts w:ascii="Arial" w:hAnsi="Arial" w:cs="Arial"/>
          <w:color w:val="000000" w:themeColor="text1"/>
        </w:rPr>
        <w:t xml:space="preserve">Faboideae) and is composed of 83 species most known being </w:t>
      </w:r>
      <w:r w:rsidRPr="002B3D8A">
        <w:rPr>
          <w:rFonts w:ascii="Arial" w:hAnsi="Arial" w:cs="Arial"/>
          <w:i/>
          <w:color w:val="000000" w:themeColor="text1"/>
        </w:rPr>
        <w:t>Medicago sativa</w:t>
      </w:r>
      <w:r w:rsidRPr="002B3D8A">
        <w:rPr>
          <w:rFonts w:ascii="Arial" w:hAnsi="Arial" w:cs="Arial"/>
          <w:color w:val="000000" w:themeColor="text1"/>
        </w:rPr>
        <w:t xml:space="preserve">. This genus contains diverse secondary metabolites such as alkaloids, isoflavones, naphthoquinone, coumarins and saponins. Saponins are a wide group of phytochemicals containing triterpene or steroid aglycone and are particularly abundant in members of the </w:t>
      </w:r>
      <w:r w:rsidR="00DF4AC2" w:rsidRPr="002B3D8A">
        <w:rPr>
          <w:rFonts w:ascii="Arial" w:hAnsi="Arial" w:cs="Arial"/>
          <w:color w:val="000000" w:themeColor="text1"/>
        </w:rPr>
        <w:t>Fabaceae.</w:t>
      </w:r>
      <w:r w:rsidRPr="002B3D8A">
        <w:rPr>
          <w:rFonts w:ascii="Arial" w:hAnsi="Arial" w:cs="Arial"/>
          <w:color w:val="000000" w:themeColor="text1"/>
        </w:rPr>
        <w:t xml:space="preserve"> They are made up of different glycosylated triterpenic sapogenins (aglycone moieties) such as soyasapogenols A, B and E, zahnic acid, hederagenin, bayogenin and medicagenic acid, which is the dominant sapogenin consisting of 40-70% of total aglycones, although this varies in different plant tissues </w:t>
      </w:r>
      <w:r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{"citationItems":[{"id":"ITEM-1","itemData":{"DOI":"10.1007/s11101-010-9180-2","ISSN":"15687767","abstract":"Medicago sativa L., alfalfa, is the most known plant species within the Medicago genus. The plant has been extensively studied for its content of saponins, mainly consisting of triterpene glycosides of medicagenic acid, possessing several biological properties including a biocidal activity on different soil microorganisms. Phytoparasitic nematodes are responsible for heavy economic damages to numerous agricultural crops and, due to their large distribution, they are among the most difficult crop pests to control. Attention on environmental safety and human and animal health has led to the progressive dismission of many synthetic formulations for the control of those pests and to the search of alternative strategies, including the use of natural metabolites from plants. Saponins from M. sativa may be good candidates for natural nematicide formulations, as in our in vitro studies the saponin mixtures from M. sativa tissues have been found effective in vitro against the virus-vector nematode Xiphinema index, the root-knot nematode Meloidogyne incognita and the potato cyst parasite, Globodera rostochiensis. A structure-activity relationship among saponins and related prosapogenins and sapogenin, respectively, has also been analyzed. The nematicidal efficacy differed among the three assayed nematode species, G. rostochiensis being the most susceptible to the active compounds from alfalfa. The in vitro results were also confirmed by experiments in potting mixes infested by M. incognita or G. rostochiensis and amended with dry top and root material from M. sativa, and in field trials on M. incognita and carrot cyst nematode Heterodera carotae with M. sativa pelleted meal. All amendments reduced root and soil population densities of target nematode species compared to non-treated and chemical controls, with a general improvement of plant growth and yield performances. © Springer Science+Business Media B.V. 2010.","author":[{"dropping-particle":"","family":"D'Addabbo","given":"T.","non-dropping-particle":"","parse-names":false,"suffix":""},{"dropping-particle":"","family":"Carbonara","given":"T.","non-dropping-particle":"","parse-names":false,"suffix":""},{"dropping-particle":"","family":"Leonetti","given":"P.","non-dropping-particle":"","parse-names":false,"suffix":""},{"dropping-particle":"","family":"Radicci","given":"V.","non-dropping-particle":"","parse-names":false,"suffix":""},{"dropping-particle":"","family":"Tava","given":"A.","non-dropping-particle":"","parse-names":false,"suffix":""},{"dropping-particle":"","family":"Avato","given":"P.","non-dropping-particle":"","parse-names":false,"suffix":""}],"container-title":"Phytochemistry Reviews","id":"ITEM-1","issue":"4","issued":{"date-parts":[["2011","12"]]},"page":"503-519","title":"Control of plant parasitic nematodes with active saponins and biomass from Medicago sativa","type":"article-journal","volume":"10"},"uris":["http://www.mendeley.com/documents/?uuid=9374f7cf-3340-3596-9d33-a6f5674e5323"]}],"mendeley":{"formattedCitation":"(D’Addabbo &lt;i&gt;et al.&lt;/i&gt;, 2011)","plainTextFormattedCitation":"(D’Addabbo et al., 2011)","previouslyFormattedCitation":"(D’Addabbo &lt;i&gt;et al.&lt;/i&gt;, 2011)"},"properties":{"noteIndex":0},"schema":"https://github.com/citation-style-language/schema/raw/master/csl-citation.json"}</w:instrText>
      </w:r>
      <w:r w:rsidRPr="002B3D8A">
        <w:rPr>
          <w:rFonts w:ascii="Arial" w:hAnsi="Arial" w:cs="Arial"/>
          <w:color w:val="000000" w:themeColor="text1"/>
        </w:rPr>
        <w:fldChar w:fldCharType="separate"/>
      </w:r>
      <w:r w:rsidR="00A07F2C" w:rsidRPr="00A07F2C">
        <w:rPr>
          <w:rFonts w:ascii="Arial" w:hAnsi="Arial" w:cs="Arial"/>
          <w:noProof/>
          <w:color w:val="000000" w:themeColor="text1"/>
        </w:rPr>
        <w:t xml:space="preserve">(D’Addabbo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2011)</w:t>
      </w:r>
      <w:r w:rsidRPr="002B3D8A">
        <w:rPr>
          <w:rFonts w:ascii="Arial" w:hAnsi="Arial" w:cs="Arial"/>
          <w:color w:val="000000" w:themeColor="text1"/>
        </w:rPr>
        <w:fldChar w:fldCharType="end"/>
      </w:r>
      <w:r w:rsidRPr="002B3D8A">
        <w:rPr>
          <w:rFonts w:ascii="Arial" w:hAnsi="Arial" w:cs="Arial"/>
          <w:color w:val="000000" w:themeColor="text1"/>
        </w:rPr>
        <w:t xml:space="preserve">. Medicagenic and zahnic acid are the two main aglycones found in </w:t>
      </w:r>
      <w:r w:rsidRPr="002B3D8A">
        <w:rPr>
          <w:rFonts w:ascii="Arial" w:hAnsi="Arial" w:cs="Arial"/>
          <w:i/>
          <w:color w:val="000000" w:themeColor="text1"/>
        </w:rPr>
        <w:t>M. sativa</w:t>
      </w:r>
      <w:r w:rsidRPr="002B3D8A">
        <w:rPr>
          <w:rFonts w:ascii="Arial" w:hAnsi="Arial" w:cs="Arial"/>
          <w:color w:val="000000" w:themeColor="text1"/>
        </w:rPr>
        <w:t xml:space="preserve"> (50% and 15%, respectively) and </w:t>
      </w:r>
      <w:r w:rsidRPr="002B3D8A">
        <w:rPr>
          <w:rFonts w:ascii="Arial" w:hAnsi="Arial" w:cs="Arial"/>
          <w:i/>
          <w:color w:val="000000" w:themeColor="text1"/>
        </w:rPr>
        <w:t>M. arborea</w:t>
      </w:r>
      <w:r w:rsidRPr="002B3D8A">
        <w:rPr>
          <w:rFonts w:ascii="Arial" w:hAnsi="Arial" w:cs="Arial"/>
          <w:color w:val="000000" w:themeColor="text1"/>
        </w:rPr>
        <w:t xml:space="preserve"> (30% and 15%, respectively). Medicagenic acid is abundant in the roots of </w:t>
      </w:r>
      <w:r w:rsidRPr="002B3D8A">
        <w:rPr>
          <w:rFonts w:ascii="Arial" w:hAnsi="Arial" w:cs="Arial"/>
          <w:i/>
          <w:color w:val="000000" w:themeColor="text1"/>
        </w:rPr>
        <w:t>Medicago</w:t>
      </w:r>
      <w:r w:rsidRPr="002B3D8A">
        <w:rPr>
          <w:rFonts w:ascii="Arial" w:hAnsi="Arial" w:cs="Arial"/>
          <w:color w:val="000000" w:themeColor="text1"/>
        </w:rPr>
        <w:t xml:space="preserve"> spp., while zahnic</w:t>
      </w:r>
      <w:r w:rsidR="00833369">
        <w:rPr>
          <w:rFonts w:ascii="Arial" w:hAnsi="Arial" w:cs="Arial"/>
          <w:color w:val="000000" w:themeColor="text1"/>
        </w:rPr>
        <w:t xml:space="preserve"> acid</w:t>
      </w:r>
      <w:r w:rsidRPr="002B3D8A">
        <w:rPr>
          <w:rFonts w:ascii="Arial" w:hAnsi="Arial" w:cs="Arial"/>
          <w:color w:val="000000" w:themeColor="text1"/>
        </w:rPr>
        <w:t xml:space="preserve"> is only found in negligible amounts. Bayogenin has been mostly isolated from the shoots of</w:t>
      </w:r>
      <w:r w:rsidRPr="002B3D8A">
        <w:rPr>
          <w:rFonts w:ascii="Arial" w:hAnsi="Arial" w:cs="Arial"/>
          <w:i/>
          <w:color w:val="000000" w:themeColor="text1"/>
        </w:rPr>
        <w:t xml:space="preserve"> Medicago arborea</w:t>
      </w:r>
      <w:r w:rsidRPr="002B3D8A">
        <w:rPr>
          <w:rFonts w:ascii="Arial" w:hAnsi="Arial" w:cs="Arial"/>
          <w:color w:val="000000" w:themeColor="text1"/>
        </w:rPr>
        <w:t xml:space="preserve">. In contrast, hederagenin (35%) and bayogenin (30%) are the dominant sapogenins in both shoots and roots of </w:t>
      </w:r>
      <w:r w:rsidRPr="002B3D8A">
        <w:rPr>
          <w:rFonts w:ascii="Arial" w:hAnsi="Arial" w:cs="Arial"/>
          <w:i/>
          <w:color w:val="000000" w:themeColor="text1"/>
        </w:rPr>
        <w:t xml:space="preserve">M. arabica </w:t>
      </w:r>
      <w:r w:rsidRPr="002B3D8A">
        <w:rPr>
          <w:rFonts w:ascii="Arial" w:hAnsi="Arial" w:cs="Arial"/>
          <w:i/>
          <w:color w:val="000000" w:themeColor="text1"/>
        </w:rPr>
        <w:fldChar w:fldCharType="begin" w:fldLock="1"/>
      </w:r>
      <w:r w:rsidR="00200FF9">
        <w:rPr>
          <w:rFonts w:ascii="Arial" w:hAnsi="Arial" w:cs="Arial"/>
          <w:i/>
          <w:color w:val="000000" w:themeColor="text1"/>
        </w:rPr>
        <w:instrText>ADDIN CSL_CITATION {"citationItems":[{"id":"ITEM-1","itemData":{"DOI":"10.1002/ptr.1876","ISSN":"0951418X","PMID":"16619355","abstract":"The antimicrobial activity of saponins from Medicago sativa, M. arborea and M. arabica against a selection of medically important yeasts, Gram-positive and -negative bacteria was investigated. Structure-activity growth inhibitory effects of related prosapogenins and sapogenins are also described. Increasing antibiotic activity was observed going from the saponin extracts to the sapogenin samples, suggesting that the sugar moiety is not important for the antimicrobial efficacy. Activity was especially high against Gram-positive bacteria (Bacillus cereus, B. subtilis, Staphylococcus aureus and Enterococcus faecalis) with M. arabica being the species showing a broader spectrum of action. Discrete antifungal activity was also observed, mainly against Saccharomyces cerevisiae. The observed antimicrobial properties of M. sativa and M. arborea were related to the content of medicagenic acid, while hederagenin seems to contribute to the bioactivity of M. arabica total sapogenins. Copyright © 2006 John Wiley &amp; Sons, Ltd.","author":[{"dropping-particle":"","family":"Avato","given":"Pinarosa","non-dropping-particle":"","parse-names":false,"suffix":""},{"dropping-particle":"","family":"Bucci","given":"Rossella","non-dropping-particle":"","parse-names":false,"suffix":""},{"dropping-particle":"","family":"Tava","given":"Aldo","non-dropping-particle":"","parse-names":false,"suffix":""},{"dropping-particle":"","family":"Vitali","given":"Cesare","non-dropping-particle":"","parse-names":false,"suffix":""},{"dropping-particle":"","family":"Rosato","given":"Antonio","non-dropping-particle":"","parse-names":false,"suffix":""},{"dropping-particle":"","family":"Bialy","given":"Zbigniew","non-dropping-particle":"","parse-names":false,"suffix":""},{"dropping-particle":"","family":"Jurzysta","given":"Marian","non-dropping-particle":"","parse-names":false,"suffix":""}],"container-title":"Phytotherapy Research","id":"ITEM-1","issue":"6","issued":{"date-parts":[["2006","6"]]},"page":"454-457","title":"Antimicrobial activity of saponins from Medicago sp.: Structure-activity relationship","type":"article-journal","volume":"20"},"uris":["http://www.mendeley.com/documents/?uuid=edf3af2c-c1d0-3304-a41b-32690346d6b8"]}],"mendeley":{"formattedCitation":"(Avato &lt;i&gt;et al.&lt;/i&gt;, 2006)","plainTextFormattedCitation":"(Avato et al., 2006)","previouslyFormattedCitation":"(Avato &lt;i&gt;et al.&lt;/i&gt;, 2006)"},"properties":{"noteIndex":0},"schema":"https://github.com/citation-style-language/schema/raw/master/csl-citation.json"}</w:instrText>
      </w:r>
      <w:r w:rsidRPr="002B3D8A">
        <w:rPr>
          <w:rFonts w:ascii="Arial" w:hAnsi="Arial" w:cs="Arial"/>
          <w:i/>
          <w:color w:val="000000" w:themeColor="text1"/>
        </w:rPr>
        <w:fldChar w:fldCharType="separate"/>
      </w:r>
      <w:r w:rsidR="00A07F2C" w:rsidRPr="00A07F2C">
        <w:rPr>
          <w:rFonts w:ascii="Arial" w:hAnsi="Arial" w:cs="Arial"/>
          <w:noProof/>
          <w:color w:val="000000" w:themeColor="text1"/>
        </w:rPr>
        <w:t xml:space="preserve">(Avato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2006)</w:t>
      </w:r>
      <w:r w:rsidRPr="002B3D8A">
        <w:rPr>
          <w:rFonts w:ascii="Arial" w:hAnsi="Arial" w:cs="Arial"/>
          <w:i/>
          <w:color w:val="000000" w:themeColor="text1"/>
        </w:rPr>
        <w:fldChar w:fldCharType="end"/>
      </w:r>
      <w:r w:rsidRPr="002B3D8A">
        <w:rPr>
          <w:rFonts w:ascii="Arial" w:hAnsi="Arial" w:cs="Arial"/>
          <w:i/>
          <w:color w:val="000000" w:themeColor="text1"/>
        </w:rPr>
        <w:t xml:space="preserve">. </w:t>
      </w:r>
      <w:r w:rsidRPr="002B3D8A">
        <w:rPr>
          <w:rFonts w:ascii="Arial" w:hAnsi="Arial" w:cs="Arial"/>
          <w:color w:val="000000" w:themeColor="text1"/>
        </w:rPr>
        <w:t xml:space="preserve">In studies investigating antimicrobial activity of saponins, it was concluded that medicagenic acid and hederagenin possibly contribute to the activity detected in </w:t>
      </w:r>
      <w:r w:rsidRPr="002B3D8A">
        <w:rPr>
          <w:rFonts w:ascii="Arial" w:hAnsi="Arial" w:cs="Arial"/>
          <w:i/>
          <w:color w:val="000000" w:themeColor="text1"/>
        </w:rPr>
        <w:t>M. sativa</w:t>
      </w:r>
      <w:r w:rsidRPr="002B3D8A">
        <w:rPr>
          <w:rFonts w:ascii="Arial" w:hAnsi="Arial" w:cs="Arial"/>
          <w:color w:val="000000" w:themeColor="text1"/>
        </w:rPr>
        <w:t xml:space="preserve"> , </w:t>
      </w:r>
      <w:r w:rsidRPr="002B3D8A">
        <w:rPr>
          <w:rFonts w:ascii="Arial" w:hAnsi="Arial" w:cs="Arial"/>
          <w:i/>
          <w:color w:val="000000" w:themeColor="text1"/>
        </w:rPr>
        <w:t>M. arborea</w:t>
      </w:r>
      <w:r w:rsidRPr="002B3D8A">
        <w:rPr>
          <w:rFonts w:ascii="Arial" w:hAnsi="Arial" w:cs="Arial"/>
          <w:color w:val="000000" w:themeColor="text1"/>
        </w:rPr>
        <w:t xml:space="preserve"> and </w:t>
      </w:r>
      <w:r w:rsidRPr="002B3D8A">
        <w:rPr>
          <w:rFonts w:ascii="Arial" w:hAnsi="Arial" w:cs="Arial"/>
          <w:i/>
          <w:color w:val="000000" w:themeColor="text1"/>
        </w:rPr>
        <w:t>M. arabica,</w:t>
      </w:r>
      <w:r w:rsidRPr="002B3D8A">
        <w:rPr>
          <w:rFonts w:ascii="Arial" w:hAnsi="Arial" w:cs="Arial"/>
          <w:color w:val="000000" w:themeColor="text1"/>
        </w:rPr>
        <w:t xml:space="preserve"> respectively against medically important yeasts and Gram-positive and Gram-negative bacteria </w:t>
      </w:r>
      <w:r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{"citationItems":[{"id":"ITEM-1","itemData":{"DOI":"10.1002/ptr.1876","ISSN":"0951418X","PMID":"16619355","abstract":"The antimicrobial activity of saponins from Medicago sativa, M. arborea and M. arabica against a selection of medically important yeasts, Gram-positive and -negative bacteria was investigated. Structure-activity growth inhibitory effects of related prosapogenins and sapogenins are also described. Increasing antibiotic activity was observed going from the saponin extracts to the sapogenin samples, suggesting that the sugar moiety is not important for the antimicrobial efficacy. Activity was especially high against Gram-positive bacteria (Bacillus cereus, B. subtilis, Staphylococcus aureus and Enterococcus faecalis) with M. arabica being the species showing a broader spectrum of action. Discrete antifungal activity was also observed, mainly against Saccharomyces cerevisiae. The observed antimicrobial properties of M. sativa and M. arborea were related to the content of medicagenic acid, while hederagenin seems to contribute to the bioactivity of M. arabica total sapogenins. Copyright © 2006 John Wiley &amp; Sons, Ltd.","author":[{"dropping-particle":"","family":"Avato","given":"Pinarosa","non-dropping-particle":"","parse-names":false,"suffix":""},{"dropping-particle":"","family":"Bucci","given":"Rossella","non-dropping-particle":"","parse-names":false,"suffix":""},{"dropping-particle":"","family":"Tava","given":"Aldo","non-dropping-particle":"","parse-names":false,"suffix":""},{"dropping-particle":"","family":"Vitali","given":"Cesare","non-dropping-particle":"","parse-names":false,"suffix":""},{"dropping-particle":"","family":"Rosato","given":"Antonio","non-dropping-particle":"","parse-names":false,"suffix":""},{"dropping-particle":"","family":"Bialy","given":"Zbigniew","non-dropping-particle":"","parse-names":false,"suffix":""},{"dropping-particle":"","family":"Jurzysta","given":"Marian","non-dropping-particle":"","parse-names":false,"suffix":""}],"container-title":"Phytotherapy Research","id":"ITEM-1","issue":"6","issued":{"date-parts":[["2006","6"]]},"page":"454-457","title":"Antimicrobial activity of saponins from Medicago sp.: Structure-activity relationship","type":"article-journal","volume":"20"},"uris":["http://www.mendeley.com/documents/?uuid=edf3af2c-c1d0-3304-a41b-32690346d6b8"]}],"mendeley":{"formattedCitation":"(Avato &lt;i&gt;et al.&lt;/i&gt;, 2006)","plainTextFormattedCitation":"(Avato et al., 2006)","previouslyFormattedCitation":"(Avato &lt;i&gt;et al.&lt;/i&gt;, 2006)"},"properties":{"noteIndex":0},"schema":"https://github.com/citation-style-language/schema/raw/master/csl-citation.json"}</w:instrText>
      </w:r>
      <w:r w:rsidRPr="002B3D8A">
        <w:rPr>
          <w:rFonts w:ascii="Arial" w:hAnsi="Arial" w:cs="Arial"/>
          <w:color w:val="000000" w:themeColor="text1"/>
        </w:rPr>
        <w:fldChar w:fldCharType="separate"/>
      </w:r>
      <w:r w:rsidR="00A07F2C" w:rsidRPr="00A07F2C">
        <w:rPr>
          <w:rFonts w:ascii="Arial" w:hAnsi="Arial" w:cs="Arial"/>
          <w:noProof/>
          <w:color w:val="000000" w:themeColor="text1"/>
        </w:rPr>
        <w:t xml:space="preserve">(Avato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2006)</w:t>
      </w:r>
      <w:r w:rsidRPr="002B3D8A">
        <w:rPr>
          <w:rFonts w:ascii="Arial" w:hAnsi="Arial" w:cs="Arial"/>
          <w:color w:val="000000" w:themeColor="text1"/>
        </w:rPr>
        <w:fldChar w:fldCharType="end"/>
      </w:r>
      <w:r w:rsidRPr="002B3D8A">
        <w:rPr>
          <w:rFonts w:ascii="Arial" w:hAnsi="Arial" w:cs="Arial"/>
          <w:color w:val="000000" w:themeColor="text1"/>
        </w:rPr>
        <w:t>.</w:t>
      </w:r>
    </w:p>
    <w:p w14:paraId="2085FAA1" w14:textId="1553FB7D" w:rsidR="007A5447" w:rsidRPr="002B3D8A" w:rsidRDefault="00D4255D" w:rsidP="00616CDC">
      <w:pPr>
        <w:pStyle w:val="paragraph"/>
        <w:spacing w:before="0" w:beforeAutospacing="0" w:after="0" w:afterAutospacing="0" w:line="360" w:lineRule="auto"/>
        <w:ind w:left="-426" w:right="-330"/>
        <w:jc w:val="both"/>
        <w:textAlignment w:val="baseline"/>
        <w:rPr>
          <w:rFonts w:ascii="Arial" w:hAnsi="Arial" w:cs="Arial"/>
          <w:color w:val="000000" w:themeColor="text1"/>
        </w:rPr>
      </w:pPr>
      <w:r w:rsidRPr="002B3D8A">
        <w:rPr>
          <w:rFonts w:ascii="Arial" w:hAnsi="Arial" w:cs="Arial"/>
          <w:color w:val="000000" w:themeColor="text1"/>
        </w:rPr>
        <w:t>Structurally, saponins may have one (monodesmosidic) or more sugar chains (bi-, tridesmosidic), linear or branched, linked to the aglycone mo</w:t>
      </w:r>
      <w:r w:rsidR="00833369">
        <w:rPr>
          <w:rFonts w:ascii="Arial" w:hAnsi="Arial" w:cs="Arial"/>
          <w:color w:val="000000" w:themeColor="text1"/>
        </w:rPr>
        <w:t>i</w:t>
      </w:r>
      <w:r w:rsidRPr="002B3D8A">
        <w:rPr>
          <w:rFonts w:ascii="Arial" w:hAnsi="Arial" w:cs="Arial"/>
          <w:color w:val="000000" w:themeColor="text1"/>
        </w:rPr>
        <w:t xml:space="preserve">ety (sapogenin) on an ether or ester bond. Their occurrence in different plants is correlated to the structural type, where steroidal saponins are found in monocots </w:t>
      </w:r>
      <w:r w:rsidR="00833369">
        <w:rPr>
          <w:rFonts w:ascii="Arial" w:hAnsi="Arial" w:cs="Arial"/>
          <w:color w:val="000000" w:themeColor="text1"/>
        </w:rPr>
        <w:t>and</w:t>
      </w:r>
      <w:r w:rsidR="00833369" w:rsidRPr="002B3D8A">
        <w:rPr>
          <w:rFonts w:ascii="Arial" w:hAnsi="Arial" w:cs="Arial"/>
          <w:color w:val="000000" w:themeColor="text1"/>
        </w:rPr>
        <w:t xml:space="preserve"> </w:t>
      </w:r>
      <w:r w:rsidRPr="002B3D8A">
        <w:rPr>
          <w:rFonts w:ascii="Arial" w:hAnsi="Arial" w:cs="Arial"/>
          <w:color w:val="000000" w:themeColor="text1"/>
        </w:rPr>
        <w:t xml:space="preserve">triterpenoid saponins are found in dicots </w:t>
      </w:r>
      <w:r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{"citationItems":[{"id":"ITEM-1","itemData":{"DOI":"10.1007/s11101-010-9180-2","ISSN":"15687767","abstract":"Medicago sativa L., alfalfa, is the most known plant species within the Medicago genus. The plant has been extensively studied for its content of saponins, mainly consisting of triterpene glycosides of medicagenic acid, possessing several biological properties including a biocidal activity on different soil microorganisms. Phytoparasitic nematodes are responsible for heavy economic damages to numerous agricultural crops and, due to their large distribution, they are among the most difficult crop pests to control. Attention on environmental safety and human and animal health has led to the progressive dismission of many synthetic formulations for the control of those pests and to the search of alternative strategies, including the use of natural metabolites from plants. Saponins from M. sativa may be good candidates for natural nematicide formulations, as in our in vitro studies the saponin mixtures from M. sativa tissues have been found effective in vitro against the virus-vector nematode Xiphinema index, the root-knot nematode Meloidogyne incognita and the potato cyst parasite, Globodera rostochiensis. A structure-activity relationship among saponins and related prosapogenins and sapogenin, respectively, has also been analyzed. The nematicidal efficacy differed among the three assayed nematode species, G. rostochiensis being the most susceptible to the active compounds from alfalfa. The in vitro results were also confirmed by experiments in potting mixes infested by M. incognita or G. rostochiensis and amended with dry top and root material from M. sativa, and in field trials on M. incognita and carrot cyst nematode Heterodera carotae with M. sativa pelleted meal. All amendments reduced root and soil population densities of target nematode species compared to non-treated and chemical controls, with a general improvement of plant growth and yield performances. © Springer Science+Business Media B.V. 2010.","author":[{"dropping-particle":"","family":"D'Addabbo","given":"T.","non-dropping-particle":"","parse-names":false,"suffix":""},{"dropping-particle":"","family":"Carbonara","given":"T.","non-dropping-particle":"","parse-names":false,"suffix":""},{"dropping-particle":"","family":"Leonetti","given":"P.","non-dropping-particle":"","parse-names":false,"suffix":""},{"dropping-particle":"","family":"Radicci","given":"V.","non-dropping-particle":"","parse-names":false,"suffix":""},{"dropping-particle":"","family":"Tava","given":"A.","non-dropping-particle":"","parse-names":false,"suffix":""},{"dropping-particle":"","family":"Avato","given":"P.","non-dropping-particle":"","parse-names":false,"suffix":""}],"container-title":"Phytochemistry Reviews","id":"ITEM-1","issue":"4","issued":{"date-parts":[["2011","12"]]},"page":"503-519","title":"Control of plant parasitic nematodes with active saponins and biomass from Medicago sativa","type":"article-journal","volume":"10"},"uris":["http://www.mendeley.com/documents/?uuid=6764ba7a-d747-392a-97b3-0faa14a9250d"]}],"mendeley":{"formattedCitation":"(D’Addabbo &lt;i&gt;et al.&lt;/i&gt;, 2011)","plainTextFormattedCitation":"(D’Addabbo et al., 2011)","previouslyFormattedCitation":"(D’Addabbo &lt;i&gt;et al.&lt;/i&gt;, 2011)"},"properties":{"noteIndex":0},"schema":"https://github.com/citation-style-language/schema/raw/master/csl-citation.json"}</w:instrText>
      </w:r>
      <w:r w:rsidRPr="002B3D8A">
        <w:rPr>
          <w:rFonts w:ascii="Arial" w:hAnsi="Arial" w:cs="Arial"/>
          <w:color w:val="000000" w:themeColor="text1"/>
        </w:rPr>
        <w:fldChar w:fldCharType="separate"/>
      </w:r>
      <w:r w:rsidR="00A07F2C" w:rsidRPr="00A07F2C">
        <w:rPr>
          <w:rFonts w:ascii="Arial" w:hAnsi="Arial" w:cs="Arial"/>
          <w:noProof/>
          <w:color w:val="000000" w:themeColor="text1"/>
        </w:rPr>
        <w:t xml:space="preserve">(D’Addabbo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2011)</w:t>
      </w:r>
      <w:r w:rsidRPr="002B3D8A">
        <w:rPr>
          <w:rFonts w:ascii="Arial" w:hAnsi="Arial" w:cs="Arial"/>
          <w:color w:val="000000" w:themeColor="text1"/>
        </w:rPr>
        <w:fldChar w:fldCharType="end"/>
      </w:r>
      <w:r w:rsidRPr="002B3D8A">
        <w:rPr>
          <w:rFonts w:ascii="Arial" w:hAnsi="Arial" w:cs="Arial"/>
          <w:color w:val="000000" w:themeColor="text1"/>
        </w:rPr>
        <w:t xml:space="preserve">. The specific mode of action of saponins in </w:t>
      </w:r>
      <w:r w:rsidRPr="002B3D8A">
        <w:rPr>
          <w:rFonts w:ascii="Arial" w:hAnsi="Arial" w:cs="Arial"/>
          <w:i/>
          <w:color w:val="000000" w:themeColor="text1"/>
        </w:rPr>
        <w:t>Medicago</w:t>
      </w:r>
      <w:r w:rsidRPr="002B3D8A">
        <w:rPr>
          <w:rFonts w:ascii="Arial" w:hAnsi="Arial" w:cs="Arial"/>
          <w:color w:val="000000" w:themeColor="text1"/>
        </w:rPr>
        <w:t xml:space="preserve"> spp. has not </w:t>
      </w:r>
      <w:r w:rsidRPr="002B3D8A">
        <w:rPr>
          <w:rFonts w:ascii="Arial" w:hAnsi="Arial" w:cs="Arial"/>
          <w:color w:val="000000" w:themeColor="text1"/>
        </w:rPr>
        <w:lastRenderedPageBreak/>
        <w:t xml:space="preserve">been widely studied but they have been regarded as resistance factors in </w:t>
      </w:r>
      <w:r w:rsidR="007D719C" w:rsidRPr="002B3D8A">
        <w:rPr>
          <w:rFonts w:ascii="Arial" w:hAnsi="Arial" w:cs="Arial"/>
          <w:color w:val="000000" w:themeColor="text1"/>
        </w:rPr>
        <w:t>defence</w:t>
      </w:r>
      <w:r w:rsidRPr="002B3D8A">
        <w:rPr>
          <w:rFonts w:ascii="Arial" w:hAnsi="Arial" w:cs="Arial"/>
          <w:color w:val="000000" w:themeColor="text1"/>
        </w:rPr>
        <w:t xml:space="preserve"> mechanism against pathogens </w:t>
      </w:r>
      <w:r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{"citationItems":[{"id":"ITEM-1","itemData":{"DOI":"10.3390/plants9040443","ISSN":"22237747","abstract":"Content of bioactive saponins of Medicago species suggests that they may also exert, as previously demonstrated on M. sativa, nematicidal properties exploitable for the formulation of new products for sustainable phytoparasitic nematode management. This study was addressed to highlight the bioactivity of saponins from five different Medicago species still poorly known for their biological efficacy, i.e., M. heyniana, M. hybrida, M. lupulina, M. murex and M. truncatula, against the plant parasitic nematodes Meloidogyne incognita, Xiphinema index and Globodera rostochiensis. The bioactivity of the extracts from the five Medicago species was assessed by in vitro assays on the juveniles (J2) and eggs of M. incognita and G. rostochiensis and the adult females of X. index. The suppressiveness to M. incognita of soil treatments with the Medicago plant biomasses was also investigated in a tomato experiment. The nematicidal activity of the five Medicago species was reported and discussed in relation to their phytochemical profile.","author":[{"dropping-particle":"","family":"D’Addabbo","given":"Trifone","non-dropping-particle":"","parse-names":false,"suffix":""},{"dropping-particle":"","family":"Argentieri","given":"Maria Pia","non-dropping-particle":"","parse-names":false,"suffix":""},{"dropping-particle":"","family":"Żuchowski","given":"Jerzy","non-dropping-particle":"","parse-names":false,"suffix":""},{"dropping-particle":"","family":"Biazzi","given":"Elisa","non-dropping-particle":"","parse-names":false,"suffix":""},{"dropping-particle":"","family":"Tava","given":"Aldo","non-dropping-particle":"","parse-names":false,"suffix":""},{"dropping-particle":"","family":"Oleszek","given":"Wieslaw","non-dropping-particle":"","parse-names":false,"suffix":""},{"dropping-particle":"","family":"Avato","given":"Pinarosa","non-dropping-particle":"","parse-names":false,"suffix":""}],"container-title":"Plants","id":"ITEM-1","issue":"4","issued":{"date-parts":[["2020","4","1"]]},"page":"443","publisher":"MDPI AG","title":"Activity of saponins from Medicago species against phytoparasitic nematodes","type":"article-journal","volume":"9"},"uris":["http://www.mendeley.com/documents/?uuid=76dc6786-66fb-339b-b6b7-06677f6a5e12"]}],"mendeley":{"formattedCitation":"(D’Addabbo &lt;i&gt;et al.&lt;/i&gt;, 2020)","plainTextFormattedCitation":"(D’Addabbo et al., 2020)","previouslyFormattedCitation":"(D’Addabbo &lt;i&gt;et al.&lt;/i&gt;, 2020)"},"properties":{"noteIndex":0},"schema":"https://github.com/citation-style-language/schema/raw/master/csl-citation.json"}</w:instrText>
      </w:r>
      <w:r w:rsidRPr="002B3D8A">
        <w:rPr>
          <w:rFonts w:ascii="Arial" w:hAnsi="Arial" w:cs="Arial"/>
          <w:color w:val="000000" w:themeColor="text1"/>
        </w:rPr>
        <w:fldChar w:fldCharType="separate"/>
      </w:r>
      <w:r w:rsidR="00A07F2C" w:rsidRPr="00A07F2C">
        <w:rPr>
          <w:rFonts w:ascii="Arial" w:hAnsi="Arial" w:cs="Arial"/>
          <w:noProof/>
          <w:color w:val="000000" w:themeColor="text1"/>
        </w:rPr>
        <w:t xml:space="preserve">(D’Addabbo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2020)</w:t>
      </w:r>
      <w:r w:rsidRPr="002B3D8A">
        <w:rPr>
          <w:rFonts w:ascii="Arial" w:hAnsi="Arial" w:cs="Arial"/>
          <w:color w:val="000000" w:themeColor="text1"/>
        </w:rPr>
        <w:fldChar w:fldCharType="end"/>
      </w:r>
      <w:r w:rsidRPr="002B3D8A">
        <w:rPr>
          <w:rFonts w:ascii="Arial" w:hAnsi="Arial" w:cs="Arial"/>
          <w:color w:val="000000" w:themeColor="text1"/>
        </w:rPr>
        <w:t xml:space="preserve">. In  other studies, the biological effects of saponins have been attributed to the interference with the cell permeability of organisms as they have specific interactions with the cell membrane </w:t>
      </w:r>
      <w:r w:rsidRPr="002B3D8A">
        <w:rPr>
          <w:rFonts w:ascii="Arial" w:hAnsi="Arial" w:cs="Arial"/>
          <w:color w:val="000000" w:themeColor="text1"/>
        </w:rPr>
        <w:fldChar w:fldCharType="begin" w:fldLock="1"/>
      </w:r>
      <w:r w:rsidR="00E13293">
        <w:rPr>
          <w:rFonts w:ascii="Arial" w:hAnsi="Arial" w:cs="Arial"/>
          <w:color w:val="000000" w:themeColor="text1"/>
        </w:rPr>
        <w:instrText>ADDIN CSL_CITATION {"citationItems":[{"id":"ITEM-1","itemData":{"DOI":"10.1177/1934578x0600101217","ISSN":"15559475","abstract":"Naturally occurring saponins are a large group of triterpene and steroid glycosides characterized by several biological and pharmacological properties. The Medicago genus represents a valuable source of saponins which have been extensively investigated. This review summarizes the chemical features of saponins from Medicago species and their biological activity, with particular attention to their antimicrobial, insecticidal, allelopathic and cytotoxic effects. Influence of saponins on animal metabolism is also reported.","author":[{"dropping-particle":"","family":"Tava","given":"Aldo","non-dropping-particle":"","parse-names":false,"suffix":""},{"dropping-particle":"","family":"Avato","given":"Pinarosa","non-dropping-particle":"","parse-names":false,"suffix":""}],"container-title":"Natural Product Communications","id":"ITEM-1","issue":"12","issued":{"date-parts":[["2006"]]},"page":"1159-1180","publisher":"Natural Product Incorporation","title":"Chemical and biological activity of triterpene saponins from medicago species","type":"article-journal","volume":"1"},"uris":["http://www.mendeley.com/documents/?uuid=2bbc06ed-cdff-345c-b707-d05b8aee6f67"]}],"mendeley":{"formattedCitation":"(Tava and Avato, 2006)","plainTextFormattedCitation":"(Tava and Avato, 2006)","previouslyFormattedCitation":"(Tava and Avato, 2006)"},"properties":{"noteIndex":0},"schema":"https://github.com/citation-style-language/schema/raw/master/csl-citation.json"}</w:instrText>
      </w:r>
      <w:r w:rsidRPr="002B3D8A">
        <w:rPr>
          <w:rFonts w:ascii="Arial" w:hAnsi="Arial" w:cs="Arial"/>
          <w:color w:val="000000" w:themeColor="text1"/>
        </w:rPr>
        <w:fldChar w:fldCharType="separate"/>
      </w:r>
      <w:r w:rsidR="00E13293" w:rsidRPr="00E13293">
        <w:rPr>
          <w:rFonts w:ascii="Arial" w:hAnsi="Arial" w:cs="Arial"/>
          <w:noProof/>
          <w:color w:val="000000" w:themeColor="text1"/>
        </w:rPr>
        <w:t>(Tava and Avato, 2006)</w:t>
      </w:r>
      <w:r w:rsidRPr="002B3D8A">
        <w:rPr>
          <w:rFonts w:ascii="Arial" w:hAnsi="Arial" w:cs="Arial"/>
          <w:color w:val="000000" w:themeColor="text1"/>
        </w:rPr>
        <w:fldChar w:fldCharType="end"/>
      </w:r>
      <w:r w:rsidRPr="002B3D8A">
        <w:rPr>
          <w:rFonts w:ascii="Arial" w:hAnsi="Arial" w:cs="Arial"/>
          <w:color w:val="000000" w:themeColor="text1"/>
        </w:rPr>
        <w:t>.</w:t>
      </w:r>
      <w:r w:rsidRPr="002B3D8A">
        <w:rPr>
          <w:rFonts w:ascii="Arial" w:hAnsi="Arial" w:cs="Arial"/>
          <w:color w:val="000000" w:themeColor="text1"/>
          <w:u w:val="single"/>
        </w:rPr>
        <w:t xml:space="preserve"> </w:t>
      </w:r>
      <w:r w:rsidRPr="002B3D8A">
        <w:rPr>
          <w:rFonts w:ascii="Arial" w:hAnsi="Arial" w:cs="Arial"/>
          <w:color w:val="000000" w:themeColor="text1"/>
        </w:rPr>
        <w:t xml:space="preserve">Other studies, have shown that exposure of root knot nematode eggs to saponins at different concentrations from </w:t>
      </w:r>
      <w:r w:rsidRPr="002B3D8A">
        <w:rPr>
          <w:rFonts w:ascii="Arial" w:hAnsi="Arial" w:cs="Arial"/>
          <w:i/>
          <w:color w:val="000000" w:themeColor="text1"/>
        </w:rPr>
        <w:t>Medicago sativa</w:t>
      </w:r>
      <w:r w:rsidRPr="002B3D8A">
        <w:rPr>
          <w:rFonts w:ascii="Arial" w:hAnsi="Arial" w:cs="Arial"/>
          <w:color w:val="000000" w:themeColor="text1"/>
        </w:rPr>
        <w:t xml:space="preserve">, reduced the cholesterol levels in the eggs of </w:t>
      </w:r>
      <w:r w:rsidR="007D719C" w:rsidRPr="002B3D8A">
        <w:rPr>
          <w:rFonts w:ascii="Arial" w:hAnsi="Arial" w:cs="Arial"/>
          <w:i/>
          <w:color w:val="000000" w:themeColor="text1"/>
        </w:rPr>
        <w:t>Meloidogyne</w:t>
      </w:r>
      <w:r w:rsidRPr="002B3D8A">
        <w:rPr>
          <w:rFonts w:ascii="Arial" w:hAnsi="Arial" w:cs="Arial"/>
          <w:color w:val="000000" w:themeColor="text1"/>
        </w:rPr>
        <w:t xml:space="preserve"> spp. and increased the general crop performance and growth as compared to untreated plants </w:t>
      </w:r>
      <w:r w:rsidRPr="002B3D8A">
        <w:rPr>
          <w:rFonts w:ascii="Arial" w:hAnsi="Arial" w:cs="Arial"/>
          <w:color w:val="000000" w:themeColor="text1"/>
        </w:rPr>
        <w:fldChar w:fldCharType="begin" w:fldLock="1"/>
      </w:r>
      <w:r w:rsidR="00E13293">
        <w:rPr>
          <w:rFonts w:ascii="Arial" w:hAnsi="Arial" w:cs="Arial"/>
          <w:color w:val="000000" w:themeColor="text1"/>
        </w:rPr>
        <w:instrText>ADDIN CSL_CITATION {"citationItems":[{"id":"ITEM-1","itemData":{"DOI":"10.4172/2329-6836.1000123","abstract":"Root knot nematodes Meloidogyne incognita are responsible for heavy economic losses to many agricultural crops and considered the most difficult crop pest to control. Recently attention on environmental and food safety in addition to human health has led to increase the limitations on using chemical nematocides and searching for environmental safe natural nematocides. Saponins extracted from Medicago sativa L., alfalfa was used to control the infection of tomato seedlings with root knot nematode Meloidogyne incognita. The results indicated that saponin treatments led to significant reduction in the numbers of larva of root knot nematodes in tomato roots and in soil. The highest nematode inhibition was observed in the treatment of 100% of saponin crude extracts. The observed reduction of the number of nematode larva in tomato roots and in soil were found to be correlated with the decline of cholesterol level in root knot nematode eggs which is due to saponins from Medicago sativa, in a concentration dependent manner. Also saponin treatments showed a general improvement in plant growth and performance.","author":[{"dropping-particle":"","family":"Ibrahim","given":"Mervat AR","non-dropping-particle":"","parse-names":false,"suffix":""},{"dropping-particle":"","family":"Srour","given":"Hany AM","non-dropping-particle":"","parse-names":false,"suffix":""}],"container-title":"Nat Prod Chem Res","id":"ITEM-1","issue":"1","issued":{"date-parts":[["2013"]]},"page":"123","title":"Citation: Ibrahim MAR, Srour HAM (2013) Saponins Suppress Nematode Cholesterol Biosynthesis and Inhibit Root Knot Nematode Development in Tomato Seedlings","type":"article-journal","volume":"2"},"uris":["http://www.mendeley.com/documents/?uuid=ac203c10-5be8-34c3-98e2-b35561d8beee"]}],"mendeley":{"formattedCitation":"(Ibrahim and Srour, 2013)","plainTextFormattedCitation":"(Ibrahim and Srour, 2013)","previouslyFormattedCitation":"(Ibrahim and Srour, 2013)"},"properties":{"noteIndex":0},"schema":"https://github.com/citation-style-language/schema/raw/master/csl-citation.json"}</w:instrText>
      </w:r>
      <w:r w:rsidRPr="002B3D8A">
        <w:rPr>
          <w:rFonts w:ascii="Arial" w:hAnsi="Arial" w:cs="Arial"/>
          <w:color w:val="000000" w:themeColor="text1"/>
        </w:rPr>
        <w:fldChar w:fldCharType="separate"/>
      </w:r>
      <w:r w:rsidR="00E13293" w:rsidRPr="00E13293">
        <w:rPr>
          <w:rFonts w:ascii="Arial" w:hAnsi="Arial" w:cs="Arial"/>
          <w:noProof/>
          <w:color w:val="000000" w:themeColor="text1"/>
        </w:rPr>
        <w:t>(Ibrahim and Srour, 2013)</w:t>
      </w:r>
      <w:r w:rsidRPr="002B3D8A">
        <w:rPr>
          <w:rFonts w:ascii="Arial" w:hAnsi="Arial" w:cs="Arial"/>
          <w:color w:val="000000" w:themeColor="text1"/>
        </w:rPr>
        <w:fldChar w:fldCharType="end"/>
      </w:r>
      <w:r w:rsidRPr="002B3D8A">
        <w:rPr>
          <w:rFonts w:ascii="Arial" w:hAnsi="Arial" w:cs="Arial"/>
          <w:color w:val="000000" w:themeColor="text1"/>
        </w:rPr>
        <w:t xml:space="preserve">. The biological activity of the saponins have also been related to their structural differences where monodesmosides have been shown to be more active. The aglycone and position of the sugar molecule were also said to be important determining factors in the activity and efficacy of the saponins. </w:t>
      </w:r>
    </w:p>
    <w:p w14:paraId="2E67F8CD" w14:textId="31A6A19D" w:rsidR="007A5447" w:rsidRPr="002B3D8A" w:rsidRDefault="00D4255D" w:rsidP="00616CDC">
      <w:pPr>
        <w:pStyle w:val="paragraph"/>
        <w:spacing w:before="0" w:beforeAutospacing="0" w:after="0" w:afterAutospacing="0" w:line="360" w:lineRule="auto"/>
        <w:ind w:left="-426" w:right="-330"/>
        <w:jc w:val="both"/>
        <w:textAlignment w:val="baseline"/>
        <w:rPr>
          <w:rFonts w:ascii="Arial" w:hAnsi="Arial" w:cs="Arial"/>
          <w:i/>
          <w:color w:val="000000" w:themeColor="text1"/>
        </w:rPr>
      </w:pPr>
      <w:r w:rsidRPr="002B3D8A">
        <w:rPr>
          <w:rFonts w:ascii="Arial" w:hAnsi="Arial" w:cs="Arial"/>
          <w:color w:val="000000" w:themeColor="text1"/>
        </w:rPr>
        <w:t xml:space="preserve">Saponins have been associated with reduction of juvenile motility and egg viability of root knot nematodes </w:t>
      </w:r>
      <w:r w:rsidRPr="002B3D8A">
        <w:rPr>
          <w:rFonts w:ascii="Arial" w:hAnsi="Arial" w:cs="Arial"/>
          <w:i/>
          <w:color w:val="000000" w:themeColor="text1"/>
        </w:rPr>
        <w:t>Meloidogyne incognita</w:t>
      </w:r>
      <w:r w:rsidRPr="002B3D8A">
        <w:rPr>
          <w:rFonts w:ascii="Arial" w:hAnsi="Arial" w:cs="Arial"/>
          <w:color w:val="000000" w:themeColor="text1"/>
        </w:rPr>
        <w:t xml:space="preserve">. Extracts from </w:t>
      </w:r>
      <w:r w:rsidRPr="002B3D8A">
        <w:rPr>
          <w:rFonts w:ascii="Arial" w:hAnsi="Arial" w:cs="Arial"/>
          <w:i/>
          <w:color w:val="000000" w:themeColor="text1"/>
        </w:rPr>
        <w:t xml:space="preserve">Quillaja saponaria , </w:t>
      </w:r>
      <w:r w:rsidRPr="002B3D8A">
        <w:rPr>
          <w:rFonts w:ascii="Arial" w:hAnsi="Arial" w:cs="Arial"/>
          <w:color w:val="000000" w:themeColor="text1"/>
        </w:rPr>
        <w:t>with rich saponin extracts has been shown to have nematicidal effects on the dagger nematode (</w:t>
      </w:r>
      <w:r w:rsidRPr="002B3D8A">
        <w:rPr>
          <w:rFonts w:ascii="Arial" w:hAnsi="Arial" w:cs="Arial"/>
          <w:i/>
          <w:color w:val="000000" w:themeColor="text1"/>
        </w:rPr>
        <w:t>Xiphinema index</w:t>
      </w:r>
      <w:r w:rsidRPr="002B3D8A">
        <w:rPr>
          <w:rFonts w:ascii="Arial" w:hAnsi="Arial" w:cs="Arial"/>
          <w:color w:val="000000" w:themeColor="text1"/>
        </w:rPr>
        <w:t xml:space="preserve">) and root lesion nematode </w:t>
      </w:r>
      <w:r w:rsidRPr="002B3D8A">
        <w:rPr>
          <w:rFonts w:ascii="Arial" w:hAnsi="Arial" w:cs="Arial"/>
          <w:i/>
          <w:color w:val="000000" w:themeColor="text1"/>
        </w:rPr>
        <w:t xml:space="preserve">Pratylenchus thornei, </w:t>
      </w:r>
      <w:r w:rsidRPr="002B3D8A">
        <w:rPr>
          <w:rFonts w:ascii="Arial" w:hAnsi="Arial" w:cs="Arial"/>
          <w:color w:val="000000" w:themeColor="text1"/>
        </w:rPr>
        <w:t xml:space="preserve">in </w:t>
      </w:r>
      <w:r w:rsidRPr="002B3D8A">
        <w:rPr>
          <w:rFonts w:ascii="Arial" w:hAnsi="Arial" w:cs="Arial"/>
          <w:i/>
          <w:color w:val="000000" w:themeColor="text1"/>
        </w:rPr>
        <w:t>in-vitro</w:t>
      </w:r>
      <w:r w:rsidRPr="002B3D8A">
        <w:rPr>
          <w:rFonts w:ascii="Arial" w:hAnsi="Arial" w:cs="Arial"/>
          <w:color w:val="000000" w:themeColor="text1"/>
        </w:rPr>
        <w:t xml:space="preserve"> assays </w:t>
      </w:r>
      <w:r w:rsidRPr="002B3D8A">
        <w:rPr>
          <w:rFonts w:ascii="Arial" w:hAnsi="Arial" w:cs="Arial"/>
          <w:color w:val="000000" w:themeColor="text1"/>
        </w:rPr>
        <w:fldChar w:fldCharType="begin" w:fldLock="1"/>
      </w:r>
      <w:r w:rsidR="00E13293">
        <w:rPr>
          <w:rFonts w:ascii="Arial" w:hAnsi="Arial" w:cs="Arial"/>
          <w:color w:val="000000" w:themeColor="text1"/>
        </w:rPr>
        <w:instrText>ADDIN CSL_CITATION {"citationItems":[{"id":"ITEM-1","itemData":{"DOI":"10.1163/156854105774384732","ISSN":"13885545","abstract":"Aqueous extracts of the tree Quillaja saponaria Molina, containing triterpenoid saponins, polyphenols, salts and sugars, were tested against the most important plant-parasitic nematodes present in Chile: Xiphinema index, X. americanum s.l., Meloidogyne hapla, M. ethiopica, Pratylenchus thornei, Tylenchorhynchus sp., Criconemoides xenoplax and Helicotylenchus sp. Three different products were tested in the laboratory: i) QL 1000® (whole extract containing saponin and non-saponin fractions); ii) QL ULTRA® (saponin fraction); and iii) QL NS® (non-saponin fraction). The results showed that QL 1000® had important nematicidal effects at economically attractive doses (e.g., 100 ppm). When used separately, QL ULTRA® and QL NS® had minimum nematicidal effects. However, the combined use of both products gave similar results to QL 1000®, suggesting a synergy between the saponin and non-saponin fractions. Based on this, QL 1000® was tested in commercial vineyards and table grapes in the Central region of Chile. The use of 30 1 ha-1 showed a similar control and fruit yields to synthetic chemical nematicides. © Koninklijke Brill NV, 2005.","author":[{"dropping-particle":"","family":"Martín","given":"Ricardo San","non-dropping-particle":"","parse-names":false,"suffix":""},{"dropping-particle":"","family":"Magunacelaya","given":"Juan Carlos","non-dropping-particle":"","parse-names":false,"suffix":""}],"container-title":"Nematology","id":"ITEM-1","issue":"4","issued":{"date-parts":[["2005","7"]]},"page":"577-585","title":"Control of plant-parasitic nematodes with extracts of Quillaja saponaria","type":"article-journal","volume":"7"},"uris":["http://www.mendeley.com/documents/?uuid=5852c874-dbc1-30d6-ac63-ab17c1dddb40"]}],"mendeley":{"formattedCitation":"(Martín and Magunacelaya, 2005)","plainTextFormattedCitation":"(Martín and Magunacelaya, 2005)","previouslyFormattedCitation":"(Martín and Magunacelaya, 2005)"},"properties":{"noteIndex":0},"schema":"https://github.com/citation-style-language/schema/raw/master/csl-citation.json"}</w:instrText>
      </w:r>
      <w:r w:rsidRPr="002B3D8A">
        <w:rPr>
          <w:rFonts w:ascii="Arial" w:hAnsi="Arial" w:cs="Arial"/>
          <w:color w:val="000000" w:themeColor="text1"/>
        </w:rPr>
        <w:fldChar w:fldCharType="separate"/>
      </w:r>
      <w:r w:rsidR="00E13293" w:rsidRPr="00E13293">
        <w:rPr>
          <w:rFonts w:ascii="Arial" w:hAnsi="Arial" w:cs="Arial"/>
          <w:noProof/>
          <w:color w:val="000000" w:themeColor="text1"/>
        </w:rPr>
        <w:t>(Martín and Magunacelaya, 2005)</w:t>
      </w:r>
      <w:r w:rsidRPr="002B3D8A">
        <w:rPr>
          <w:rFonts w:ascii="Arial" w:hAnsi="Arial" w:cs="Arial"/>
          <w:color w:val="000000" w:themeColor="text1"/>
        </w:rPr>
        <w:fldChar w:fldCharType="end"/>
      </w:r>
      <w:r w:rsidRPr="002B3D8A">
        <w:rPr>
          <w:rFonts w:ascii="Arial" w:hAnsi="Arial" w:cs="Arial"/>
          <w:color w:val="000000" w:themeColor="text1"/>
        </w:rPr>
        <w:t xml:space="preserve"> . In an experiment conducted to determine activity of saponins obtained from different </w:t>
      </w:r>
      <w:r w:rsidRPr="002B3D8A">
        <w:rPr>
          <w:rFonts w:ascii="Arial" w:hAnsi="Arial" w:cs="Arial"/>
          <w:i/>
          <w:color w:val="000000" w:themeColor="text1"/>
        </w:rPr>
        <w:t xml:space="preserve">Medicago </w:t>
      </w:r>
      <w:r w:rsidRPr="002B3D8A">
        <w:rPr>
          <w:rFonts w:ascii="Arial" w:hAnsi="Arial" w:cs="Arial"/>
          <w:color w:val="000000" w:themeColor="text1"/>
        </w:rPr>
        <w:t xml:space="preserve">spp, no statistical difference was observed in mortality caused by the highest concentration of saponins and the </w:t>
      </w:r>
      <w:r w:rsidR="007D719C" w:rsidRPr="002B3D8A">
        <w:rPr>
          <w:rFonts w:ascii="Arial" w:hAnsi="Arial" w:cs="Arial"/>
          <w:color w:val="000000" w:themeColor="text1"/>
        </w:rPr>
        <w:t>nematicide</w:t>
      </w:r>
      <w:r w:rsidRPr="002B3D8A">
        <w:rPr>
          <w:rFonts w:ascii="Arial" w:hAnsi="Arial" w:cs="Arial"/>
          <w:color w:val="000000" w:themeColor="text1"/>
        </w:rPr>
        <w:t xml:space="preserve"> oxamyl for </w:t>
      </w:r>
      <w:r w:rsidRPr="002B3D8A">
        <w:rPr>
          <w:rFonts w:ascii="Arial" w:hAnsi="Arial" w:cs="Arial"/>
          <w:i/>
          <w:color w:val="000000" w:themeColor="text1"/>
        </w:rPr>
        <w:t>Meloidogyne incognita</w:t>
      </w:r>
      <w:r w:rsidRPr="002B3D8A">
        <w:rPr>
          <w:rFonts w:ascii="Arial" w:hAnsi="Arial" w:cs="Arial"/>
          <w:color w:val="000000" w:themeColor="text1"/>
        </w:rPr>
        <w:t xml:space="preserve">, </w:t>
      </w:r>
      <w:r w:rsidRPr="002B3D8A">
        <w:rPr>
          <w:rFonts w:ascii="Arial" w:hAnsi="Arial" w:cs="Arial"/>
          <w:i/>
          <w:color w:val="000000" w:themeColor="text1"/>
        </w:rPr>
        <w:t>Globodera rostochiensis</w:t>
      </w:r>
      <w:r w:rsidRPr="002B3D8A">
        <w:rPr>
          <w:rFonts w:ascii="Arial" w:hAnsi="Arial" w:cs="Arial"/>
          <w:color w:val="000000" w:themeColor="text1"/>
        </w:rPr>
        <w:t xml:space="preserve"> and </w:t>
      </w:r>
      <w:r w:rsidRPr="002B3D8A">
        <w:rPr>
          <w:rFonts w:ascii="Arial" w:hAnsi="Arial" w:cs="Arial"/>
          <w:i/>
          <w:color w:val="000000" w:themeColor="text1"/>
        </w:rPr>
        <w:t>Xiphinema index.</w:t>
      </w:r>
      <w:r w:rsidRPr="002B3D8A">
        <w:rPr>
          <w:rStyle w:val="CommentReference"/>
          <w:rFonts w:ascii="Arial" w:hAnsi="Arial" w:cs="Arial"/>
          <w:color w:val="000000" w:themeColor="text1"/>
          <w:sz w:val="24"/>
          <w:szCs w:val="24"/>
        </w:rPr>
        <w:t xml:space="preserve"> </w:t>
      </w:r>
      <w:r w:rsidRPr="002B3D8A">
        <w:rPr>
          <w:rFonts w:ascii="Arial" w:hAnsi="Arial" w:cs="Arial"/>
          <w:color w:val="000000" w:themeColor="text1"/>
        </w:rPr>
        <w:t xml:space="preserve">Tests conducted using saponin extracts from different varieties of </w:t>
      </w:r>
      <w:r w:rsidRPr="002B3D8A">
        <w:rPr>
          <w:rFonts w:ascii="Arial" w:hAnsi="Arial" w:cs="Arial"/>
          <w:i/>
          <w:color w:val="000000" w:themeColor="text1"/>
        </w:rPr>
        <w:t xml:space="preserve">Medicago sativa </w:t>
      </w:r>
      <w:r w:rsidRPr="002B3D8A">
        <w:rPr>
          <w:rFonts w:ascii="Arial" w:hAnsi="Arial" w:cs="Arial"/>
          <w:color w:val="000000" w:themeColor="text1"/>
        </w:rPr>
        <w:t xml:space="preserve">were shown to be strongly active against </w:t>
      </w:r>
      <w:r w:rsidRPr="002B3D8A">
        <w:rPr>
          <w:rFonts w:ascii="Arial" w:hAnsi="Arial" w:cs="Arial"/>
          <w:i/>
          <w:color w:val="000000" w:themeColor="text1"/>
        </w:rPr>
        <w:t>Xiphinema index</w:t>
      </w:r>
      <w:r w:rsidRPr="002B3D8A">
        <w:rPr>
          <w:rFonts w:ascii="Arial" w:hAnsi="Arial" w:cs="Arial"/>
          <w:color w:val="000000" w:themeColor="text1"/>
        </w:rPr>
        <w:t xml:space="preserve"> (dagger nematode) and </w:t>
      </w:r>
      <w:r w:rsidRPr="002B3D8A">
        <w:rPr>
          <w:rFonts w:ascii="Arial" w:hAnsi="Arial" w:cs="Arial"/>
          <w:i/>
          <w:color w:val="000000" w:themeColor="text1"/>
        </w:rPr>
        <w:t>Meloidogyne incognita.</w:t>
      </w:r>
      <w:r w:rsidRPr="002B3D8A">
        <w:rPr>
          <w:rFonts w:ascii="Arial" w:hAnsi="Arial" w:cs="Arial"/>
          <w:color w:val="000000" w:themeColor="text1"/>
        </w:rPr>
        <w:t xml:space="preserve"> Mortality of </w:t>
      </w:r>
      <w:r w:rsidRPr="002B3D8A">
        <w:rPr>
          <w:rFonts w:ascii="Arial" w:hAnsi="Arial" w:cs="Arial"/>
          <w:i/>
          <w:color w:val="000000" w:themeColor="text1"/>
        </w:rPr>
        <w:t>M. incognita</w:t>
      </w:r>
      <w:r w:rsidRPr="002B3D8A">
        <w:rPr>
          <w:rFonts w:ascii="Arial" w:hAnsi="Arial" w:cs="Arial"/>
          <w:color w:val="000000" w:themeColor="text1"/>
        </w:rPr>
        <w:t xml:space="preserve"> juveniles was above 90% after 8 h exposure to an extract from </w:t>
      </w:r>
      <w:r w:rsidRPr="002B3D8A">
        <w:rPr>
          <w:rFonts w:ascii="Arial" w:hAnsi="Arial" w:cs="Arial"/>
          <w:i/>
          <w:color w:val="000000" w:themeColor="text1"/>
        </w:rPr>
        <w:t>M. Murex</w:t>
      </w:r>
      <w:r w:rsidRPr="002B3D8A">
        <w:rPr>
          <w:rFonts w:ascii="Arial" w:hAnsi="Arial" w:cs="Arial"/>
          <w:color w:val="000000" w:themeColor="text1"/>
        </w:rPr>
        <w:t xml:space="preserve"> or 16 h exposure to extracts from </w:t>
      </w:r>
      <w:r w:rsidRPr="002B3D8A">
        <w:rPr>
          <w:rFonts w:ascii="Arial" w:hAnsi="Arial" w:cs="Arial"/>
          <w:i/>
          <w:color w:val="000000" w:themeColor="text1"/>
        </w:rPr>
        <w:t>M. hybrida</w:t>
      </w:r>
      <w:r w:rsidRPr="002B3D8A">
        <w:rPr>
          <w:rFonts w:ascii="Arial" w:hAnsi="Arial" w:cs="Arial"/>
          <w:color w:val="000000" w:themeColor="text1"/>
        </w:rPr>
        <w:t xml:space="preserve">, and </w:t>
      </w:r>
      <w:r w:rsidRPr="002B3D8A">
        <w:rPr>
          <w:rFonts w:ascii="Arial" w:hAnsi="Arial" w:cs="Arial"/>
          <w:i/>
          <w:color w:val="000000" w:themeColor="text1"/>
        </w:rPr>
        <w:t>M. truncatula</w:t>
      </w:r>
      <w:r w:rsidRPr="002B3D8A">
        <w:rPr>
          <w:rFonts w:ascii="Arial" w:hAnsi="Arial" w:cs="Arial"/>
          <w:color w:val="000000" w:themeColor="text1"/>
        </w:rPr>
        <w:t xml:space="preserve"> at a concentration of 500 </w:t>
      </w:r>
      <w:bookmarkStart w:id="36" w:name="_Hlk76496062"/>
      <w:r w:rsidRPr="002B3D8A">
        <w:rPr>
          <w:rFonts w:ascii="Arial" w:hAnsi="Arial" w:cs="Arial"/>
          <w:color w:val="000000" w:themeColor="text1"/>
        </w:rPr>
        <w:t>µgmL</w:t>
      </w:r>
      <w:r w:rsidRPr="002B3D8A">
        <w:rPr>
          <w:rFonts w:ascii="Arial" w:hAnsi="Arial" w:cs="Arial"/>
          <w:color w:val="000000" w:themeColor="text1"/>
          <w:vertAlign w:val="superscript"/>
        </w:rPr>
        <w:t>-</w:t>
      </w:r>
      <w:proofErr w:type="gramStart"/>
      <w:r w:rsidRPr="002B3D8A">
        <w:rPr>
          <w:rFonts w:ascii="Arial" w:hAnsi="Arial" w:cs="Arial"/>
          <w:color w:val="000000" w:themeColor="text1"/>
          <w:vertAlign w:val="superscript"/>
        </w:rPr>
        <w:t>1</w:t>
      </w:r>
      <w:r w:rsidRPr="002B3D8A">
        <w:rPr>
          <w:rFonts w:ascii="Arial" w:hAnsi="Arial" w:cs="Arial"/>
          <w:color w:val="000000" w:themeColor="text1"/>
        </w:rPr>
        <w:t xml:space="preserve"> </w:t>
      </w:r>
      <w:bookmarkEnd w:id="36"/>
      <w:r w:rsidRPr="002B3D8A">
        <w:rPr>
          <w:rFonts w:ascii="Arial" w:hAnsi="Arial" w:cs="Arial"/>
          <w:i/>
          <w:color w:val="000000" w:themeColor="text1"/>
        </w:rPr>
        <w:t>.</w:t>
      </w:r>
      <w:proofErr w:type="gramEnd"/>
      <w:r w:rsidRPr="002B3D8A">
        <w:rPr>
          <w:rFonts w:ascii="Arial" w:hAnsi="Arial" w:cs="Arial"/>
          <w:i/>
          <w:color w:val="000000" w:themeColor="text1"/>
        </w:rPr>
        <w:t xml:space="preserve"> Xiphinema index </w:t>
      </w:r>
      <w:r w:rsidRPr="002B3D8A">
        <w:rPr>
          <w:rFonts w:ascii="Arial" w:hAnsi="Arial" w:cs="Arial"/>
          <w:color w:val="000000" w:themeColor="text1"/>
        </w:rPr>
        <w:t xml:space="preserve">mortality was strongly affected by saponin extracts from </w:t>
      </w:r>
      <w:r w:rsidRPr="002B3D8A">
        <w:rPr>
          <w:rFonts w:ascii="Arial" w:hAnsi="Arial" w:cs="Arial"/>
          <w:i/>
          <w:color w:val="000000" w:themeColor="text1"/>
        </w:rPr>
        <w:t>M. lupulina</w:t>
      </w:r>
      <w:r w:rsidRPr="002B3D8A">
        <w:rPr>
          <w:rFonts w:ascii="Arial" w:hAnsi="Arial" w:cs="Arial"/>
          <w:color w:val="000000" w:themeColor="text1"/>
        </w:rPr>
        <w:t xml:space="preserve"> where a mortality of 93.3 % and 100%</w:t>
      </w:r>
      <w:r w:rsidRPr="002B3D8A">
        <w:rPr>
          <w:rFonts w:ascii="Arial" w:hAnsi="Arial" w:cs="Arial"/>
          <w:i/>
          <w:color w:val="000000" w:themeColor="text1"/>
        </w:rPr>
        <w:t xml:space="preserve"> </w:t>
      </w:r>
      <w:r w:rsidRPr="002B3D8A">
        <w:rPr>
          <w:rFonts w:ascii="Arial" w:hAnsi="Arial" w:cs="Arial"/>
          <w:color w:val="000000" w:themeColor="text1"/>
        </w:rPr>
        <w:t>was achieved after 8 h and</w:t>
      </w:r>
      <w:r w:rsidRPr="002B3D8A">
        <w:rPr>
          <w:rFonts w:ascii="Arial" w:hAnsi="Arial" w:cs="Arial"/>
          <w:i/>
          <w:color w:val="000000" w:themeColor="text1"/>
        </w:rPr>
        <w:t xml:space="preserve"> </w:t>
      </w:r>
      <w:r w:rsidRPr="002B3D8A">
        <w:rPr>
          <w:rFonts w:ascii="Arial" w:hAnsi="Arial" w:cs="Arial"/>
          <w:color w:val="000000" w:themeColor="text1"/>
        </w:rPr>
        <w:t xml:space="preserve">4h exposure time at </w:t>
      </w:r>
      <w:r w:rsidR="005E73A4" w:rsidRPr="002B3D8A">
        <w:rPr>
          <w:rFonts w:ascii="Arial" w:hAnsi="Arial" w:cs="Arial"/>
          <w:color w:val="000000" w:themeColor="text1"/>
        </w:rPr>
        <w:t>concentrations</w:t>
      </w:r>
      <w:r w:rsidR="005E73A4">
        <w:rPr>
          <w:rFonts w:ascii="Arial" w:hAnsi="Arial" w:cs="Arial"/>
          <w:color w:val="000000" w:themeColor="text1"/>
        </w:rPr>
        <w:t xml:space="preserve"> of</w:t>
      </w:r>
      <w:r w:rsidR="005E73A4" w:rsidRPr="002B3D8A">
        <w:rPr>
          <w:rFonts w:ascii="Arial" w:hAnsi="Arial" w:cs="Arial"/>
          <w:color w:val="000000" w:themeColor="text1"/>
        </w:rPr>
        <w:t xml:space="preserve"> </w:t>
      </w:r>
      <w:r w:rsidRPr="002B3D8A">
        <w:rPr>
          <w:rFonts w:ascii="Arial" w:hAnsi="Arial" w:cs="Arial"/>
          <w:color w:val="000000" w:themeColor="text1"/>
        </w:rPr>
        <w:t>500 µg mL and 1000 µg</w:t>
      </w:r>
      <w:r w:rsidR="006B09C2">
        <w:rPr>
          <w:rFonts w:ascii="Arial" w:hAnsi="Arial" w:cs="Arial"/>
          <w:color w:val="000000" w:themeColor="text1"/>
        </w:rPr>
        <w:t xml:space="preserve"> </w:t>
      </w:r>
      <w:r w:rsidR="00D43ECF" w:rsidRPr="002B3D8A">
        <w:rPr>
          <w:rFonts w:ascii="Arial" w:hAnsi="Arial" w:cs="Arial"/>
          <w:color w:val="000000" w:themeColor="text1"/>
        </w:rPr>
        <w:t>mL</w:t>
      </w:r>
      <w:r w:rsidR="007A5447" w:rsidRPr="00616CDC">
        <w:rPr>
          <w:rFonts w:ascii="Arial" w:hAnsi="Arial" w:cs="Arial"/>
          <w:color w:val="000000" w:themeColor="text1"/>
          <w:vertAlign w:val="superscript"/>
        </w:rPr>
        <w:t>-1</w:t>
      </w:r>
      <w:r w:rsidR="00D43ECF" w:rsidRPr="002B3D8A">
        <w:rPr>
          <w:rFonts w:ascii="Arial" w:hAnsi="Arial" w:cs="Arial"/>
          <w:color w:val="000000" w:themeColor="text1"/>
        </w:rPr>
        <w:t xml:space="preserve"> saponin</w:t>
      </w:r>
      <w:r w:rsidRPr="002B3D8A">
        <w:rPr>
          <w:rFonts w:ascii="Arial" w:hAnsi="Arial" w:cs="Arial"/>
          <w:color w:val="000000" w:themeColor="text1"/>
        </w:rPr>
        <w:t xml:space="preserve"> extracts, respectively. Up to 76% mortality of </w:t>
      </w:r>
      <w:r w:rsidRPr="002B3D8A">
        <w:rPr>
          <w:rFonts w:ascii="Arial" w:hAnsi="Arial" w:cs="Arial"/>
          <w:i/>
          <w:color w:val="000000" w:themeColor="text1"/>
        </w:rPr>
        <w:t>Globodera rostochiensis</w:t>
      </w:r>
      <w:r w:rsidRPr="002B3D8A">
        <w:rPr>
          <w:rFonts w:ascii="Arial" w:hAnsi="Arial" w:cs="Arial"/>
          <w:color w:val="000000" w:themeColor="text1"/>
        </w:rPr>
        <w:t xml:space="preserve"> was achieved after 24h exposure time to 125 µgmL</w:t>
      </w:r>
      <w:r w:rsidRPr="002B3D8A">
        <w:rPr>
          <w:rFonts w:ascii="Arial" w:hAnsi="Arial" w:cs="Arial"/>
          <w:color w:val="000000" w:themeColor="text1"/>
          <w:vertAlign w:val="superscript"/>
        </w:rPr>
        <w:t>-1</w:t>
      </w:r>
      <w:r w:rsidRPr="002B3D8A">
        <w:rPr>
          <w:rFonts w:ascii="Arial" w:hAnsi="Arial" w:cs="Arial"/>
          <w:color w:val="000000" w:themeColor="text1"/>
        </w:rPr>
        <w:t xml:space="preserve"> saponin concentration from </w:t>
      </w:r>
      <w:r w:rsidRPr="002B3D8A">
        <w:rPr>
          <w:rFonts w:ascii="Arial" w:hAnsi="Arial" w:cs="Arial"/>
          <w:i/>
          <w:color w:val="000000" w:themeColor="text1"/>
        </w:rPr>
        <w:t>M. hybrida</w:t>
      </w:r>
      <w:r w:rsidRPr="002B3D8A">
        <w:rPr>
          <w:rFonts w:ascii="Arial" w:hAnsi="Arial" w:cs="Arial"/>
          <w:color w:val="000000" w:themeColor="text1"/>
        </w:rPr>
        <w:t xml:space="preserve"> and </w:t>
      </w:r>
      <w:r w:rsidRPr="002B3D8A">
        <w:rPr>
          <w:rFonts w:ascii="Arial" w:hAnsi="Arial" w:cs="Arial"/>
          <w:i/>
          <w:color w:val="000000" w:themeColor="text1"/>
        </w:rPr>
        <w:t xml:space="preserve">M. lupulina. </w:t>
      </w:r>
      <w:r w:rsidRPr="002B3D8A">
        <w:rPr>
          <w:rFonts w:ascii="Arial" w:hAnsi="Arial" w:cs="Arial"/>
          <w:color w:val="000000" w:themeColor="text1"/>
        </w:rPr>
        <w:t>Moreover, the egg hatch of</w:t>
      </w:r>
      <w:r w:rsidRPr="002B3D8A">
        <w:rPr>
          <w:rFonts w:ascii="Arial" w:hAnsi="Arial" w:cs="Arial"/>
          <w:i/>
          <w:color w:val="000000" w:themeColor="text1"/>
        </w:rPr>
        <w:t xml:space="preserve"> Globodera rostochiensis </w:t>
      </w:r>
      <w:r w:rsidRPr="002B3D8A">
        <w:rPr>
          <w:rFonts w:ascii="Arial" w:hAnsi="Arial" w:cs="Arial"/>
          <w:color w:val="000000" w:themeColor="text1"/>
        </w:rPr>
        <w:t>was reduced to 10-21%</w:t>
      </w:r>
      <w:r w:rsidR="00132907">
        <w:rPr>
          <w:rFonts w:ascii="Arial" w:hAnsi="Arial" w:cs="Arial"/>
          <w:color w:val="000000" w:themeColor="text1"/>
        </w:rPr>
        <w:t>compared to untreated control</w:t>
      </w:r>
      <w:r w:rsidRPr="002B3D8A">
        <w:rPr>
          <w:rFonts w:ascii="Arial" w:hAnsi="Arial" w:cs="Arial"/>
          <w:color w:val="000000" w:themeColor="text1"/>
        </w:rPr>
        <w:t xml:space="preserve"> after two weeks</w:t>
      </w:r>
      <w:r w:rsidRPr="002B3D8A">
        <w:rPr>
          <w:rFonts w:ascii="Arial" w:hAnsi="Arial" w:cs="Arial"/>
          <w:i/>
          <w:color w:val="000000" w:themeColor="text1"/>
        </w:rPr>
        <w:t xml:space="preserve"> </w:t>
      </w:r>
      <w:r w:rsidRPr="002B3D8A">
        <w:rPr>
          <w:rFonts w:ascii="Arial" w:hAnsi="Arial" w:cs="Arial"/>
          <w:color w:val="000000" w:themeColor="text1"/>
        </w:rPr>
        <w:t xml:space="preserve">exposure to 1000µg mL of saponins from </w:t>
      </w:r>
      <w:r w:rsidRPr="002B3D8A">
        <w:rPr>
          <w:rFonts w:ascii="Arial" w:hAnsi="Arial" w:cs="Arial"/>
          <w:i/>
          <w:color w:val="000000" w:themeColor="text1"/>
        </w:rPr>
        <w:t>M. lupulina</w:t>
      </w:r>
      <w:r w:rsidR="00CE5775">
        <w:rPr>
          <w:rFonts w:ascii="Arial" w:hAnsi="Arial" w:cs="Arial"/>
          <w:i/>
          <w:color w:val="000000" w:themeColor="text1"/>
        </w:rPr>
        <w:t xml:space="preserve"> </w:t>
      </w:r>
      <w:r w:rsidR="00CE5775" w:rsidRPr="00CE5775">
        <w:rPr>
          <w:rFonts w:ascii="Arial" w:hAnsi="Arial" w:cs="Arial"/>
          <w:color w:val="000000" w:themeColor="text1"/>
        </w:rPr>
        <w:t>compared to untreated control</w:t>
      </w:r>
      <w:r w:rsidRPr="002B3D8A">
        <w:rPr>
          <w:rFonts w:ascii="Arial" w:hAnsi="Arial" w:cs="Arial"/>
          <w:i/>
          <w:color w:val="000000" w:themeColor="text1"/>
        </w:rPr>
        <w:t xml:space="preserve"> </w:t>
      </w:r>
      <w:r w:rsidRPr="002B3D8A">
        <w:rPr>
          <w:rFonts w:ascii="Arial" w:hAnsi="Arial" w:cs="Arial"/>
          <w:i/>
          <w:color w:val="000000" w:themeColor="text1"/>
        </w:rPr>
        <w:fldChar w:fldCharType="begin" w:fldLock="1"/>
      </w:r>
      <w:r w:rsidR="00200FF9">
        <w:rPr>
          <w:rFonts w:ascii="Arial" w:hAnsi="Arial" w:cs="Arial"/>
          <w:i/>
          <w:color w:val="000000" w:themeColor="text1"/>
        </w:rPr>
        <w:instrText>ADDIN CSL_CITATION {"citationItems":[{"id":"ITEM-1","itemData":{"DOI":"10.3390/plants9040443","ISSN":"22237747","abstract":"Content of bioactive saponins of Medicago species suggests that they may also exert, as previously demonstrated on M. sativa, nematicidal properties exploitable for the formulation of new products for sustainable phytoparasitic nematode management. This study was addressed to highlight the bioactivity of saponins from five different Medicago species still poorly known for their biological efficacy, i.e., M. heyniana, M. hybrida, M. lupulina, M. murex and M. truncatula, against the plant parasitic nematodes Meloidogyne incognita, Xiphinema index and Globodera rostochiensis. The bioactivity of the extracts from the five Medicago species was assessed by in vitro assays on the juveniles (J2) and eggs of M. incognita and G. rostochiensis and the adult females of X. index. The suppressiveness to M. incognita of soil treatments with the Medicago plant biomasses was also investigated in a tomato experiment. The nematicidal activity of the five Medicago species was reported and discussed in relation to their phytochemical profile.","author":[{"dropping-particle":"","family":"D’Addabbo","given":"Trifone","non-dropping-particle":"","parse-names":false,"suffix":""},{"dropping-particle":"","family":"Argentieri","given":"Maria Pia","non-dropping-particle":"","parse-names":false,"suffix":""},{"dropping-particle":"","family":"Żuchowski","given":"Jerzy","non-dropping-particle":"","parse-names":false,"suffix":""},{"dropping-particle":"","family":"Biazzi","given":"Elisa","non-dropping-particle":"","parse-names":false,"suffix":""},{"dropping-particle":"","family":"Tava","given":"Aldo","non-dropping-particle":"","parse-names":false,"suffix":""},{"dropping-particle":"","family":"Oleszek","given":"Wieslaw","non-dropping-particle":"","parse-names":false,"suffix":""},{"dropping-particle":"","family":"Avato","given":"Pinarosa","non-dropping-particle":"","parse-names":false,"suffix":""}],"container-title":"Plants","id":"ITEM-1","issue":"4","issued":{"date-parts":[["2020","4","1"]]},"page":"443","publisher":"MDPI AG","title":"Activity of saponins from Medicago species against phytoparasitic nematodes","type":"article-journal","volume":"9"},"uris":["http://www.mendeley.com/documents/?uuid=76dc6786-66fb-339b-b6b7-06677f6a5e12"]}],"mendeley":{"formattedCitation":"(D’Addabbo &lt;i&gt;et al.&lt;/i&gt;, 2020)","plainTextFormattedCitation":"(D’Addabbo et al., 2020)","previouslyFormattedCitation":"(D’Addabbo &lt;i&gt;et al.&lt;/i&gt;, 2020)"},"properties":{"noteIndex":0},"schema":"https://github.com/citation-style-language/schema/raw/master/csl-citation.json"}</w:instrText>
      </w:r>
      <w:r w:rsidRPr="002B3D8A">
        <w:rPr>
          <w:rFonts w:ascii="Arial" w:hAnsi="Arial" w:cs="Arial"/>
          <w:i/>
          <w:color w:val="000000" w:themeColor="text1"/>
        </w:rPr>
        <w:fldChar w:fldCharType="separate"/>
      </w:r>
      <w:r w:rsidR="00A07F2C" w:rsidRPr="00A07F2C">
        <w:rPr>
          <w:rFonts w:ascii="Arial" w:hAnsi="Arial" w:cs="Arial"/>
          <w:noProof/>
          <w:color w:val="000000" w:themeColor="text1"/>
        </w:rPr>
        <w:t xml:space="preserve">(D’Addabbo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2020)</w:t>
      </w:r>
      <w:r w:rsidRPr="002B3D8A">
        <w:rPr>
          <w:rFonts w:ascii="Arial" w:hAnsi="Arial" w:cs="Arial"/>
          <w:i/>
          <w:color w:val="000000" w:themeColor="text1"/>
        </w:rPr>
        <w:fldChar w:fldCharType="end"/>
      </w:r>
      <w:r w:rsidR="005E73A4">
        <w:rPr>
          <w:rFonts w:ascii="Arial" w:hAnsi="Arial" w:cs="Arial"/>
          <w:i/>
          <w:color w:val="000000" w:themeColor="text1"/>
        </w:rPr>
        <w:t>.</w:t>
      </w:r>
    </w:p>
    <w:p w14:paraId="7DD35FAA" w14:textId="2115DD2A" w:rsidR="007A5447" w:rsidRPr="002B3D8A" w:rsidRDefault="00D4255D" w:rsidP="00616CDC">
      <w:pPr>
        <w:pStyle w:val="paragraph"/>
        <w:spacing w:before="0" w:beforeAutospacing="0" w:after="0" w:afterAutospacing="0" w:line="360" w:lineRule="auto"/>
        <w:ind w:left="-426" w:right="-330"/>
        <w:jc w:val="both"/>
        <w:textAlignment w:val="baseline"/>
        <w:rPr>
          <w:rFonts w:ascii="Arial" w:hAnsi="Arial" w:cs="Arial"/>
          <w:color w:val="000000" w:themeColor="text1"/>
        </w:rPr>
      </w:pPr>
      <w:r w:rsidRPr="002B3D8A">
        <w:rPr>
          <w:rFonts w:ascii="Arial" w:hAnsi="Arial" w:cs="Arial"/>
          <w:color w:val="000000" w:themeColor="text1"/>
        </w:rPr>
        <w:t>The nematicidal effects of saponins from</w:t>
      </w:r>
      <w:r w:rsidRPr="002B3D8A">
        <w:rPr>
          <w:rFonts w:ascii="Arial" w:hAnsi="Arial" w:cs="Arial"/>
          <w:i/>
          <w:color w:val="000000" w:themeColor="text1"/>
        </w:rPr>
        <w:t xml:space="preserve"> M. arabica, M. arborea </w:t>
      </w:r>
      <w:r w:rsidRPr="002B3D8A">
        <w:rPr>
          <w:rFonts w:ascii="Arial" w:hAnsi="Arial" w:cs="Arial"/>
          <w:color w:val="000000" w:themeColor="text1"/>
        </w:rPr>
        <w:t>and</w:t>
      </w:r>
      <w:r w:rsidRPr="002B3D8A">
        <w:rPr>
          <w:rFonts w:ascii="Arial" w:hAnsi="Arial" w:cs="Arial"/>
          <w:i/>
          <w:color w:val="000000" w:themeColor="text1"/>
        </w:rPr>
        <w:t xml:space="preserve"> M. sativa, </w:t>
      </w:r>
      <w:r w:rsidRPr="002B3D8A">
        <w:rPr>
          <w:rFonts w:ascii="Arial" w:hAnsi="Arial" w:cs="Arial"/>
          <w:color w:val="000000" w:themeColor="text1"/>
        </w:rPr>
        <w:t>were studied in laboratory experiments on</w:t>
      </w:r>
      <w:r w:rsidRPr="002B3D8A">
        <w:rPr>
          <w:rFonts w:ascii="Arial" w:hAnsi="Arial" w:cs="Arial"/>
          <w:i/>
          <w:color w:val="000000" w:themeColor="text1"/>
        </w:rPr>
        <w:t xml:space="preserve"> Xiphinema index. </w:t>
      </w:r>
      <w:r w:rsidRPr="002B3D8A">
        <w:rPr>
          <w:rFonts w:ascii="Arial" w:hAnsi="Arial" w:cs="Arial"/>
          <w:color w:val="000000" w:themeColor="text1"/>
        </w:rPr>
        <w:t>Related prosapogenins</w:t>
      </w:r>
      <w:r w:rsidR="005E73A4">
        <w:rPr>
          <w:rFonts w:ascii="Arial" w:hAnsi="Arial" w:cs="Arial"/>
          <w:color w:val="000000" w:themeColor="text1"/>
        </w:rPr>
        <w:t>,</w:t>
      </w:r>
      <w:r w:rsidRPr="002B3D8A">
        <w:rPr>
          <w:rFonts w:ascii="Arial" w:hAnsi="Arial" w:cs="Arial"/>
          <w:color w:val="000000" w:themeColor="text1"/>
        </w:rPr>
        <w:t xml:space="preserve"> obtained by basic hydrolysis of saponins</w:t>
      </w:r>
      <w:r w:rsidR="005E73A4">
        <w:rPr>
          <w:rFonts w:ascii="Arial" w:hAnsi="Arial" w:cs="Arial"/>
          <w:color w:val="000000" w:themeColor="text1"/>
        </w:rPr>
        <w:t>,</w:t>
      </w:r>
      <w:r w:rsidRPr="002B3D8A">
        <w:rPr>
          <w:rFonts w:ascii="Arial" w:hAnsi="Arial" w:cs="Arial"/>
          <w:color w:val="000000" w:themeColor="text1"/>
        </w:rPr>
        <w:t xml:space="preserve"> and sapogenins produced by acid hydrolysis of saponins were also included. As a comparison, soyasaponin I and purified aglycones from</w:t>
      </w:r>
      <w:r w:rsidRPr="002B3D8A">
        <w:rPr>
          <w:rFonts w:ascii="Arial" w:hAnsi="Arial" w:cs="Arial"/>
          <w:i/>
          <w:color w:val="000000" w:themeColor="text1"/>
        </w:rPr>
        <w:t xml:space="preserve"> Medicago </w:t>
      </w:r>
      <w:r w:rsidRPr="002B3D8A">
        <w:rPr>
          <w:rFonts w:ascii="Arial" w:hAnsi="Arial" w:cs="Arial"/>
          <w:color w:val="000000" w:themeColor="text1"/>
        </w:rPr>
        <w:t>spp.</w:t>
      </w:r>
      <w:r w:rsidRPr="002B3D8A">
        <w:rPr>
          <w:rFonts w:ascii="Arial" w:hAnsi="Arial" w:cs="Arial"/>
          <w:i/>
          <w:color w:val="000000" w:themeColor="text1"/>
        </w:rPr>
        <w:t xml:space="preserve"> </w:t>
      </w:r>
      <w:r w:rsidRPr="002B3D8A">
        <w:rPr>
          <w:rFonts w:ascii="Arial" w:hAnsi="Arial" w:cs="Arial"/>
          <w:color w:val="000000" w:themeColor="text1"/>
        </w:rPr>
        <w:lastRenderedPageBreak/>
        <w:t>(medicagenic acid, hederagenin and bayogenin) and a commercial mixture of saponins from</w:t>
      </w:r>
      <w:r w:rsidRPr="002B3D8A">
        <w:rPr>
          <w:rFonts w:ascii="Arial" w:hAnsi="Arial" w:cs="Arial"/>
          <w:i/>
          <w:color w:val="000000" w:themeColor="text1"/>
        </w:rPr>
        <w:t xml:space="preserve"> Q. saponaria, </w:t>
      </w:r>
      <w:r w:rsidRPr="002B3D8A">
        <w:rPr>
          <w:rFonts w:ascii="Arial" w:hAnsi="Arial" w:cs="Arial"/>
          <w:color w:val="000000" w:themeColor="text1"/>
        </w:rPr>
        <w:t>were also included in the study. All the saponins from</w:t>
      </w:r>
      <w:r w:rsidRPr="002B3D8A">
        <w:rPr>
          <w:rFonts w:ascii="Arial" w:hAnsi="Arial" w:cs="Arial"/>
          <w:i/>
          <w:color w:val="000000" w:themeColor="text1"/>
        </w:rPr>
        <w:t xml:space="preserve"> Medicago </w:t>
      </w:r>
      <w:r w:rsidRPr="002B3D8A">
        <w:rPr>
          <w:rFonts w:ascii="Arial" w:hAnsi="Arial" w:cs="Arial"/>
          <w:color w:val="000000" w:themeColor="text1"/>
        </w:rPr>
        <w:t>spp. induced</w:t>
      </w:r>
      <w:r w:rsidRPr="002B3D8A">
        <w:rPr>
          <w:rFonts w:ascii="Arial" w:hAnsi="Arial" w:cs="Arial"/>
          <w:i/>
          <w:color w:val="000000" w:themeColor="text1"/>
        </w:rPr>
        <w:t xml:space="preserve"> </w:t>
      </w:r>
      <w:r w:rsidRPr="002B3D8A">
        <w:rPr>
          <w:rFonts w:ascii="Arial" w:hAnsi="Arial" w:cs="Arial"/>
          <w:color w:val="000000" w:themeColor="text1"/>
        </w:rPr>
        <w:t>100% mortality of</w:t>
      </w:r>
      <w:r w:rsidRPr="002B3D8A">
        <w:rPr>
          <w:rFonts w:ascii="Arial" w:hAnsi="Arial" w:cs="Arial"/>
          <w:i/>
          <w:color w:val="000000" w:themeColor="text1"/>
        </w:rPr>
        <w:t xml:space="preserve"> X. index </w:t>
      </w:r>
      <w:r w:rsidRPr="002B3D8A">
        <w:rPr>
          <w:rFonts w:ascii="Arial" w:hAnsi="Arial" w:cs="Arial"/>
          <w:color w:val="000000" w:themeColor="text1"/>
        </w:rPr>
        <w:t>at the highest concentration</w:t>
      </w:r>
      <w:r w:rsidRPr="002B3D8A">
        <w:rPr>
          <w:rFonts w:ascii="Arial" w:hAnsi="Arial" w:cs="Arial"/>
          <w:i/>
          <w:color w:val="000000" w:themeColor="text1"/>
        </w:rPr>
        <w:t xml:space="preserve"> </w:t>
      </w:r>
      <w:r w:rsidRPr="002B3D8A">
        <w:rPr>
          <w:rFonts w:ascii="Arial" w:hAnsi="Arial" w:cs="Arial"/>
          <w:color w:val="000000" w:themeColor="text1"/>
        </w:rPr>
        <w:t>(500 μg ml</w:t>
      </w:r>
      <w:r w:rsidRPr="002B3D8A">
        <w:rPr>
          <w:rFonts w:ascii="Arial" w:hAnsi="Arial" w:cs="Arial"/>
          <w:color w:val="000000" w:themeColor="text1"/>
          <w:vertAlign w:val="superscript"/>
        </w:rPr>
        <w:t>−1</w:t>
      </w:r>
      <w:r w:rsidRPr="002B3D8A">
        <w:rPr>
          <w:rFonts w:ascii="Arial" w:hAnsi="Arial" w:cs="Arial"/>
          <w:color w:val="000000" w:themeColor="text1"/>
        </w:rPr>
        <w:t>)</w:t>
      </w:r>
      <w:r w:rsidRPr="002B3D8A">
        <w:rPr>
          <w:rFonts w:ascii="Arial" w:hAnsi="Arial" w:cs="Arial"/>
          <w:i/>
          <w:color w:val="000000" w:themeColor="text1"/>
        </w:rPr>
        <w:t xml:space="preserve"> </w:t>
      </w:r>
      <w:r w:rsidRPr="002B3D8A">
        <w:rPr>
          <w:rFonts w:ascii="Arial" w:hAnsi="Arial" w:cs="Arial"/>
          <w:color w:val="000000" w:themeColor="text1"/>
        </w:rPr>
        <w:t>at 8 and 48 h exposure</w:t>
      </w:r>
      <w:r w:rsidR="005E73A4">
        <w:rPr>
          <w:rFonts w:ascii="Arial" w:hAnsi="Arial" w:cs="Arial"/>
          <w:color w:val="000000" w:themeColor="text1"/>
        </w:rPr>
        <w:t>.</w:t>
      </w:r>
      <w:r w:rsidRPr="002B3D8A">
        <w:rPr>
          <w:rFonts w:ascii="Arial" w:hAnsi="Arial" w:cs="Arial"/>
          <w:color w:val="000000" w:themeColor="text1"/>
        </w:rPr>
        <w:t xml:space="preserve"> Crude saponins from</w:t>
      </w:r>
      <w:r w:rsidRPr="002B3D8A">
        <w:rPr>
          <w:rFonts w:ascii="Arial" w:hAnsi="Arial" w:cs="Arial"/>
          <w:i/>
          <w:color w:val="000000" w:themeColor="text1"/>
        </w:rPr>
        <w:t xml:space="preserve"> M. sativa roots </w:t>
      </w:r>
      <w:r w:rsidRPr="002B3D8A">
        <w:rPr>
          <w:rFonts w:ascii="Arial" w:hAnsi="Arial" w:cs="Arial"/>
          <w:color w:val="000000" w:themeColor="text1"/>
        </w:rPr>
        <w:t xml:space="preserve">and </w:t>
      </w:r>
      <w:r w:rsidRPr="002B3D8A">
        <w:rPr>
          <w:rFonts w:ascii="Arial" w:hAnsi="Arial" w:cs="Arial"/>
          <w:i/>
          <w:color w:val="000000" w:themeColor="text1"/>
        </w:rPr>
        <w:t xml:space="preserve">M. arabica </w:t>
      </w:r>
      <w:r w:rsidRPr="002B3D8A">
        <w:rPr>
          <w:rFonts w:ascii="Arial" w:hAnsi="Arial" w:cs="Arial"/>
          <w:color w:val="000000" w:themeColor="text1"/>
        </w:rPr>
        <w:t>tops and roots resulted in significantly greater mortality after 48 h than</w:t>
      </w:r>
      <w:r w:rsidRPr="002B3D8A">
        <w:rPr>
          <w:rFonts w:ascii="Arial" w:hAnsi="Arial" w:cs="Arial"/>
          <w:i/>
          <w:color w:val="000000" w:themeColor="text1"/>
        </w:rPr>
        <w:t xml:space="preserve"> M. sativa </w:t>
      </w:r>
      <w:r w:rsidRPr="002B3D8A">
        <w:rPr>
          <w:rFonts w:ascii="Arial" w:hAnsi="Arial" w:cs="Arial"/>
          <w:color w:val="000000" w:themeColor="text1"/>
        </w:rPr>
        <w:t xml:space="preserve">and </w:t>
      </w:r>
      <w:r w:rsidRPr="002B3D8A">
        <w:rPr>
          <w:rFonts w:ascii="Arial" w:hAnsi="Arial" w:cs="Arial"/>
          <w:i/>
          <w:color w:val="000000" w:themeColor="text1"/>
        </w:rPr>
        <w:t xml:space="preserve">M. arborea </w:t>
      </w:r>
      <w:r w:rsidRPr="002B3D8A">
        <w:rPr>
          <w:rFonts w:ascii="Arial" w:hAnsi="Arial" w:cs="Arial"/>
          <w:color w:val="000000" w:themeColor="text1"/>
        </w:rPr>
        <w:t>tops at the same concentration. Medicagenic acid appeared slightly more active than bayogenin, causing 52% mortality at 62.5 μg ml</w:t>
      </w:r>
      <w:r w:rsidRPr="002B3D8A">
        <w:rPr>
          <w:rFonts w:ascii="Arial" w:hAnsi="Arial" w:cs="Arial"/>
          <w:color w:val="000000" w:themeColor="text1"/>
          <w:vertAlign w:val="superscript"/>
        </w:rPr>
        <w:t>−1</w:t>
      </w:r>
      <w:r w:rsidRPr="002B3D8A">
        <w:rPr>
          <w:rFonts w:ascii="Arial" w:hAnsi="Arial" w:cs="Arial"/>
          <w:color w:val="000000" w:themeColor="text1"/>
        </w:rPr>
        <w:t xml:space="preserve"> after 48 h of treatment. Prosapogenins were more nematicidal than the related saponins and sapogenins at the same dose, except for</w:t>
      </w:r>
      <w:r w:rsidRPr="002B3D8A">
        <w:rPr>
          <w:rFonts w:ascii="Arial" w:hAnsi="Arial" w:cs="Arial"/>
          <w:i/>
          <w:color w:val="000000" w:themeColor="text1"/>
        </w:rPr>
        <w:t xml:space="preserve"> M. sativa </w:t>
      </w:r>
      <w:r w:rsidRPr="002B3D8A">
        <w:rPr>
          <w:rFonts w:ascii="Arial" w:hAnsi="Arial" w:cs="Arial"/>
          <w:color w:val="000000" w:themeColor="text1"/>
        </w:rPr>
        <w:t xml:space="preserve">tops at the maximal concentration </w:t>
      </w:r>
      <w:r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{"citationItems":[{"id":"ITEM-1","itemData":{"DOI":"10.1007/s10658-007-9207-8","ISSN":"09291873","abstract":"The nematicidal activity of saponins from Medicago arborea (tops), M. arabica (tops and roots) and M. sativa (tops and roots) against the plant-parasitic nematode Xiphinema index was investigated. Nematicidal activity of related prosapogenins and sapogenins on X. index is also described. Saponins from Medicago spp. at different concentrations were all nematicidal, those from M. arborea tops being the less effective. In general, saponins induced 100% mortality at 500 μg ml-1 between 8 and 48 h, while prosapogenins resulted in toxicity starting at 125 μg ml-1. Differences in the effects on X. index induced by prosapogenins and sapogenins were less pronounced, although prosapogenins displayed a larger range of activity. Assays with purified sapogenins demonstrated the relationship of the observed nematicidal activity of M. sativa and M. arborea to the content of the main aglycones (medicagenic acid and hederagenin, respectively) in the saponin extracts. Hederagenin displayed the highest bioactivity, giving 38% mortality after 1 h at 125 μg ml-1. © 2007 KNPV.","author":[{"dropping-particle":"","family":"Argentieri","given":"Maria Pia","non-dropping-particle":"","parse-names":false,"suffix":""},{"dropping-particle":"","family":"D'Addabbo","given":"Trifone","non-dropping-particle":"","parse-names":false,"suffix":""},{"dropping-particle":"","family":"Tava","given":"Aldo","non-dropping-particle":"","parse-names":false,"suffix":""},{"dropping-particle":"","family":"Agostinelli","given":"Augusta","non-dropping-particle":"","parse-names":false,"suffix":""},{"dropping-particle":"","family":"Jurzysta","given":"Marian","non-dropping-particle":"","parse-names":false,"suffix":""},{"dropping-particle":"","family":"Avato","given":"Pinarosa","non-dropping-particle":"","parse-names":false,"suffix":""}],"container-title":"European Journal of Plant Pathology","id":"ITEM-1","issue":"2","issued":{"date-parts":[["2008","2"]]},"page":"189-197","title":"Evaluation of nematicidal properties of saponins from Medicago spp.","type":"article-journal","volume":"120"},"uris":["http://www.mendeley.com/documents/?uuid=a8509975-763c-35b8-8681-b6aea3d0e473"]}],"mendeley":{"formattedCitation":"(Argentieri &lt;i&gt;et al.&lt;/i&gt;, 2008)","plainTextFormattedCitation":"(Argentieri et al., 2008)","previouslyFormattedCitation":"(Argentieri &lt;i&gt;et al.&lt;/i&gt;, 2008)"},"properties":{"noteIndex":0},"schema":"https://github.com/citation-style-language/schema/raw/master/csl-citation.json"}</w:instrText>
      </w:r>
      <w:r w:rsidRPr="002B3D8A">
        <w:rPr>
          <w:rFonts w:ascii="Arial" w:hAnsi="Arial" w:cs="Arial"/>
          <w:color w:val="000000" w:themeColor="text1"/>
        </w:rPr>
        <w:fldChar w:fldCharType="separate"/>
      </w:r>
      <w:r w:rsidR="00A07F2C" w:rsidRPr="00A07F2C">
        <w:rPr>
          <w:rFonts w:ascii="Arial" w:hAnsi="Arial" w:cs="Arial"/>
          <w:noProof/>
          <w:color w:val="000000" w:themeColor="text1"/>
        </w:rPr>
        <w:t xml:space="preserve">(Argentieri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2008)</w:t>
      </w:r>
      <w:r w:rsidRPr="002B3D8A">
        <w:rPr>
          <w:rFonts w:ascii="Arial" w:hAnsi="Arial" w:cs="Arial"/>
          <w:color w:val="000000" w:themeColor="text1"/>
        </w:rPr>
        <w:fldChar w:fldCharType="end"/>
      </w:r>
      <w:r w:rsidRPr="002B3D8A">
        <w:rPr>
          <w:rFonts w:ascii="Arial" w:hAnsi="Arial" w:cs="Arial"/>
          <w:color w:val="000000" w:themeColor="text1"/>
        </w:rPr>
        <w:t xml:space="preserve">. Results obtained </w:t>
      </w:r>
      <w:r w:rsidR="000010C7" w:rsidRPr="002B3D8A">
        <w:rPr>
          <w:rFonts w:ascii="Arial" w:hAnsi="Arial" w:cs="Arial"/>
          <w:color w:val="000000" w:themeColor="text1"/>
        </w:rPr>
        <w:t>from</w:t>
      </w:r>
      <w:r w:rsidR="005E73A4">
        <w:rPr>
          <w:rFonts w:ascii="Arial" w:hAnsi="Arial" w:cs="Arial"/>
          <w:color w:val="000000" w:themeColor="text1"/>
        </w:rPr>
        <w:t xml:space="preserve"> a</w:t>
      </w:r>
      <w:r w:rsidR="000010C7" w:rsidRPr="002B3D8A">
        <w:rPr>
          <w:rFonts w:ascii="Arial" w:hAnsi="Arial" w:cs="Arial"/>
          <w:color w:val="000000" w:themeColor="text1"/>
        </w:rPr>
        <w:t xml:space="preserve"> pot</w:t>
      </w:r>
      <w:r w:rsidRPr="002B3D8A">
        <w:rPr>
          <w:rFonts w:ascii="Arial" w:hAnsi="Arial" w:cs="Arial"/>
          <w:color w:val="000000" w:themeColor="text1"/>
        </w:rPr>
        <w:t xml:space="preserve"> experiment investigating the nematicidal activity of dry </w:t>
      </w:r>
      <w:r w:rsidR="005E73A4">
        <w:rPr>
          <w:rFonts w:ascii="Arial" w:hAnsi="Arial" w:cs="Arial"/>
          <w:color w:val="000000" w:themeColor="text1"/>
        </w:rPr>
        <w:t>foliage</w:t>
      </w:r>
      <w:r w:rsidR="005E73A4" w:rsidRPr="002B3D8A">
        <w:rPr>
          <w:rFonts w:ascii="Arial" w:hAnsi="Arial" w:cs="Arial"/>
          <w:color w:val="000000" w:themeColor="text1"/>
        </w:rPr>
        <w:t xml:space="preserve"> </w:t>
      </w:r>
      <w:r w:rsidRPr="002B3D8A">
        <w:rPr>
          <w:rFonts w:ascii="Arial" w:hAnsi="Arial" w:cs="Arial"/>
          <w:color w:val="000000" w:themeColor="text1"/>
        </w:rPr>
        <w:t xml:space="preserve">and root of </w:t>
      </w:r>
      <w:r w:rsidRPr="002B3D8A">
        <w:rPr>
          <w:rFonts w:ascii="Arial" w:hAnsi="Arial" w:cs="Arial"/>
          <w:i/>
          <w:color w:val="000000" w:themeColor="text1"/>
        </w:rPr>
        <w:t>Medicago sativa</w:t>
      </w:r>
      <w:r w:rsidRPr="002B3D8A">
        <w:rPr>
          <w:rFonts w:ascii="Arial" w:hAnsi="Arial" w:cs="Arial"/>
          <w:color w:val="000000" w:themeColor="text1"/>
        </w:rPr>
        <w:t xml:space="preserve"> and </w:t>
      </w:r>
      <w:r w:rsidRPr="002B3D8A">
        <w:rPr>
          <w:rFonts w:ascii="Arial" w:hAnsi="Arial" w:cs="Arial"/>
          <w:i/>
          <w:color w:val="000000" w:themeColor="text1"/>
        </w:rPr>
        <w:t>Medicago arborea</w:t>
      </w:r>
      <w:r w:rsidRPr="002B3D8A">
        <w:rPr>
          <w:rFonts w:ascii="Arial" w:hAnsi="Arial" w:cs="Arial"/>
          <w:color w:val="000000" w:themeColor="text1"/>
        </w:rPr>
        <w:t xml:space="preserve"> in pot mixes to suppress </w:t>
      </w:r>
      <w:r w:rsidRPr="002B3D8A">
        <w:rPr>
          <w:rFonts w:ascii="Arial" w:hAnsi="Arial" w:cs="Arial"/>
          <w:i/>
          <w:color w:val="000000" w:themeColor="text1"/>
        </w:rPr>
        <w:t>Meloidogyne incognita</w:t>
      </w:r>
      <w:r w:rsidRPr="002B3D8A">
        <w:rPr>
          <w:rFonts w:ascii="Arial" w:hAnsi="Arial" w:cs="Arial"/>
          <w:color w:val="000000" w:themeColor="text1"/>
        </w:rPr>
        <w:t xml:space="preserve"> and </w:t>
      </w:r>
      <w:r w:rsidRPr="002B3D8A">
        <w:rPr>
          <w:rFonts w:ascii="Arial" w:hAnsi="Arial" w:cs="Arial"/>
          <w:i/>
          <w:color w:val="000000" w:themeColor="text1"/>
        </w:rPr>
        <w:t>Globodera rostochiensis</w:t>
      </w:r>
      <w:r w:rsidRPr="002B3D8A">
        <w:rPr>
          <w:rFonts w:ascii="Arial" w:hAnsi="Arial" w:cs="Arial"/>
          <w:color w:val="000000" w:themeColor="text1"/>
        </w:rPr>
        <w:t xml:space="preserve"> showed that both amendments were able to reduce the densities of both nematode species. In the field experiments, soil amendment with pelleted </w:t>
      </w:r>
      <w:r w:rsidRPr="002B3D8A">
        <w:rPr>
          <w:rFonts w:ascii="Arial" w:hAnsi="Arial" w:cs="Arial"/>
          <w:i/>
          <w:color w:val="000000" w:themeColor="text1"/>
        </w:rPr>
        <w:t>Medicago sativa</w:t>
      </w:r>
      <w:r w:rsidRPr="002B3D8A">
        <w:rPr>
          <w:rFonts w:ascii="Arial" w:hAnsi="Arial" w:cs="Arial"/>
          <w:color w:val="000000" w:themeColor="text1"/>
        </w:rPr>
        <w:t xml:space="preserve"> at 20 or 40 t ha</w:t>
      </w:r>
      <w:r w:rsidRPr="002B3D8A">
        <w:rPr>
          <w:rFonts w:ascii="Arial" w:hAnsi="Arial" w:cs="Arial"/>
          <w:color w:val="000000" w:themeColor="text1"/>
          <w:vertAlign w:val="superscript"/>
        </w:rPr>
        <w:t>−1</w:t>
      </w:r>
      <w:r w:rsidRPr="002B3D8A">
        <w:rPr>
          <w:rFonts w:ascii="Arial" w:hAnsi="Arial" w:cs="Arial"/>
          <w:color w:val="000000" w:themeColor="text1"/>
        </w:rPr>
        <w:t xml:space="preserve"> increased the yield of tomato and reduced soil densities and root galling caused by </w:t>
      </w:r>
      <w:r w:rsidRPr="002B3D8A">
        <w:rPr>
          <w:rFonts w:ascii="Arial" w:hAnsi="Arial" w:cs="Arial"/>
          <w:i/>
          <w:color w:val="000000" w:themeColor="text1"/>
        </w:rPr>
        <w:t>Meloidogyne incognita</w:t>
      </w:r>
      <w:r w:rsidRPr="002B3D8A">
        <w:rPr>
          <w:rFonts w:ascii="Arial" w:hAnsi="Arial" w:cs="Arial"/>
          <w:color w:val="000000" w:themeColor="text1"/>
        </w:rPr>
        <w:t xml:space="preserve"> and densities of </w:t>
      </w:r>
      <w:r w:rsidRPr="002B3D8A">
        <w:rPr>
          <w:rFonts w:ascii="Arial" w:hAnsi="Arial" w:cs="Arial"/>
          <w:i/>
          <w:color w:val="000000" w:themeColor="text1"/>
        </w:rPr>
        <w:t xml:space="preserve">Globodera rostochiensis </w:t>
      </w:r>
      <w:r w:rsidR="00CE5775" w:rsidRPr="00CE5775">
        <w:rPr>
          <w:rFonts w:ascii="Arial" w:hAnsi="Arial" w:cs="Arial"/>
          <w:color w:val="000000" w:themeColor="text1"/>
        </w:rPr>
        <w:t>compared to the non-treated control</w:t>
      </w:r>
      <w:r w:rsidR="00CE5775" w:rsidRPr="00CE5775">
        <w:rPr>
          <w:rFonts w:ascii="Arial" w:hAnsi="Arial" w:cs="Arial"/>
          <w:i/>
          <w:color w:val="000000" w:themeColor="text1"/>
        </w:rPr>
        <w:t xml:space="preserve"> </w:t>
      </w:r>
      <w:r w:rsidRPr="002B3D8A">
        <w:rPr>
          <w:rFonts w:ascii="Arial" w:hAnsi="Arial" w:cs="Arial"/>
          <w:i/>
          <w:color w:val="000000" w:themeColor="text1"/>
        </w:rPr>
        <w:fldChar w:fldCharType="begin" w:fldLock="1"/>
      </w:r>
      <w:r w:rsidR="00200FF9">
        <w:rPr>
          <w:rFonts w:ascii="Arial" w:hAnsi="Arial" w:cs="Arial"/>
          <w:i/>
          <w:color w:val="000000" w:themeColor="text1"/>
        </w:rPr>
        <w:instrText>ADDIN CSL_CITATION {"citationItems":[{"id":"ITEM-1","itemData":{"DOI":"10.1007/s10658-009-9456-9","ISSN":"09291873","abstract":"The nematicidal effect of soil amendments with dry top and root material from Medicago sativa and/or Medicago arborea was evaluated on the root-knot nematode Meloidogyne incognita and on the cyst nematode Globodera rostochiensis in potting mixes. All amendments suppressed root and soil population densities of both nematode species compared to non-treated and chemical controls. The suppressiveness of M. sativa differed between top and root material and among the amendment rates. In field conditions soil amendments with 20 or 40t ha-1 of a pelleted M. sativa meal increased tomato crop yield and reduced soil population densities and root galling by M. incognita. It is suggested that saponins were at least partly responsible for the nematicidal activity. © KNPV 2009.","author":[{"dropping-particle":"","family":"D'Addabbo","given":"Trifone","non-dropping-particle":"","parse-names":false,"suffix":""},{"dropping-particle":"","family":"Avato","given":"Pinarosa","non-dropping-particle":"","parse-names":false,"suffix":""},{"dropping-particle":"","family":"Tava","given":"Aldo","non-dropping-particle":"","parse-names":false,"suffix":""}],"container-title":"European Journal of Plant Pathology","id":"ITEM-1","issue":"1","issued":{"date-parts":[["2009"]]},"page":"39-49","title":"Nematicidal potential of materials from Medicago spp","type":"article-journal","volume":"125"},"uris":["http://www.mendeley.com/documents/?uuid=16c14283-e2cd-3dd2-8391-39066f0c8c64"]}],"mendeley":{"formattedCitation":"(D’Addabbo, Avato and Tava, 2009)","manualFormatting":"(D’Addabbo et al., 2009)","plainTextFormattedCitation":"(D’Addabbo, Avato and Tava, 2009)","previouslyFormattedCitation":"(D’Addabbo, Avato and Tava, 2009)"},"properties":{"noteIndex":0},"schema":"https://github.com/citation-style-language/schema/raw/master/csl-citation.json"}</w:instrText>
      </w:r>
      <w:r w:rsidRPr="002B3D8A">
        <w:rPr>
          <w:rFonts w:ascii="Arial" w:hAnsi="Arial" w:cs="Arial"/>
          <w:i/>
          <w:color w:val="000000" w:themeColor="text1"/>
        </w:rPr>
        <w:fldChar w:fldCharType="separate"/>
      </w:r>
      <w:r w:rsidR="00CE5775" w:rsidRPr="00CE5775">
        <w:rPr>
          <w:rFonts w:ascii="Arial" w:hAnsi="Arial" w:cs="Arial"/>
          <w:noProof/>
          <w:color w:val="000000" w:themeColor="text1"/>
        </w:rPr>
        <w:t>(D’Addabbo et al., 2009)</w:t>
      </w:r>
      <w:r w:rsidRPr="002B3D8A">
        <w:rPr>
          <w:rFonts w:ascii="Arial" w:hAnsi="Arial" w:cs="Arial"/>
          <w:i/>
          <w:color w:val="000000" w:themeColor="text1"/>
        </w:rPr>
        <w:fldChar w:fldCharType="end"/>
      </w:r>
      <w:r w:rsidRPr="002B3D8A">
        <w:rPr>
          <w:rFonts w:ascii="Arial" w:hAnsi="Arial" w:cs="Arial"/>
          <w:color w:val="000000" w:themeColor="text1"/>
        </w:rPr>
        <w:t xml:space="preserve">. </w:t>
      </w:r>
    </w:p>
    <w:p w14:paraId="40643722" w14:textId="3B0F8F8C" w:rsidR="007A5447" w:rsidRPr="002B3D8A" w:rsidRDefault="00D4255D" w:rsidP="00616CDC">
      <w:pPr>
        <w:pStyle w:val="paragraph"/>
        <w:spacing w:before="0" w:beforeAutospacing="0" w:after="0" w:afterAutospacing="0" w:line="360" w:lineRule="auto"/>
        <w:ind w:left="-426" w:right="-330"/>
        <w:jc w:val="both"/>
        <w:textAlignment w:val="baseline"/>
        <w:rPr>
          <w:rStyle w:val="normaltextrun"/>
          <w:rFonts w:ascii="Arial" w:eastAsiaTheme="minorEastAsia" w:hAnsi="Arial" w:cs="Arial"/>
          <w:color w:val="000000" w:themeColor="text1"/>
          <w:sz w:val="22"/>
          <w:szCs w:val="22"/>
          <w:lang w:eastAsia="en-US"/>
        </w:rPr>
      </w:pPr>
      <w:r w:rsidRPr="002B3D8A">
        <w:rPr>
          <w:rFonts w:ascii="Arial" w:hAnsi="Arial" w:cs="Arial"/>
          <w:color w:val="000000" w:themeColor="text1"/>
        </w:rPr>
        <w:t xml:space="preserve">Similar results were obtained from a pot experiment study investigating different organic amendments, organic fertilizers and fenamiphos on naturally infested soil with </w:t>
      </w:r>
      <w:r w:rsidRPr="002B3D8A">
        <w:rPr>
          <w:rFonts w:ascii="Arial" w:hAnsi="Arial" w:cs="Arial"/>
          <w:i/>
          <w:color w:val="000000" w:themeColor="text1"/>
        </w:rPr>
        <w:t>Meloidogyne incognita</w:t>
      </w:r>
      <w:r w:rsidRPr="002B3D8A">
        <w:rPr>
          <w:rFonts w:ascii="Arial" w:hAnsi="Arial" w:cs="Arial"/>
          <w:color w:val="000000" w:themeColor="text1"/>
        </w:rPr>
        <w:t xml:space="preserve">, </w:t>
      </w:r>
      <w:proofErr w:type="spellStart"/>
      <w:r w:rsidRPr="002B3D8A">
        <w:rPr>
          <w:rFonts w:ascii="Arial" w:hAnsi="Arial" w:cs="Arial"/>
          <w:i/>
          <w:color w:val="000000" w:themeColor="text1"/>
        </w:rPr>
        <w:t>Criconema</w:t>
      </w:r>
      <w:proofErr w:type="spellEnd"/>
      <w:r w:rsidRPr="002B3D8A">
        <w:rPr>
          <w:rFonts w:ascii="Arial" w:hAnsi="Arial" w:cs="Arial"/>
          <w:i/>
          <w:color w:val="000000" w:themeColor="text1"/>
        </w:rPr>
        <w:t xml:space="preserve"> </w:t>
      </w:r>
      <w:proofErr w:type="spellStart"/>
      <w:r w:rsidRPr="002B3D8A">
        <w:rPr>
          <w:rFonts w:ascii="Arial" w:hAnsi="Arial" w:cs="Arial"/>
          <w:i/>
          <w:color w:val="000000" w:themeColor="text1"/>
        </w:rPr>
        <w:t>xenoplax</w:t>
      </w:r>
      <w:proofErr w:type="spellEnd"/>
      <w:r w:rsidRPr="002B3D8A">
        <w:rPr>
          <w:rFonts w:ascii="Arial" w:hAnsi="Arial" w:cs="Arial"/>
          <w:color w:val="000000" w:themeColor="text1"/>
        </w:rPr>
        <w:t xml:space="preserve"> and </w:t>
      </w:r>
      <w:proofErr w:type="spellStart"/>
      <w:r w:rsidRPr="002B3D8A">
        <w:rPr>
          <w:rFonts w:ascii="Arial" w:hAnsi="Arial" w:cs="Arial"/>
          <w:i/>
          <w:color w:val="000000" w:themeColor="text1"/>
        </w:rPr>
        <w:t>Paratrichodorus</w:t>
      </w:r>
      <w:proofErr w:type="spellEnd"/>
      <w:r w:rsidRPr="002B3D8A">
        <w:rPr>
          <w:rFonts w:ascii="Arial" w:hAnsi="Arial" w:cs="Arial"/>
          <w:color w:val="000000" w:themeColor="text1"/>
        </w:rPr>
        <w:t xml:space="preserve"> spp. Densities of </w:t>
      </w:r>
      <w:r w:rsidRPr="005E73A4">
        <w:rPr>
          <w:rFonts w:ascii="Arial" w:hAnsi="Arial" w:cs="Arial"/>
          <w:i/>
          <w:color w:val="000000" w:themeColor="text1"/>
        </w:rPr>
        <w:t>Paratrichodorus</w:t>
      </w:r>
      <w:r w:rsidRPr="002B3D8A">
        <w:rPr>
          <w:rFonts w:ascii="Arial" w:hAnsi="Arial" w:cs="Arial"/>
          <w:color w:val="000000" w:themeColor="text1"/>
        </w:rPr>
        <w:t xml:space="preserve"> spp were reduced in amended soil as compared to unamended soils. No differences were observed in the densities of </w:t>
      </w:r>
      <w:r w:rsidRPr="000B1768">
        <w:rPr>
          <w:rFonts w:ascii="Arial" w:hAnsi="Arial" w:cs="Arial"/>
          <w:i/>
          <w:color w:val="000000" w:themeColor="text1"/>
        </w:rPr>
        <w:t>C. xenoplax</w:t>
      </w:r>
      <w:r w:rsidRPr="002B3D8A">
        <w:rPr>
          <w:rFonts w:ascii="Arial" w:hAnsi="Arial" w:cs="Arial"/>
          <w:color w:val="000000" w:themeColor="text1"/>
        </w:rPr>
        <w:t xml:space="preserve">. Densities of </w:t>
      </w:r>
      <w:r w:rsidRPr="002B3D8A">
        <w:rPr>
          <w:rFonts w:ascii="Arial" w:hAnsi="Arial" w:cs="Arial"/>
          <w:i/>
          <w:color w:val="000000" w:themeColor="text1"/>
        </w:rPr>
        <w:t>Meloidogyne incognita</w:t>
      </w:r>
      <w:r w:rsidRPr="002B3D8A">
        <w:rPr>
          <w:rFonts w:ascii="Arial" w:hAnsi="Arial" w:cs="Arial"/>
          <w:color w:val="000000" w:themeColor="text1"/>
        </w:rPr>
        <w:t xml:space="preserve"> were suppressed in soils </w:t>
      </w:r>
      <w:r w:rsidR="00A94AE2" w:rsidRPr="002B3D8A">
        <w:rPr>
          <w:rFonts w:ascii="Arial" w:hAnsi="Arial" w:cs="Arial"/>
          <w:color w:val="000000" w:themeColor="text1"/>
        </w:rPr>
        <w:t xml:space="preserve">amended </w:t>
      </w:r>
      <w:r w:rsidRPr="002B3D8A">
        <w:rPr>
          <w:rFonts w:ascii="Arial" w:hAnsi="Arial" w:cs="Arial"/>
          <w:color w:val="000000" w:themeColor="text1"/>
        </w:rPr>
        <w:t xml:space="preserve">with pea straw, potato peels, green manures, </w:t>
      </w:r>
      <w:r w:rsidR="00A94AE2">
        <w:rPr>
          <w:rFonts w:ascii="Arial" w:hAnsi="Arial" w:cs="Arial"/>
          <w:color w:val="000000" w:themeColor="text1"/>
        </w:rPr>
        <w:t>l</w:t>
      </w:r>
      <w:r w:rsidRPr="002B3D8A">
        <w:rPr>
          <w:rFonts w:ascii="Arial" w:hAnsi="Arial" w:cs="Arial"/>
          <w:color w:val="000000" w:themeColor="text1"/>
        </w:rPr>
        <w:t>ucerne pellets and soils initially held at ambient temperature and treated with fenamiphos</w:t>
      </w:r>
      <w:r w:rsidR="006F5B1C" w:rsidRPr="002B3D8A">
        <w:rPr>
          <w:rFonts w:ascii="Arial" w:hAnsi="Arial" w:cs="Arial"/>
          <w:color w:val="000000" w:themeColor="text1"/>
        </w:rPr>
        <w:t xml:space="preserve"> </w:t>
      </w:r>
      <w:r w:rsidRPr="002B3D8A">
        <w:rPr>
          <w:rFonts w:ascii="Arial" w:hAnsi="Arial" w:cs="Arial"/>
          <w:color w:val="000000" w:themeColor="text1"/>
        </w:rPr>
        <w:fldChar w:fldCharType="begin" w:fldLock="1"/>
      </w:r>
      <w:r w:rsidRPr="002B3D8A">
        <w:rPr>
          <w:rFonts w:ascii="Arial" w:hAnsi="Arial" w:cs="Arial"/>
          <w:color w:val="000000" w:themeColor="text1"/>
        </w:rPr>
        <w:instrText>ADDIN CSL_CITATION {"citationItems":[{"id":"ITEM-1","itemData":{"abstract":"The effects of various organic amendments, fertilisers and fenamiphos on the growth of tomatoes were compared in pots containing soil naturally infested with the plant parasitic nematodes Meloidogyne javanica, Paratrichodorus sp. and Criconemella xenoplax and free living nematodes. Organic amendments (at 3.2-14 t Dry Matter/ha, or 10,270 l molasses/ha) were added to the soil six weeks before transplanting tomato cv. Grosse Lisse. Soils amended with grassy weed residues, barley residues, lucerne pellets, molasses, two commercial organic fertilisers, or with complete fertiliser stimulated stem growth of tomato plants. Root growth was stimulated in plants grown in soil amended with molasses; this was correlated with an increased root gall index, but M. javanica densities in soil and roots were not elevated. Root gall index was also increased in plants grown with complete fertiliser. Fruit yield was stimulated in plants grown in soil amended or treated with grassy weed residues, lucerne pellets, complete fertiliser or fenamiphos; yields were 740% higher in plants grown in soil amended with grassy weed residues than in plants grown in unamended soil with an equivalent rate of urea. Shredded paper and potato peel caused N deficiency and poor growth, and sudden collapse was observed in plants growing in soil amended with potato peel, due to infection of stem bases by Pythium sp. Pea straw was resistant to breakdown, and inhibited plant growth. Lucerne pellets, a pig manure-based organic fertiliser, and fenamiphos reduced densities of M. javanica in soil; lucerne pellets, composted green waste and fenamiphos reduced densities of M. javanica on tomato roots. Densities of Paratrichodorus sp. were reduced in soil amended with all solid organic materials, or with molasses. Criconemella xenoplax densities remained low in all treatments. Of soil amendments and treatments that did not inhibit plant growth, only grassy weed residues, lucerne pellets and poultry manure maintained elevated densities of freeliving nematodes in soil up to harvest. Grassy weed residues and lucerne pellets have potential for stimulating tomato growth, and/or reducing M. javanica densities, while increasing densities of free-living nematodes.","author":[{"dropping-particle":"","family":"Walker","given":"G. E.","non-dropping-particle":"","parse-names":false,"suffix":""}],"container-title":"Nematologia Mediterranea","id":"ITEM-1","issued":{"date-parts":[["2007","12","15"]]},"page":"131-136","title":"Effects of organic amendments, fertilisers and fenamiphos on parasitic and free-living nematodes, tomato growth and yield","type":"article-journal","volume":"35"},"uris":["http://www.mendeley.com/documents/?uuid=0466553c-a98d-362a-82b3-23778708674b"]}],"mendeley":{"formattedCitation":"(Walker, 2007)","plainTextFormattedCitation":"(Walker, 2007)","previouslyFormattedCitation":"(Walker, 2007)"},"properties":{"noteIndex":0},"schema":"https://github.com/citation-style-language/schema/raw/master/csl-citation.json"}</w:instrText>
      </w:r>
      <w:r w:rsidRPr="002B3D8A">
        <w:rPr>
          <w:rFonts w:ascii="Arial" w:hAnsi="Arial" w:cs="Arial"/>
          <w:color w:val="000000" w:themeColor="text1"/>
        </w:rPr>
        <w:fldChar w:fldCharType="separate"/>
      </w:r>
      <w:r w:rsidRPr="002B3D8A">
        <w:rPr>
          <w:rFonts w:ascii="Arial" w:hAnsi="Arial" w:cs="Arial"/>
          <w:noProof/>
          <w:color w:val="000000" w:themeColor="text1"/>
        </w:rPr>
        <w:t>(Walker, 2007)</w:t>
      </w:r>
      <w:r w:rsidRPr="002B3D8A">
        <w:rPr>
          <w:rFonts w:ascii="Arial" w:hAnsi="Arial" w:cs="Arial"/>
          <w:color w:val="000000" w:themeColor="text1"/>
        </w:rPr>
        <w:fldChar w:fldCharType="end"/>
      </w:r>
      <w:r w:rsidRPr="002B3D8A">
        <w:rPr>
          <w:rFonts w:ascii="Arial" w:hAnsi="Arial" w:cs="Arial"/>
          <w:color w:val="000000" w:themeColor="text1"/>
        </w:rPr>
        <w:t>. Marigolds (</w:t>
      </w:r>
      <w:r w:rsidRPr="002B3D8A">
        <w:rPr>
          <w:rFonts w:ascii="Arial" w:hAnsi="Arial" w:cs="Arial"/>
          <w:i/>
          <w:color w:val="000000" w:themeColor="text1"/>
        </w:rPr>
        <w:t>Tagetes</w:t>
      </w:r>
      <w:r w:rsidRPr="002B3D8A">
        <w:rPr>
          <w:rFonts w:ascii="Arial" w:hAnsi="Arial" w:cs="Arial"/>
          <w:color w:val="000000" w:themeColor="text1"/>
        </w:rPr>
        <w:t xml:space="preserve"> spp.) are another group of plants that have been widely studied for their ability to supress nematodes by producing compounds that are potentially allelopathic to parasitic nematodes. Alpha-terthienyl has been the major compound associated with nematicidal activity. This compound contains sulphur and is concentrated in </w:t>
      </w:r>
      <w:r w:rsidRPr="002B3D8A">
        <w:rPr>
          <w:rFonts w:ascii="Arial" w:hAnsi="Arial" w:cs="Arial"/>
          <w:i/>
          <w:color w:val="000000" w:themeColor="text1"/>
        </w:rPr>
        <w:t>Tagetes</w:t>
      </w:r>
      <w:r w:rsidRPr="002B3D8A">
        <w:rPr>
          <w:rFonts w:ascii="Arial" w:hAnsi="Arial" w:cs="Arial"/>
          <w:color w:val="000000" w:themeColor="text1"/>
        </w:rPr>
        <w:t xml:space="preserve"> spp tissues. The activity of the compound is photoactivated or is released in response to</w:t>
      </w:r>
      <w:r w:rsidR="00A94AE2">
        <w:rPr>
          <w:rFonts w:ascii="Arial" w:hAnsi="Arial" w:cs="Arial"/>
          <w:color w:val="000000" w:themeColor="text1"/>
        </w:rPr>
        <w:t xml:space="preserve"> root</w:t>
      </w:r>
      <w:r w:rsidRPr="002B3D8A">
        <w:rPr>
          <w:rFonts w:ascii="Arial" w:hAnsi="Arial" w:cs="Arial"/>
          <w:color w:val="000000" w:themeColor="text1"/>
        </w:rPr>
        <w:t xml:space="preserve"> penetration </w:t>
      </w:r>
      <w:r w:rsidR="00A94AE2">
        <w:rPr>
          <w:rFonts w:ascii="Arial" w:hAnsi="Arial" w:cs="Arial"/>
          <w:color w:val="000000" w:themeColor="text1"/>
        </w:rPr>
        <w:t>by</w:t>
      </w:r>
      <w:r w:rsidRPr="002B3D8A">
        <w:rPr>
          <w:rFonts w:ascii="Arial" w:hAnsi="Arial" w:cs="Arial"/>
          <w:color w:val="000000" w:themeColor="text1"/>
        </w:rPr>
        <w:t xml:space="preserve"> </w:t>
      </w:r>
      <w:r w:rsidR="00A94AE2">
        <w:rPr>
          <w:rFonts w:ascii="Arial" w:hAnsi="Arial" w:cs="Arial"/>
          <w:color w:val="000000" w:themeColor="text1"/>
        </w:rPr>
        <w:t>nematodes</w:t>
      </w:r>
      <w:r w:rsidRPr="002B3D8A">
        <w:rPr>
          <w:rFonts w:ascii="Arial" w:hAnsi="Arial" w:cs="Arial"/>
          <w:color w:val="000000" w:themeColor="text1"/>
        </w:rPr>
        <w:t xml:space="preserve"> </w:t>
      </w:r>
      <w:r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{"citationItems":[{"id":"ITEM-1","itemData":{"DOI":"10.1016/j.apsoil.2010.09.005","ISSN":"09291393","abstract":"A plethora of research has been conducted on the use of marigolds (Tagetes spp.) for nematode suppression, yet limited cover cropping with marigold is being practiced in commercial operations. Marigold is well known among nematologists for its ability to produce compounds such as α-terthienyl that are allelopathic to many species of plant-parasitic nematodes. However, there are contradictory reports on how this compound is released. The uncertainty centers on whether allelopathic compounds are released from root or shoot tissues, by growing live plants or soil-amended tissues, as a response to nematode penetration, or as a non-specific repellent. Other mechanisms by which marigold suppresses plant-parasitic nematodes include acting as a poor host, enhancing nematode-antagonistic microorganisms, or acting as a \" dead-end\" trap crop. Interpretation is complicated because multiple mechanisms may operate simultaneously. Understanding the exact mechanisms responsible for the nematode-suppressive effects of marigold could lead to further/broader incorporation into nematode management programs. This literature review revealed variable findings from marigold use. For example, in some instances using marigold was reported to be more effective than nematicides or soil fumigants and in other instances it had a negative impact on cash crop growth and yield. This variation has been attributed to differences in the way marigolds were used (e.g. intercrop/cover crop/soil amendment, seeding rate, time between marigold and cash crop), marigold cultivar, species or races of target nematodes, temperature, or age of marigold plant. Thus, future research should focus on determining the exact causes of this variability and on developing field IPM programs that take advantage of the nematode-suppressive potential of marigold. © 2010 Elsevier B.V.","author":[{"dropping-particle":"","family":"Hooks","given":"Cerruti R.R.","non-dropping-particle":"","parse-names":false,"suffix":""},{"dropping-particle":"","family":"Wang","given":"Koon Hui","non-dropping-particle":"","parse-names":false,"suffix":""},{"dropping-particle":"","family":"Ploeg","given":"Antoon","non-dropping-particle":"","parse-names":false,"suffix":""},{"dropping-particle":"","family":"McSorley","given":"Robert","non-dropping-particle":"","parse-names":false,"suffix":""}],"container-title":"Applied Soil Ecology","id":"ITEM-1","issue":"3","issued":{"date-parts":[["2010","11","1"]]},"page":"307-320","publisher":"Elsevier","title":"Using marigold (Tagetes spp.) as a cover crop to protect crops from plant-parasitic nematodes","type":"article-journal","volume":"46"},"uris":["http://www.mendeley.com/documents/?uuid=c24a1bdb-4266-414e-ae19-0ace43f1c588"]}],"mendeley":{"formattedCitation":"(Hooks &lt;i&gt;et al.&lt;/i&gt;, 2010)","plainTextFormattedCitation":"(Hooks et al., 2010)","previouslyFormattedCitation":"(Hooks &lt;i&gt;et al.&lt;/i&gt;, 2010)"},"properties":{"noteIndex":0},"schema":"https://github.com/citation-style-language/schema/raw/master/csl-citation.json"}</w:instrText>
      </w:r>
      <w:r w:rsidRPr="002B3D8A">
        <w:rPr>
          <w:rFonts w:ascii="Arial" w:hAnsi="Arial" w:cs="Arial"/>
          <w:color w:val="000000" w:themeColor="text1"/>
        </w:rPr>
        <w:fldChar w:fldCharType="separate"/>
      </w:r>
      <w:r w:rsidR="00A07F2C" w:rsidRPr="00A07F2C">
        <w:rPr>
          <w:rFonts w:ascii="Arial" w:hAnsi="Arial" w:cs="Arial"/>
          <w:noProof/>
          <w:color w:val="000000" w:themeColor="text1"/>
        </w:rPr>
        <w:t xml:space="preserve">(Hooks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2010)</w:t>
      </w:r>
      <w:r w:rsidRPr="002B3D8A">
        <w:rPr>
          <w:rFonts w:ascii="Arial" w:hAnsi="Arial" w:cs="Arial"/>
          <w:color w:val="000000" w:themeColor="text1"/>
        </w:rPr>
        <w:fldChar w:fldCharType="end"/>
      </w:r>
      <w:r w:rsidRPr="002B3D8A">
        <w:rPr>
          <w:rFonts w:ascii="Arial" w:hAnsi="Arial" w:cs="Arial"/>
          <w:color w:val="000000" w:themeColor="text1"/>
        </w:rPr>
        <w:t xml:space="preserve">. The nematicidal effect of marigolds has been attributed also to other biologically active compounds such as essential oils which are believed to be working in combination with </w:t>
      </w:r>
      <w:r w:rsidRPr="002B3D8A">
        <w:rPr>
          <w:rFonts w:ascii="Arial" w:hAnsi="Arial" w:cs="Arial"/>
          <w:color w:val="000000" w:themeColor="text1"/>
          <w:lang w:val="en-US"/>
        </w:rPr>
        <w:t xml:space="preserve">α-terthienyl </w:t>
      </w:r>
      <w:r w:rsidRPr="002B3D8A">
        <w:rPr>
          <w:rFonts w:ascii="Arial" w:hAnsi="Arial" w:cs="Arial"/>
          <w:color w:val="000000" w:themeColor="text1"/>
          <w:lang w:val="en-US"/>
        </w:rPr>
        <w:fldChar w:fldCharType="begin" w:fldLock="1"/>
      </w:r>
      <w:r w:rsidR="00D36042">
        <w:rPr>
          <w:rFonts w:ascii="Arial" w:hAnsi="Arial" w:cs="Arial"/>
          <w:color w:val="000000" w:themeColor="text1"/>
          <w:lang w:val="en-US"/>
        </w:rPr>
        <w:instrText>ADDIN CSL_CITATION {"citationItems":[{"id":"ITEM-1","itemData":{"DOI":"10.1016/j.cpb.2019.02.001","ISSN":"22146628","abstract":"Plant-parasitic nematodes (PPNs)are considered as one of the major limiting factors in global crop production system. Due to the introduction of tighter limits in registering new biocidal molecules and a gradual phase-out of nematicides for high environmental impact, considerations for non-chemical alternatives have been realised. The biofumigation technique which involves the incorporation of mechanically chopped brassicaceous plant material into the soil to control soilborne nematodes offers an attractive alternative for PPN management. Biofumigant effect is mainly caused by the volatile and toxic isothiocynates originated from the hydrolysis of secondary metabolite glucosinolate present in the Brassica tissues. The scope of biofumigation has been expanded to other non-brassica plants which produce volatile pathogen-suppressing molecules. The graminaceous plants such as sorghum and sudangrass are known to produce nematicidal cyanides via enzymatic hydrolysis of precursor cyanogenic glycoside/dhurrin. The allelopathic plant marigold is known to produce α-terthienyl, which has shown potential biofumigation effect against PPNs. The objective of this review is to detail the tactics used to manipulate various brassica and non-brassica biofumigant crops and to present the mechanisms responsible for PPN suppression by these crops. The ecological aspects underpinning the responses of PPNs to these crops were not austerely discussed in earlier literature. Herein, we present a holistic assessment of the impact of biofumigation technique in managing PPNs in various crops and explore the employability of this technique in integrated nematode management (INM)practices.","author":[{"dropping-particle":"","family":"Dutta","given":"Tushar K.","non-dropping-particle":"","parse-names":false,"suffix":""},{"dropping-particle":"","family":"Khan","given":"Matiyar R.","non-dropping-particle":"","parse-names":false,"suffix":""},{"dropping-particle":"","family":"Phani","given":"Victor","non-dropping-particle":"","parse-names":false,"suffix":""}],"container-title":"Current Plant Biology","id":"ITEM-1","issue":"February","issued":{"date-parts":[["2019"]]},"page":"17-32","publisher":"Elsevier","title":"Plant-parasitic nematode management via biofumigation using brassica and non-brassica plants: Current status and future prospects","type":"article-journal","volume":"17"},"uris":["http://www.mendeley.com/documents/?uuid=da3fa037-8177-4777-80c8-9f65769c50a4"]}],"mendeley":{"formattedCitation":"(Dutta, Khan and Phani, 2019)","plainTextFormattedCitation":"(Dutta, Khan and Phani, 2019)","previouslyFormattedCitation":"(Dutta, Khan and Phani, 2019)"},"properties":{"noteIndex":0},"schema":"https://github.com/citation-style-language/schema/raw/master/csl-citation.json"}</w:instrText>
      </w:r>
      <w:r w:rsidRPr="002B3D8A">
        <w:rPr>
          <w:rFonts w:ascii="Arial" w:hAnsi="Arial" w:cs="Arial"/>
          <w:color w:val="000000" w:themeColor="text1"/>
          <w:lang w:val="en-US"/>
        </w:rPr>
        <w:fldChar w:fldCharType="separate"/>
      </w:r>
      <w:r w:rsidR="00AC07D4" w:rsidRPr="00AC07D4">
        <w:rPr>
          <w:rFonts w:ascii="Arial" w:hAnsi="Arial" w:cs="Arial"/>
          <w:noProof/>
          <w:color w:val="000000" w:themeColor="text1"/>
          <w:lang w:val="en-US"/>
        </w:rPr>
        <w:t>(Dutta, Khan and Phani, 2019)</w:t>
      </w:r>
      <w:r w:rsidRPr="002B3D8A">
        <w:rPr>
          <w:rFonts w:ascii="Arial" w:hAnsi="Arial" w:cs="Arial"/>
          <w:color w:val="000000" w:themeColor="text1"/>
          <w:lang w:val="en-US"/>
        </w:rPr>
        <w:fldChar w:fldCharType="end"/>
      </w:r>
      <w:r w:rsidRPr="002B3D8A">
        <w:rPr>
          <w:rFonts w:ascii="Arial" w:hAnsi="Arial" w:cs="Arial"/>
          <w:color w:val="000000" w:themeColor="text1"/>
          <w:lang w:val="en-US"/>
        </w:rPr>
        <w:t>.</w:t>
      </w:r>
      <w:r w:rsidR="00A94AE2">
        <w:rPr>
          <w:rFonts w:ascii="Arial" w:hAnsi="Arial" w:cs="Arial"/>
          <w:color w:val="000000" w:themeColor="text1"/>
          <w:lang w:val="en-US"/>
        </w:rPr>
        <w:t xml:space="preserve"> </w:t>
      </w:r>
      <w:r w:rsidRPr="002B3D8A">
        <w:rPr>
          <w:rStyle w:val="normaltextrun"/>
          <w:rFonts w:ascii="Arial" w:hAnsi="Arial" w:cs="Arial"/>
          <w:color w:val="000000" w:themeColor="text1"/>
          <w:lang w:val="en-US"/>
        </w:rPr>
        <w:t xml:space="preserve">These mechanisms may work separately on in combination either as non-host, poor-host, allelopathy, trap crop or facilitation of other antagonistic flora and fauna </w:t>
      </w:r>
      <w:r w:rsidRPr="002B3D8A">
        <w:rPr>
          <w:rStyle w:val="normaltextrun"/>
          <w:rFonts w:ascii="Arial" w:hAnsi="Arial" w:cs="Arial"/>
          <w:color w:val="000000" w:themeColor="text1"/>
          <w:lang w:val="en-US"/>
        </w:rPr>
        <w:fldChar w:fldCharType="begin" w:fldLock="1"/>
      </w:r>
      <w:r w:rsidR="00200FF9">
        <w:rPr>
          <w:rStyle w:val="normaltextrun"/>
          <w:rFonts w:ascii="Arial" w:hAnsi="Arial" w:cs="Arial"/>
          <w:color w:val="000000" w:themeColor="text1"/>
          <w:lang w:val="en-US"/>
        </w:rPr>
        <w:instrText>ADDIN CSL_CITATION {"citationItems":[{"id":"ITEM-1","itemData":{"ISSN":"2220-5616","abstract":"Wang, K. H., B. S. Sipes, and D. P. Schmitt. 2001. Suppression of Rotylenchulus reniformis by Crotalaria juncea , Brassica napus , and Tagetes erecta. Nematropica 31:237-251. The effects of Crotalaria juncea , Brassica napus and Tagetes erecta on resistance, allelopathic suppression , and enhancement of nematode antagonists against Rotylenchulus reniformis were examined in a series of greenhouse experiments. Crotalaria juncea and B. napus are poor hosts to R. reniformis as compared to Vigna unguiculata. Tagetes erecta was as good a host for R. reniformis as was Ananas comosus. Cro-talaria juncea delayed the development of female nematodes compared to V. unguiculata. Allelopathic effects against R. reniformis were most pronounced in leaf leachate of C. juncea 2 days after incorporation where the viability of the nematode was suppressed to &lt;0.5% as opposed to &gt;60% when the R. reniformis were incubated overnight in leachates of B. napus , T. erecta , A. comosus , sand or distilled water. Amendment with C. juncea was most efficient in enhancing parasitic nematode-trapping fungi, R. reniformis egg-parasitic fungi, vermiform stage parasites, and bacterivorous nematodes compared to B. napus, and T. erecta leaf amendments. Bare soil and 1,3-Dichloropropene treatments suppressed nematode-trapping fungal population densities. Suppression of R. reniformis development on V. un-guiculata by these crop amendments was inconclusive due to the short cowpea bioassay period. However , C. juncea amendments enhanced cowpea growth more than did the other soil amendment treatments. Among the crops tested, C. juncea is the most promising cover crop for R. reniformis management .. 2001. Supresión de Rotylenchulus reniformis por medio de Cro-talaria juncea , Brassica napus , y Tagetes erecta. Nematrópica 31:237-251. Los efectos de Crotalaria juncea , Brassica napus y Tagetes erecta sobre la resistencia, supresión alelopática, y aumento de nematodos antagonistas contra Rotylenchulus reniformis se evaluaron en una serie de experimentos realizados en invernaderos. C. juncea y B. napus no son hospederas apropiadas para R. reniformis al compararlas con Vigna unguiculata. T. erecta fue tan buena hospedera para R. reni-formis como lo fue Ananas comosus. C. juncea retardó el desarrollo de las hembras al compararlas con V. unguiculata. Efectos alelopáticos contra R. reniformis fueron más acentuados dos días después de la incorporación de filtrados de hojas de C. juncea. B ajo este tratam…","author":[{"dropping-particle":"","family":"Wang","given":"K H","non-dropping-particle":"","parse-names":false,"suffix":""},{"dropping-particle":"","family":"Sipes","given":"B S","non-dropping-particle":"","parse-names":false,"suffix":""},{"dropping-particle":"","family":"Schmitt","given":"D P","non-dropping-particle":"","parse-names":false,"suffix":""}],"container-title":"Nematropica","id":"ITEM-1","issue":"2","issued":{"date-parts":[["2001","12","1"]]},"page":"235-250","title":"Suppression of Rotylenchulus reniformis by Crotalaria juncea , Brassica napus , and Tagetes erecta †","type":"article-journal","volume":"31"},"uris":["http://www.mendeley.com/documents/?uuid=6d041cd2-8cfd-3d94-bca4-8df1225e996f"]}],"mendeley":{"formattedCitation":"(Wang, Sipes and Schmitt, 2001)","manualFormatting":"(Wang et al., 2001)","plainTextFormattedCitation":"(Wang, Sipes and Schmitt, 2001)","previouslyFormattedCitation":"(Wang, Sipes and Schmitt, 2001)"},"properties":{"noteIndex":0},"schema":"https://github.com/citation-style-language/schema/raw/master/csl-citation.json"}</w:instrText>
      </w:r>
      <w:r w:rsidRPr="002B3D8A">
        <w:rPr>
          <w:rStyle w:val="normaltextrun"/>
          <w:rFonts w:ascii="Arial" w:hAnsi="Arial" w:cs="Arial"/>
          <w:color w:val="000000" w:themeColor="text1"/>
          <w:lang w:val="en-US"/>
        </w:rPr>
        <w:fldChar w:fldCharType="separate"/>
      </w:r>
      <w:r w:rsidRPr="002B3D8A">
        <w:rPr>
          <w:rStyle w:val="normaltextrun"/>
          <w:rFonts w:ascii="Arial" w:hAnsi="Arial" w:cs="Arial"/>
          <w:noProof/>
          <w:color w:val="000000" w:themeColor="text1"/>
          <w:lang w:val="en-US"/>
        </w:rPr>
        <w:t>(Wang et al., 2001)</w:t>
      </w:r>
      <w:r w:rsidRPr="002B3D8A">
        <w:rPr>
          <w:rStyle w:val="normaltextrun"/>
          <w:rFonts w:ascii="Arial" w:hAnsi="Arial" w:cs="Arial"/>
          <w:color w:val="000000" w:themeColor="text1"/>
          <w:lang w:val="en-US"/>
        </w:rPr>
        <w:fldChar w:fldCharType="end"/>
      </w:r>
      <w:r w:rsidRPr="002B3D8A">
        <w:rPr>
          <w:rStyle w:val="normaltextrun"/>
          <w:rFonts w:ascii="Arial" w:hAnsi="Arial" w:cs="Arial"/>
          <w:color w:val="000000" w:themeColor="text1"/>
          <w:lang w:val="en-US"/>
        </w:rPr>
        <w:t xml:space="preserve">. </w:t>
      </w:r>
      <w:r w:rsidR="00A94AE2">
        <w:rPr>
          <w:rStyle w:val="normaltextrun"/>
          <w:rFonts w:ascii="Arial" w:hAnsi="Arial" w:cs="Arial"/>
          <w:color w:val="000000" w:themeColor="text1"/>
          <w:lang w:val="en-US"/>
        </w:rPr>
        <w:t>Marigolds</w:t>
      </w:r>
      <w:r w:rsidR="00A94AE2" w:rsidRPr="002B3D8A">
        <w:rPr>
          <w:rStyle w:val="normaltextrun"/>
          <w:rFonts w:ascii="Arial" w:hAnsi="Arial" w:cs="Arial"/>
          <w:color w:val="000000" w:themeColor="text1"/>
          <w:lang w:val="en-US"/>
        </w:rPr>
        <w:t xml:space="preserve"> </w:t>
      </w:r>
      <w:r w:rsidRPr="002B3D8A">
        <w:rPr>
          <w:rStyle w:val="normaltextrun"/>
          <w:rFonts w:ascii="Arial" w:hAnsi="Arial" w:cs="Arial"/>
          <w:color w:val="000000" w:themeColor="text1"/>
          <w:lang w:val="en-US"/>
        </w:rPr>
        <w:t xml:space="preserve">have been mostly </w:t>
      </w:r>
      <w:r w:rsidRPr="002B3D8A">
        <w:rPr>
          <w:rStyle w:val="eop"/>
          <w:rFonts w:ascii="Arial" w:hAnsi="Arial" w:cs="Arial"/>
          <w:color w:val="000000" w:themeColor="text1"/>
        </w:rPr>
        <w:t>exploited against endoparasitic nematodes</w:t>
      </w:r>
      <w:r w:rsidR="00A94AE2">
        <w:rPr>
          <w:rStyle w:val="eop"/>
          <w:rFonts w:ascii="Arial" w:hAnsi="Arial" w:cs="Arial"/>
          <w:color w:val="000000" w:themeColor="text1"/>
        </w:rPr>
        <w:t xml:space="preserve">, such as root lesion </w:t>
      </w:r>
      <w:r w:rsidR="00A94AE2">
        <w:rPr>
          <w:rStyle w:val="eop"/>
          <w:rFonts w:ascii="Arial" w:hAnsi="Arial" w:cs="Arial"/>
          <w:color w:val="000000" w:themeColor="text1"/>
        </w:rPr>
        <w:lastRenderedPageBreak/>
        <w:t>nematodes (</w:t>
      </w:r>
      <w:r w:rsidR="00A94AE2" w:rsidRPr="00F63475">
        <w:rPr>
          <w:rStyle w:val="eop"/>
          <w:rFonts w:ascii="Arial" w:hAnsi="Arial" w:cs="Arial"/>
          <w:i/>
          <w:color w:val="000000" w:themeColor="text1"/>
        </w:rPr>
        <w:t>Pratylenchus</w:t>
      </w:r>
      <w:r w:rsidR="00A94AE2">
        <w:rPr>
          <w:rStyle w:val="eop"/>
          <w:rFonts w:ascii="Arial" w:hAnsi="Arial" w:cs="Arial"/>
          <w:color w:val="000000" w:themeColor="text1"/>
        </w:rPr>
        <w:t xml:space="preserve"> spp.) </w:t>
      </w:r>
      <w:r w:rsidRPr="002B3D8A">
        <w:rPr>
          <w:rStyle w:val="normaltextrun"/>
          <w:rFonts w:ascii="Arial" w:hAnsi="Arial" w:cs="Arial"/>
          <w:color w:val="000000" w:themeColor="text1"/>
          <w:lang w:val="en-US"/>
        </w:rPr>
        <w:t xml:space="preserve"> as either an intercrop or in rotations schemes</w:t>
      </w:r>
      <w:r w:rsidRPr="002B3D8A">
        <w:rPr>
          <w:rStyle w:val="eop"/>
          <w:rFonts w:ascii="Arial" w:hAnsi="Arial" w:cs="Arial"/>
          <w:color w:val="000000" w:themeColor="text1"/>
        </w:rPr>
        <w:t>. This is because root peroxidases are produced in response to nematode penetration in</w:t>
      </w:r>
      <w:r w:rsidR="00A94AE2">
        <w:rPr>
          <w:rStyle w:val="eop"/>
          <w:rFonts w:ascii="Arial" w:hAnsi="Arial" w:cs="Arial"/>
          <w:color w:val="000000" w:themeColor="text1"/>
        </w:rPr>
        <w:t xml:space="preserve"> the</w:t>
      </w:r>
      <w:r w:rsidRPr="002B3D8A">
        <w:rPr>
          <w:rStyle w:val="eop"/>
          <w:rFonts w:ascii="Arial" w:hAnsi="Arial" w:cs="Arial"/>
          <w:color w:val="000000" w:themeColor="text1"/>
        </w:rPr>
        <w:t xml:space="preserve"> absence of light</w:t>
      </w:r>
      <w:r w:rsidR="00A94AE2">
        <w:rPr>
          <w:rStyle w:val="eop"/>
          <w:rFonts w:ascii="Arial" w:hAnsi="Arial" w:cs="Arial"/>
          <w:color w:val="000000" w:themeColor="text1"/>
        </w:rPr>
        <w:t>,</w:t>
      </w:r>
      <w:r w:rsidRPr="002B3D8A">
        <w:rPr>
          <w:rStyle w:val="eop"/>
          <w:rFonts w:ascii="Arial" w:hAnsi="Arial" w:cs="Arial"/>
          <w:color w:val="000000" w:themeColor="text1"/>
        </w:rPr>
        <w:t xml:space="preserve"> which is the main activation factor. Therefore, nematodes that do not penetrate the root system </w:t>
      </w:r>
      <w:r w:rsidR="00121D40" w:rsidRPr="002B3D8A">
        <w:rPr>
          <w:rStyle w:val="eop"/>
          <w:rFonts w:ascii="Arial" w:hAnsi="Arial" w:cs="Arial"/>
          <w:color w:val="000000" w:themeColor="text1"/>
        </w:rPr>
        <w:t>i.e.</w:t>
      </w:r>
      <w:r w:rsidRPr="002B3D8A">
        <w:rPr>
          <w:rStyle w:val="eop"/>
          <w:rFonts w:ascii="Arial" w:hAnsi="Arial" w:cs="Arial"/>
          <w:color w:val="000000" w:themeColor="text1"/>
        </w:rPr>
        <w:t xml:space="preserve"> ectoparasites may not be affected by the </w:t>
      </w:r>
      <w:r w:rsidRPr="002B3D8A">
        <w:rPr>
          <w:rFonts w:ascii="Arial" w:hAnsi="Arial" w:cs="Arial"/>
          <w:color w:val="000000" w:themeColor="text1"/>
          <w:lang w:val="en-US"/>
        </w:rPr>
        <w:t>α-</w:t>
      </w:r>
      <w:r w:rsidRPr="002B3D8A">
        <w:rPr>
          <w:rStyle w:val="normaltextrun"/>
          <w:rFonts w:ascii="Arial" w:hAnsi="Arial" w:cs="Arial"/>
          <w:color w:val="000000" w:themeColor="text1"/>
          <w:lang w:val="en-US"/>
        </w:rPr>
        <w:t xml:space="preserve"> terthienyl biocidal compound (Bakker et al., </w:t>
      </w:r>
      <w:r w:rsidR="00121D40" w:rsidRPr="002B3D8A">
        <w:rPr>
          <w:rStyle w:val="normaltextrun"/>
          <w:rFonts w:ascii="Arial" w:hAnsi="Arial" w:cs="Arial"/>
          <w:color w:val="000000" w:themeColor="text1"/>
          <w:lang w:val="en-US"/>
        </w:rPr>
        <w:t>1979; Gommers</w:t>
      </w:r>
      <w:r w:rsidRPr="002B3D8A">
        <w:rPr>
          <w:rStyle w:val="normaltextrun"/>
          <w:rFonts w:ascii="Arial" w:hAnsi="Arial" w:cs="Arial"/>
          <w:color w:val="000000" w:themeColor="text1"/>
          <w:lang w:val="en-US"/>
        </w:rPr>
        <w:t xml:space="preserve">, 1972). </w:t>
      </w:r>
      <w:r w:rsidRPr="002B3D8A">
        <w:rPr>
          <w:rStyle w:val="eop"/>
          <w:rFonts w:ascii="Arial" w:hAnsi="Arial" w:cs="Arial"/>
          <w:color w:val="000000" w:themeColor="text1"/>
        </w:rPr>
        <w:t xml:space="preserve">Marigolds </w:t>
      </w:r>
      <w:r w:rsidR="00D07BF3" w:rsidRPr="002B3D8A">
        <w:rPr>
          <w:rStyle w:val="eop"/>
          <w:rFonts w:ascii="Arial" w:hAnsi="Arial" w:cs="Arial"/>
          <w:color w:val="000000" w:themeColor="text1"/>
        </w:rPr>
        <w:t xml:space="preserve">also </w:t>
      </w:r>
      <w:r w:rsidRPr="002B3D8A">
        <w:rPr>
          <w:rStyle w:val="eop"/>
          <w:rFonts w:ascii="Arial" w:hAnsi="Arial" w:cs="Arial"/>
          <w:color w:val="000000" w:themeColor="text1"/>
        </w:rPr>
        <w:t xml:space="preserve">act as trap crops </w:t>
      </w:r>
      <w:r w:rsidR="00D07BF3" w:rsidRPr="002B3D8A">
        <w:rPr>
          <w:rStyle w:val="eop"/>
          <w:rFonts w:ascii="Arial" w:hAnsi="Arial" w:cs="Arial"/>
          <w:color w:val="000000" w:themeColor="text1"/>
        </w:rPr>
        <w:t xml:space="preserve">where they cause arrested development of juveniles e.g. juveniles of </w:t>
      </w:r>
      <w:r w:rsidR="00D07BF3" w:rsidRPr="002B3D8A">
        <w:rPr>
          <w:rStyle w:val="eop"/>
          <w:rFonts w:ascii="Arial" w:hAnsi="Arial" w:cs="Arial"/>
          <w:i/>
          <w:color w:val="000000" w:themeColor="text1"/>
        </w:rPr>
        <w:t>Meloidogyne</w:t>
      </w:r>
      <w:r w:rsidR="00D07BF3" w:rsidRPr="002B3D8A">
        <w:rPr>
          <w:rStyle w:val="eop"/>
          <w:rFonts w:ascii="Arial" w:hAnsi="Arial" w:cs="Arial"/>
          <w:color w:val="000000" w:themeColor="text1"/>
        </w:rPr>
        <w:t xml:space="preserve"> spp </w:t>
      </w:r>
      <w:r w:rsidRPr="002B3D8A">
        <w:rPr>
          <w:rStyle w:val="normaltextrun"/>
          <w:rFonts w:ascii="Arial" w:hAnsi="Arial" w:cs="Arial"/>
          <w:color w:val="000000" w:themeColor="text1"/>
          <w:lang w:val="en-US"/>
        </w:rPr>
        <w:fldChar w:fldCharType="begin" w:fldLock="1"/>
      </w:r>
      <w:r w:rsidR="00E13293">
        <w:rPr>
          <w:rStyle w:val="normaltextrun"/>
          <w:rFonts w:ascii="Arial" w:hAnsi="Arial" w:cs="Arial"/>
          <w:color w:val="000000" w:themeColor="text1"/>
          <w:lang w:val="en-US"/>
        </w:rPr>
        <w:instrText>ADDIN CSL_CITATION {"citationItems":[{"id":"ITEM-1","itemData":{"DOI":"10.1163/187529263X00890","ISSN":"00282596","abstract":"Tagetes erecta, T. patula and T. minuta, when grown in M. javanica infested soil for 42 to 70 days in pots, reduce the nematode populations to low levels. T. minuta, a weed which grows vigorously in Rhodesia, has high levels of a-terthienyl in its roots but this compound, at dosages as high as 200 parts per million, when mixed in infested soil does not control M. javanica. Root-knot larvae fail to penetrate the roots of marigolds in any appreciable numbers and those that enter do not develop beyond the infective second stage larval form. © 1963 BRILL.","author":[{"dropping-particle":"","family":"Daulton","given":"R. A.C.","non-dropping-particle":"","parse-names":false,"suffix":""},{"dropping-particle":"","family":"Curtis","given":"R. F.","non-dropping-particle":"","parse-names":false,"suffix":""}],"container-title":"Nematologica","id":"ITEM-1","issue":"3","issued":{"date-parts":[["1963"]]},"page":"357-362","publisher":"Brill Academic Publishers","title":"The effects of tagetes spp. on meloidogyne javanica in southern rhodesia","type":"article-journal","volume":"9"},"uris":["http://www.mendeley.com/documents/?uuid=30abd3dc-ced6-3a46-a46a-aabad368b28b"]},{"id":"ITEM-2","itemData":{"abstract":"The suppression of Meloidogyne incognita by marigolds differed among six marigold cultivars and five soil temperatures. Tagetes signata (syn. T. tenuifolia) cv. Tangerine Gem and the Tagetes hybrid Polynema allowed reproduction and root galling when grown at 30 °C, and should not be used for control of M. incognita at temperatures close to 30 °C. Tagetes patula cultivars Single Gold and Tangerine and T. erecta Flor de Muerto, when grown within a 20-30 °C soil temperature range, significantly reduced root galling and nematode infestation of subsequent tomato compared to tomato following fallow. When grown at 10 °C or 15 °C, only one of the tested marigold cultivars (T. erecta CrackerJack at 15 °C) reduced M. incognita infection of subsequent tomato compared to tomato after fallow. Marigolds should be grown at soil temperatures above 15 °C to suppress M. incognita infection of a subsequent crop.","author":[{"dropping-particle":"","family":"Ploeg","given":"Antoon T","non-dropping-particle":"","parse-names":false,"suffix":""},{"dropping-particle":"","family":"Maris","given":"Paulus C","non-dropping-particle":"","parse-names":false,"suffix":""}],"container-title":"Journal of Nematology","id":"ITEM-2","issue":"4S","issued":{"date-parts":[["1999"]]},"page":"709-714","title":"Effect of Temperature on Suppression of Meloidogyne incognita by Tagetes Cultivars 1","type":"article-journal","volume":"31"},"uris":["http://www.mendeley.com/documents/?uuid=fe1f912c-a6a3-3ea9-a3c5-d50b48ba35af"]}],"mendeley":{"formattedCitation":"(Daulton and Curtis, 1963; Ploeg and Maris, 1999)","plainTextFormattedCitation":"(Daulton and Curtis, 1963; Ploeg and Maris, 1999)","previouslyFormattedCitation":"(Daulton and Curtis, 1963; Ploeg and Maris, 1999)"},"properties":{"noteIndex":0},"schema":"https://github.com/citation-style-language/schema/raw/master/csl-citation.json"}</w:instrText>
      </w:r>
      <w:r w:rsidRPr="002B3D8A">
        <w:rPr>
          <w:rStyle w:val="normaltextrun"/>
          <w:rFonts w:ascii="Arial" w:hAnsi="Arial" w:cs="Arial"/>
          <w:color w:val="000000" w:themeColor="text1"/>
          <w:lang w:val="en-US"/>
        </w:rPr>
        <w:fldChar w:fldCharType="separate"/>
      </w:r>
      <w:r w:rsidR="00E13293" w:rsidRPr="00E13293">
        <w:rPr>
          <w:rStyle w:val="CommentReference"/>
          <w:rFonts w:ascii="Arial" w:hAnsi="Arial" w:cs="Arial"/>
          <w:noProof/>
          <w:color w:val="000000" w:themeColor="text1"/>
          <w:sz w:val="24"/>
          <w:szCs w:val="24"/>
        </w:rPr>
        <w:t>(Daulton and Curtis, 1963; Ploeg and Maris, 1999)</w:t>
      </w:r>
      <w:r w:rsidRPr="002B3D8A">
        <w:rPr>
          <w:rStyle w:val="normaltextrun"/>
          <w:rFonts w:ascii="Arial" w:hAnsi="Arial" w:cs="Arial"/>
          <w:color w:val="000000" w:themeColor="text1"/>
          <w:lang w:val="en-US"/>
        </w:rPr>
        <w:fldChar w:fldCharType="end"/>
      </w:r>
      <w:r w:rsidRPr="002B3D8A">
        <w:rPr>
          <w:rStyle w:val="normaltextrun"/>
          <w:rFonts w:ascii="Arial" w:hAnsi="Arial" w:cs="Arial"/>
          <w:color w:val="000000" w:themeColor="text1"/>
          <w:lang w:val="en-US"/>
        </w:rPr>
        <w:t xml:space="preserve">. </w:t>
      </w:r>
    </w:p>
    <w:p w14:paraId="140C063E" w14:textId="3EDFD6AF" w:rsidR="007A5447" w:rsidRPr="002B3D8A" w:rsidRDefault="00D07BF3" w:rsidP="00616CDC">
      <w:pPr>
        <w:pStyle w:val="paragraph"/>
        <w:spacing w:before="0" w:beforeAutospacing="0" w:after="0" w:afterAutospacing="0" w:line="360" w:lineRule="auto"/>
        <w:ind w:left="-426" w:right="-330"/>
        <w:jc w:val="both"/>
        <w:textAlignment w:val="baseline"/>
        <w:rPr>
          <w:rStyle w:val="eop"/>
          <w:rFonts w:ascii="Arial" w:eastAsiaTheme="minorEastAsia" w:hAnsi="Arial" w:cs="Arial"/>
          <w:color w:val="000000" w:themeColor="text1"/>
          <w:sz w:val="22"/>
          <w:szCs w:val="22"/>
          <w:lang w:eastAsia="en-US"/>
        </w:rPr>
      </w:pPr>
      <w:r w:rsidRPr="002B3D8A">
        <w:rPr>
          <w:rStyle w:val="normaltextrun"/>
          <w:rFonts w:ascii="Arial" w:hAnsi="Arial" w:cs="Arial"/>
          <w:color w:val="000000" w:themeColor="text1"/>
          <w:lang w:val="en-US"/>
        </w:rPr>
        <w:t xml:space="preserve">The influence of </w:t>
      </w:r>
      <w:r w:rsidRPr="002B3D8A">
        <w:rPr>
          <w:rStyle w:val="normaltextrun"/>
          <w:rFonts w:ascii="Arial" w:hAnsi="Arial" w:cs="Arial"/>
          <w:i/>
          <w:color w:val="000000" w:themeColor="text1"/>
          <w:lang w:val="en-US"/>
        </w:rPr>
        <w:t>Taget</w:t>
      </w:r>
      <w:r w:rsidR="009D0FCA" w:rsidRPr="002B3D8A">
        <w:rPr>
          <w:rStyle w:val="normaltextrun"/>
          <w:rFonts w:ascii="Arial" w:hAnsi="Arial" w:cs="Arial"/>
          <w:i/>
          <w:color w:val="000000" w:themeColor="text1"/>
          <w:lang w:val="en-US"/>
        </w:rPr>
        <w:t>e</w:t>
      </w:r>
      <w:r w:rsidRPr="002B3D8A">
        <w:rPr>
          <w:rStyle w:val="normaltextrun"/>
          <w:rFonts w:ascii="Arial" w:hAnsi="Arial" w:cs="Arial"/>
          <w:i/>
          <w:color w:val="000000" w:themeColor="text1"/>
          <w:lang w:val="en-US"/>
        </w:rPr>
        <w:t>s patul</w:t>
      </w:r>
      <w:r w:rsidR="009D0FCA" w:rsidRPr="002B3D8A">
        <w:rPr>
          <w:rStyle w:val="normaltextrun"/>
          <w:rFonts w:ascii="Arial" w:hAnsi="Arial" w:cs="Arial"/>
          <w:i/>
          <w:color w:val="000000" w:themeColor="text1"/>
          <w:lang w:val="en-US"/>
        </w:rPr>
        <w:t>a</w:t>
      </w:r>
      <w:r w:rsidRPr="002B3D8A">
        <w:rPr>
          <w:rStyle w:val="normaltextrun"/>
          <w:rFonts w:ascii="Arial" w:hAnsi="Arial" w:cs="Arial"/>
          <w:color w:val="000000" w:themeColor="text1"/>
          <w:lang w:val="en-US"/>
        </w:rPr>
        <w:t xml:space="preserve"> among other green manures </w:t>
      </w:r>
      <w:r w:rsidR="001049BE" w:rsidRPr="002B3D8A">
        <w:rPr>
          <w:rStyle w:val="normaltextrun"/>
          <w:rFonts w:ascii="Arial" w:hAnsi="Arial" w:cs="Arial"/>
          <w:color w:val="000000" w:themeColor="text1"/>
          <w:lang w:val="en-US"/>
        </w:rPr>
        <w:t>s</w:t>
      </w:r>
      <w:r w:rsidRPr="002B3D8A">
        <w:rPr>
          <w:rStyle w:val="normaltextrun"/>
          <w:rFonts w:ascii="Arial" w:hAnsi="Arial" w:cs="Arial"/>
          <w:color w:val="000000" w:themeColor="text1"/>
          <w:lang w:val="en-US"/>
        </w:rPr>
        <w:t xml:space="preserve">uch as </w:t>
      </w:r>
      <w:r w:rsidRPr="00F63475">
        <w:rPr>
          <w:rStyle w:val="normaltextrun"/>
          <w:rFonts w:ascii="Arial" w:hAnsi="Arial" w:cs="Arial"/>
          <w:i/>
          <w:color w:val="000000" w:themeColor="text1"/>
          <w:lang w:val="en-US"/>
        </w:rPr>
        <w:t>Crotolaria juncea</w:t>
      </w:r>
      <w:r w:rsidRPr="002B3D8A">
        <w:rPr>
          <w:rStyle w:val="normaltextrun"/>
          <w:rFonts w:ascii="Arial" w:hAnsi="Arial" w:cs="Arial"/>
          <w:color w:val="000000" w:themeColor="text1"/>
          <w:lang w:val="en-US"/>
        </w:rPr>
        <w:t xml:space="preserve">, </w:t>
      </w:r>
      <w:r w:rsidRPr="00F63475">
        <w:rPr>
          <w:rStyle w:val="normaltextrun"/>
          <w:rFonts w:ascii="Arial" w:hAnsi="Arial" w:cs="Arial"/>
          <w:i/>
          <w:color w:val="000000" w:themeColor="text1"/>
          <w:lang w:val="en-US"/>
        </w:rPr>
        <w:t>Chloris gayana</w:t>
      </w:r>
      <w:r w:rsidRPr="002B3D8A">
        <w:rPr>
          <w:rStyle w:val="normaltextrun"/>
          <w:rFonts w:ascii="Arial" w:hAnsi="Arial" w:cs="Arial"/>
          <w:color w:val="000000" w:themeColor="text1"/>
          <w:lang w:val="en-US"/>
        </w:rPr>
        <w:t xml:space="preserve"> and </w:t>
      </w:r>
      <w:r w:rsidRPr="007D719C">
        <w:rPr>
          <w:rStyle w:val="normaltextrun"/>
          <w:rFonts w:ascii="Arial" w:hAnsi="Arial" w:cs="Arial"/>
          <w:i/>
          <w:color w:val="000000" w:themeColor="text1"/>
          <w:lang w:val="en-US"/>
        </w:rPr>
        <w:t>Digitaria decumbens</w:t>
      </w:r>
      <w:r w:rsidRPr="002B3D8A">
        <w:rPr>
          <w:rStyle w:val="normaltextrun"/>
          <w:rFonts w:ascii="Arial" w:hAnsi="Arial" w:cs="Arial"/>
          <w:color w:val="000000" w:themeColor="text1"/>
          <w:lang w:val="en-US"/>
        </w:rPr>
        <w:t xml:space="preserve"> was investigated </w:t>
      </w:r>
      <w:r w:rsidR="009D0FCA" w:rsidRPr="002B3D8A">
        <w:rPr>
          <w:rStyle w:val="normaltextrun"/>
          <w:rFonts w:ascii="Arial" w:hAnsi="Arial" w:cs="Arial"/>
          <w:color w:val="000000" w:themeColor="text1"/>
          <w:lang w:val="en-US"/>
        </w:rPr>
        <w:t>under gl</w:t>
      </w:r>
      <w:r w:rsidR="001049BE" w:rsidRPr="002B3D8A">
        <w:rPr>
          <w:rStyle w:val="normaltextrun"/>
          <w:rFonts w:ascii="Arial" w:hAnsi="Arial" w:cs="Arial"/>
          <w:color w:val="000000" w:themeColor="text1"/>
          <w:lang w:val="en-US"/>
        </w:rPr>
        <w:t>a</w:t>
      </w:r>
      <w:r w:rsidR="009D0FCA" w:rsidRPr="002B3D8A">
        <w:rPr>
          <w:rStyle w:val="normaltextrun"/>
          <w:rFonts w:ascii="Arial" w:hAnsi="Arial" w:cs="Arial"/>
          <w:color w:val="000000" w:themeColor="text1"/>
          <w:lang w:val="en-US"/>
        </w:rPr>
        <w:t xml:space="preserve">sshouse house conditions using field infested soil with </w:t>
      </w:r>
      <w:r w:rsidR="009D0FCA" w:rsidRPr="002B3D8A">
        <w:rPr>
          <w:rStyle w:val="normaltextrun"/>
          <w:rFonts w:ascii="Arial" w:hAnsi="Arial" w:cs="Arial"/>
          <w:i/>
          <w:color w:val="000000" w:themeColor="text1"/>
          <w:lang w:val="en-US"/>
        </w:rPr>
        <w:t xml:space="preserve">Rotylenchulus reniformis. </w:t>
      </w:r>
      <w:r w:rsidR="009D0FCA" w:rsidRPr="00107247">
        <w:rPr>
          <w:rStyle w:val="normaltextrun"/>
          <w:rFonts w:ascii="Arial" w:hAnsi="Arial" w:cs="Arial"/>
          <w:color w:val="000000" w:themeColor="text1"/>
          <w:lang w:val="en-US"/>
        </w:rPr>
        <w:t xml:space="preserve">Results from root penetration observations showed that </w:t>
      </w:r>
      <w:r w:rsidR="00D4255D" w:rsidRPr="00107247">
        <w:rPr>
          <w:rStyle w:val="normaltextrun"/>
          <w:rFonts w:ascii="Arial" w:hAnsi="Arial" w:cs="Arial"/>
          <w:color w:val="000000" w:themeColor="text1"/>
          <w:lang w:val="en-US"/>
        </w:rPr>
        <w:t>penetration and development</w:t>
      </w:r>
      <w:r w:rsidR="00D4255D" w:rsidRPr="002B3D8A">
        <w:rPr>
          <w:rStyle w:val="normaltextrun"/>
          <w:rFonts w:ascii="Arial" w:hAnsi="Arial" w:cs="Arial"/>
          <w:color w:val="000000" w:themeColor="text1"/>
          <w:lang w:val="en-US"/>
        </w:rPr>
        <w:t xml:space="preserve"> of Hawaiian </w:t>
      </w:r>
      <w:r w:rsidR="00D4255D" w:rsidRPr="002B3D8A">
        <w:rPr>
          <w:rStyle w:val="normaltextrun"/>
          <w:rFonts w:ascii="Arial" w:hAnsi="Arial" w:cs="Arial"/>
          <w:i/>
          <w:color w:val="000000" w:themeColor="text1"/>
          <w:lang w:val="en-US"/>
        </w:rPr>
        <w:t>Rotylenchulus reniformis</w:t>
      </w:r>
      <w:r w:rsidR="00D4255D" w:rsidRPr="002B3D8A">
        <w:rPr>
          <w:rStyle w:val="normaltextrun"/>
          <w:rFonts w:ascii="Arial" w:hAnsi="Arial" w:cs="Arial"/>
          <w:color w:val="000000" w:themeColor="text1"/>
          <w:lang w:val="en-US"/>
        </w:rPr>
        <w:t xml:space="preserve"> was inhibited upon planting of </w:t>
      </w:r>
      <w:r w:rsidR="00D4255D" w:rsidRPr="002B3D8A">
        <w:rPr>
          <w:rStyle w:val="normaltextrun"/>
          <w:rFonts w:ascii="Arial" w:hAnsi="Arial" w:cs="Arial"/>
          <w:i/>
          <w:color w:val="000000" w:themeColor="text1"/>
          <w:lang w:val="en-US"/>
        </w:rPr>
        <w:t>Tagetes patula</w:t>
      </w:r>
      <w:r w:rsidR="009D0FCA" w:rsidRPr="002B3D8A">
        <w:rPr>
          <w:rStyle w:val="normaltextrun"/>
          <w:rFonts w:ascii="Arial" w:hAnsi="Arial" w:cs="Arial"/>
          <w:color w:val="000000" w:themeColor="text1"/>
          <w:lang w:val="en-US"/>
        </w:rPr>
        <w:t xml:space="preserve">, this effect was attributed to the poor host status of </w:t>
      </w:r>
      <w:r w:rsidR="009D0FCA" w:rsidRPr="00835570">
        <w:rPr>
          <w:rStyle w:val="normaltextrun"/>
          <w:rFonts w:ascii="Arial" w:hAnsi="Arial" w:cs="Arial"/>
          <w:i/>
          <w:color w:val="000000" w:themeColor="text1"/>
          <w:lang w:val="en-US"/>
        </w:rPr>
        <w:t>Tagetes patula</w:t>
      </w:r>
      <w:r w:rsidR="009D0FCA" w:rsidRPr="002B3D8A">
        <w:rPr>
          <w:rStyle w:val="normaltextrun"/>
          <w:rFonts w:ascii="Arial" w:hAnsi="Arial" w:cs="Arial"/>
          <w:color w:val="000000" w:themeColor="text1"/>
          <w:lang w:val="en-US"/>
        </w:rPr>
        <w:t xml:space="preserve"> which reduced the number of nematodes in the soil better than the fallow control </w:t>
      </w:r>
      <w:r w:rsidR="00D4255D" w:rsidRPr="002B3D8A">
        <w:rPr>
          <w:rStyle w:val="normaltextrun"/>
          <w:rFonts w:ascii="Arial" w:hAnsi="Arial" w:cs="Arial"/>
          <w:color w:val="000000" w:themeColor="text1"/>
          <w:lang w:val="en-US"/>
        </w:rPr>
        <w:fldChar w:fldCharType="begin" w:fldLock="1"/>
      </w:r>
      <w:r w:rsidR="00200FF9">
        <w:rPr>
          <w:rStyle w:val="normaltextrun"/>
          <w:rFonts w:ascii="Arial" w:hAnsi="Arial" w:cs="Arial"/>
          <w:color w:val="000000" w:themeColor="text1"/>
          <w:lang w:val="en-US"/>
        </w:rPr>
        <w:instrText>ADDIN CSL_CITATION {"citationItems":[{"id":"ITEM-1","itemData":{"abstract":"The influence of Chloris gayana, Crotalaria juncea, Digitaria decumbens, Tagetes patula, and a chitin-based soil amendment on Hawaiian populations of Rotylenchulus reniformis was examined. Chloris gayana was a nonhost for R. reniformis. The nematode did not penetrate the roots, and in greenhouse and field experiments, C. gayana reduced reniform nematode numbers at least as well as fallow. Tagetes patula was a poor host for reniform nematode and reduced reniform nematode numbers in soil better than did fallow. Crotalaria juncea was a poor host for R. reniformis, and only a small fraction of the nematode population penetrated the roots. Crotalariajuncea and D. decumbens reduced reniform nematode populations at least as well as fallow. A chitin-based soil amendment, applied at 2.24 t/ha to fallow soil, did not affect the population decline of reniform nematode.","author":[{"dropping-particle":"","family":"Caswell","given":"E P","non-dropping-particle":"","parse-names":false,"suffix":""},{"dropping-particle":"","family":"Defrank","given":"J","non-dropping-particle":"","parse-names":false,"suffix":""},{"dropping-particle":"","family":"Apt","given":"W J","non-dropping-particle":"","parse-names":false,"suffix":""},{"dropping-particle":"","family":"Tang","given":"C S","non-dropping-particle":"","parse-names":false,"suffix":""}],"container-title":"Journal of Nematology","id":"ITEM-1","issue":"1","issued":{"date-parts":[["1991"]]},"page":"91-98","title":"Influence of Nonhost Plants on Population Decline of Rotylenchulus reniformis 1","type":"article-journal","volume":"23"},"uris":["http://www.mendeley.com/documents/?uuid=63e8a2e9-cd98-3e91-b53e-15e6209336c0"]}],"mendeley":{"formattedCitation":"(Caswell &lt;i&gt;et al.&lt;/i&gt;, 1991)","plainTextFormattedCitation":"(Caswell et al., 1991)","previouslyFormattedCitation":"(Caswell &lt;i&gt;et al.&lt;/i&gt;, 1991)"},"properties":{"noteIndex":0},"schema":"https://github.com/citation-style-language/schema/raw/master/csl-citation.json"}</w:instrText>
      </w:r>
      <w:r w:rsidR="00D4255D" w:rsidRPr="002B3D8A">
        <w:rPr>
          <w:rStyle w:val="normaltextrun"/>
          <w:rFonts w:ascii="Arial" w:hAnsi="Arial" w:cs="Arial"/>
          <w:color w:val="000000" w:themeColor="text1"/>
          <w:lang w:val="en-US"/>
        </w:rPr>
        <w:fldChar w:fldCharType="separate"/>
      </w:r>
      <w:r w:rsidR="00A07F2C" w:rsidRPr="00A07F2C">
        <w:rPr>
          <w:rStyle w:val="normaltextrun"/>
          <w:rFonts w:ascii="Arial" w:hAnsi="Arial" w:cs="Arial"/>
          <w:noProof/>
          <w:color w:val="000000" w:themeColor="text1"/>
          <w:lang w:val="en-US"/>
        </w:rPr>
        <w:t xml:space="preserve">(Caswell </w:t>
      </w:r>
      <w:r w:rsidR="00A07F2C" w:rsidRPr="00A07F2C">
        <w:rPr>
          <w:rStyle w:val="normaltextrun"/>
          <w:rFonts w:ascii="Arial" w:hAnsi="Arial" w:cs="Arial"/>
          <w:i/>
          <w:noProof/>
          <w:color w:val="000000" w:themeColor="text1"/>
          <w:lang w:val="en-US"/>
        </w:rPr>
        <w:t>et al.</w:t>
      </w:r>
      <w:r w:rsidR="00A07F2C" w:rsidRPr="00A07F2C">
        <w:rPr>
          <w:rStyle w:val="normaltextrun"/>
          <w:rFonts w:ascii="Arial" w:hAnsi="Arial" w:cs="Arial"/>
          <w:noProof/>
          <w:color w:val="000000" w:themeColor="text1"/>
          <w:lang w:val="en-US"/>
        </w:rPr>
        <w:t>, 1991)</w:t>
      </w:r>
      <w:r w:rsidR="00D4255D" w:rsidRPr="002B3D8A">
        <w:rPr>
          <w:rStyle w:val="normaltextrun"/>
          <w:rFonts w:ascii="Arial" w:hAnsi="Arial" w:cs="Arial"/>
          <w:color w:val="000000" w:themeColor="text1"/>
          <w:lang w:val="en-US"/>
        </w:rPr>
        <w:fldChar w:fldCharType="end"/>
      </w:r>
      <w:r w:rsidR="001049BE" w:rsidRPr="002B3D8A">
        <w:rPr>
          <w:rStyle w:val="normaltextrun"/>
          <w:rFonts w:ascii="Arial" w:hAnsi="Arial" w:cs="Arial"/>
          <w:color w:val="000000" w:themeColor="text1"/>
          <w:lang w:val="en-US"/>
        </w:rPr>
        <w:t>.</w:t>
      </w:r>
    </w:p>
    <w:p w14:paraId="38D42576" w14:textId="1E3CD262" w:rsidR="007A5447" w:rsidRPr="002B3D8A" w:rsidRDefault="00D4255D" w:rsidP="00616CDC">
      <w:pPr>
        <w:pStyle w:val="paragraph"/>
        <w:spacing w:before="0" w:beforeAutospacing="0" w:after="0" w:afterAutospacing="0" w:line="360" w:lineRule="auto"/>
        <w:ind w:left="-426" w:right="-330"/>
        <w:jc w:val="both"/>
        <w:textAlignment w:val="baseline"/>
        <w:rPr>
          <w:rFonts w:ascii="Arial" w:hAnsi="Arial" w:cs="Arial"/>
          <w:color w:val="000000" w:themeColor="text1"/>
        </w:rPr>
      </w:pPr>
      <w:r w:rsidRPr="002B3D8A">
        <w:rPr>
          <w:rStyle w:val="eop"/>
          <w:rFonts w:ascii="Arial" w:hAnsi="Arial" w:cs="Arial"/>
          <w:color w:val="000000" w:themeColor="text1"/>
        </w:rPr>
        <w:t>Marigolds have the ability to supress a wide array of endo</w:t>
      </w:r>
      <w:r w:rsidR="00D07BF3" w:rsidRPr="002B3D8A">
        <w:rPr>
          <w:rStyle w:val="eop"/>
          <w:rFonts w:ascii="Arial" w:hAnsi="Arial" w:cs="Arial"/>
          <w:color w:val="000000" w:themeColor="text1"/>
        </w:rPr>
        <w:t xml:space="preserve">parasitic </w:t>
      </w:r>
      <w:r w:rsidRPr="002B3D8A">
        <w:rPr>
          <w:rStyle w:val="eop"/>
          <w:rFonts w:ascii="Arial" w:hAnsi="Arial" w:cs="Arial"/>
          <w:color w:val="000000" w:themeColor="text1"/>
        </w:rPr>
        <w:t>nematodes</w:t>
      </w:r>
      <w:r w:rsidR="00A94AE2">
        <w:rPr>
          <w:rStyle w:val="eop"/>
          <w:rFonts w:ascii="Arial" w:hAnsi="Arial" w:cs="Arial"/>
          <w:color w:val="000000" w:themeColor="text1"/>
        </w:rPr>
        <w:t>,</w:t>
      </w:r>
      <w:r w:rsidRPr="002B3D8A">
        <w:rPr>
          <w:rStyle w:val="eop"/>
          <w:rFonts w:ascii="Arial" w:hAnsi="Arial" w:cs="Arial"/>
          <w:color w:val="000000" w:themeColor="text1"/>
        </w:rPr>
        <w:t xml:space="preserve"> </w:t>
      </w:r>
      <w:r w:rsidR="00D07BF3" w:rsidRPr="002B3D8A">
        <w:rPr>
          <w:rStyle w:val="eop"/>
          <w:rFonts w:ascii="Arial" w:hAnsi="Arial" w:cs="Arial"/>
          <w:color w:val="000000" w:themeColor="text1"/>
        </w:rPr>
        <w:t xml:space="preserve">though </w:t>
      </w:r>
      <w:r w:rsidR="00A94AE2">
        <w:rPr>
          <w:rStyle w:val="eop"/>
          <w:rFonts w:ascii="Arial" w:hAnsi="Arial" w:cs="Arial"/>
          <w:color w:val="000000" w:themeColor="text1"/>
        </w:rPr>
        <w:t>results can be</w:t>
      </w:r>
      <w:r w:rsidRPr="002B3D8A">
        <w:rPr>
          <w:rStyle w:val="eop"/>
          <w:rFonts w:ascii="Arial" w:hAnsi="Arial" w:cs="Arial"/>
          <w:color w:val="000000" w:themeColor="text1"/>
        </w:rPr>
        <w:t xml:space="preserve"> inconsisten</w:t>
      </w:r>
      <w:r w:rsidR="00A94AE2">
        <w:rPr>
          <w:rStyle w:val="eop"/>
          <w:rFonts w:ascii="Arial" w:hAnsi="Arial" w:cs="Arial"/>
          <w:color w:val="000000" w:themeColor="text1"/>
        </w:rPr>
        <w:t>t and</w:t>
      </w:r>
      <w:r w:rsidR="00D07BF3" w:rsidRPr="002B3D8A">
        <w:rPr>
          <w:rStyle w:val="eop"/>
          <w:rFonts w:ascii="Arial" w:hAnsi="Arial" w:cs="Arial"/>
          <w:color w:val="000000" w:themeColor="text1"/>
        </w:rPr>
        <w:t xml:space="preserve"> </w:t>
      </w:r>
      <w:r w:rsidR="00A94AE2">
        <w:rPr>
          <w:rStyle w:val="eop"/>
          <w:rFonts w:ascii="Arial" w:hAnsi="Arial" w:cs="Arial"/>
          <w:color w:val="000000" w:themeColor="text1"/>
        </w:rPr>
        <w:t xml:space="preserve">there is little evidence of </w:t>
      </w:r>
      <w:r w:rsidR="00474F68">
        <w:rPr>
          <w:rStyle w:val="eop"/>
          <w:rFonts w:ascii="Arial" w:hAnsi="Arial" w:cs="Arial"/>
          <w:color w:val="000000" w:themeColor="text1"/>
        </w:rPr>
        <w:t>suppression for</w:t>
      </w:r>
      <w:r w:rsidR="00D07BF3" w:rsidRPr="002B3D8A">
        <w:rPr>
          <w:rStyle w:val="eop"/>
          <w:rFonts w:ascii="Arial" w:hAnsi="Arial" w:cs="Arial"/>
          <w:color w:val="000000" w:themeColor="text1"/>
        </w:rPr>
        <w:t xml:space="preserve"> </w:t>
      </w:r>
      <w:r w:rsidRPr="002B3D8A">
        <w:rPr>
          <w:rStyle w:val="eop"/>
          <w:rFonts w:ascii="Arial" w:hAnsi="Arial" w:cs="Arial"/>
          <w:color w:val="000000" w:themeColor="text1"/>
        </w:rPr>
        <w:t xml:space="preserve">ectoparasitic nematodes </w:t>
      </w:r>
      <w:r w:rsidRPr="002B3D8A">
        <w:rPr>
          <w:rStyle w:val="eop"/>
          <w:rFonts w:ascii="Arial" w:hAnsi="Arial" w:cs="Arial"/>
          <w:color w:val="000000" w:themeColor="text1"/>
        </w:rPr>
        <w:fldChar w:fldCharType="begin" w:fldLock="1"/>
      </w:r>
      <w:r w:rsidR="00200FF9">
        <w:rPr>
          <w:rStyle w:val="eop"/>
          <w:rFonts w:ascii="Arial" w:hAnsi="Arial" w:cs="Arial"/>
          <w:color w:val="000000" w:themeColor="text1"/>
        </w:rPr>
        <w:instrText>ADDIN CSL_CITATION {"citationItems":[{"id":"ITEM-1","itemData":{"DOI":"10.1016/j.apsoil.2010.09.005","ISSN":"09291393","abstract":"A plethora of research has been conducted on the use of marigolds (Tagetes spp.) for nematode suppression, yet limited cover cropping with marigold is being practiced in commercial operations. Marigold is well known among nematologists for its ability to produce compounds such as α-terthienyl that are allelopathic to many species of plant-parasitic nematodes. However, there are contradictory reports on how this compound is released. The uncertainty centers on whether allelopathic compounds are released from root or shoot tissues, by growing live plants or soil-amended tissues, as a response to nematode penetration, or as a non-specific repellent. Other mechanisms by which marigold suppresses plant-parasitic nematodes include acting as a poor host, enhancing nematode-antagonistic microorganisms, or acting as a \" dead-end\" trap crop. Interpretation is complicated because multiple mechanisms may operate simultaneously. Understanding the exact mechanisms responsible for the nematode-suppressive effects of marigold could lead to further/broader incorporation into nematode management programs. This literature review revealed variable findings from marigold use. For example, in some instances using marigold was reported to be more effective than nematicides or soil fumigants and in other instances it had a negative impact on cash crop growth and yield. This variation has been attributed to differences in the way marigolds were used (e.g. intercrop/cover crop/soil amendment, seeding rate, time between marigold and cash crop), marigold cultivar, species or races of target nematodes, temperature, or age of marigold plant. Thus, future research should focus on determining the exact causes of this variability and on developing field IPM programs that take advantage of the nematode-suppressive potential of marigold. © 2010 Elsevier B.V.","author":[{"dropping-particle":"","family":"Hooks","given":"Cerruti R.R.","non-dropping-particle":"","parse-names":false,"suffix":""},{"dropping-particle":"","family":"Wang","given":"Koon Hui","non-dropping-particle":"","parse-names":false,"suffix":""},{"dropping-particle":"","family":"Ploeg","given":"Antoon","non-dropping-particle":"","parse-names":false,"suffix":""},{"dropping-particle":"","family":"McSorley","given":"Robert","non-dropping-particle":"","parse-names":false,"suffix":""}],"container-title":"Applied Soil Ecology","id":"ITEM-1","issue":"3","issued":{"date-parts":[["2010","11","1"]]},"page":"307-320","publisher":"Elsevier","title":"Using marigold (Tagetes spp.) as a cover crop to protect crops from plant-parasitic nematodes","type":"article-journal","volume":"46"},"uris":["http://www.mendeley.com/documents/?uuid=c24a1bdb-4266-414e-ae19-0ace43f1c588"]}],"mendeley":{"formattedCitation":"(Hooks &lt;i&gt;et al.&lt;/i&gt;, 2010)","plainTextFormattedCitation":"(Hooks et al., 2010)","previouslyFormattedCitation":"(Hooks &lt;i&gt;et al.&lt;/i&gt;, 2010)"},"properties":{"noteIndex":0},"schema":"https://github.com/citation-style-language/schema/raw/master/csl-citation.json"}</w:instrText>
      </w:r>
      <w:r w:rsidRPr="002B3D8A">
        <w:rPr>
          <w:rStyle w:val="eop"/>
          <w:rFonts w:ascii="Arial" w:hAnsi="Arial" w:cs="Arial"/>
          <w:color w:val="000000" w:themeColor="text1"/>
        </w:rPr>
        <w:fldChar w:fldCharType="separate"/>
      </w:r>
      <w:r w:rsidR="00A07F2C" w:rsidRPr="00A07F2C">
        <w:rPr>
          <w:rStyle w:val="eop"/>
          <w:rFonts w:ascii="Arial" w:hAnsi="Arial" w:cs="Arial"/>
          <w:noProof/>
          <w:color w:val="000000" w:themeColor="text1"/>
        </w:rPr>
        <w:t xml:space="preserve">(Hooks </w:t>
      </w:r>
      <w:r w:rsidR="00A07F2C" w:rsidRPr="00A07F2C">
        <w:rPr>
          <w:rStyle w:val="eop"/>
          <w:rFonts w:ascii="Arial" w:hAnsi="Arial" w:cs="Arial"/>
          <w:i/>
          <w:noProof/>
          <w:color w:val="000000" w:themeColor="text1"/>
        </w:rPr>
        <w:t>et al.</w:t>
      </w:r>
      <w:r w:rsidR="00A07F2C" w:rsidRPr="00A07F2C">
        <w:rPr>
          <w:rStyle w:val="eop"/>
          <w:rFonts w:ascii="Arial" w:hAnsi="Arial" w:cs="Arial"/>
          <w:noProof/>
          <w:color w:val="000000" w:themeColor="text1"/>
        </w:rPr>
        <w:t>, 2010)</w:t>
      </w:r>
      <w:r w:rsidRPr="002B3D8A">
        <w:rPr>
          <w:rStyle w:val="eop"/>
          <w:rFonts w:ascii="Arial" w:hAnsi="Arial" w:cs="Arial"/>
          <w:color w:val="000000" w:themeColor="text1"/>
        </w:rPr>
        <w:fldChar w:fldCharType="end"/>
      </w:r>
      <w:r w:rsidRPr="002B3D8A">
        <w:rPr>
          <w:rStyle w:val="eop"/>
          <w:rFonts w:ascii="Arial" w:hAnsi="Arial" w:cs="Arial"/>
          <w:color w:val="000000" w:themeColor="text1"/>
        </w:rPr>
        <w:t xml:space="preserve">. </w:t>
      </w:r>
      <w:r w:rsidRPr="002B3D8A">
        <w:rPr>
          <w:rFonts w:ascii="Arial" w:hAnsi="Arial" w:cs="Arial"/>
          <w:color w:val="000000" w:themeColor="text1"/>
        </w:rPr>
        <w:t>In field studies</w:t>
      </w:r>
      <w:r w:rsidR="00A94AE2">
        <w:rPr>
          <w:rFonts w:ascii="Arial" w:hAnsi="Arial" w:cs="Arial"/>
          <w:color w:val="000000" w:themeColor="text1"/>
        </w:rPr>
        <w:t>,</w:t>
      </w:r>
      <w:r w:rsidRPr="002B3D8A">
        <w:rPr>
          <w:rFonts w:ascii="Arial" w:hAnsi="Arial" w:cs="Arial"/>
          <w:color w:val="000000" w:themeColor="text1"/>
        </w:rPr>
        <w:t xml:space="preserve"> evaluat</w:t>
      </w:r>
      <w:r w:rsidR="00A94AE2">
        <w:rPr>
          <w:rFonts w:ascii="Arial" w:hAnsi="Arial" w:cs="Arial"/>
          <w:color w:val="000000" w:themeColor="text1"/>
        </w:rPr>
        <w:t>ing the</w:t>
      </w:r>
      <w:r w:rsidRPr="002B3D8A">
        <w:rPr>
          <w:rFonts w:ascii="Arial" w:hAnsi="Arial" w:cs="Arial"/>
          <w:color w:val="000000" w:themeColor="text1"/>
        </w:rPr>
        <w:t xml:space="preserve"> efficacy of summer </w:t>
      </w:r>
      <w:r w:rsidR="009D0FCA" w:rsidRPr="002B3D8A">
        <w:rPr>
          <w:rFonts w:ascii="Arial" w:hAnsi="Arial" w:cs="Arial"/>
          <w:color w:val="000000" w:themeColor="text1"/>
        </w:rPr>
        <w:t xml:space="preserve">cover </w:t>
      </w:r>
      <w:r w:rsidRPr="002B3D8A">
        <w:rPr>
          <w:rFonts w:ascii="Arial" w:hAnsi="Arial" w:cs="Arial"/>
          <w:color w:val="000000" w:themeColor="text1"/>
        </w:rPr>
        <w:t xml:space="preserve">crops on </w:t>
      </w:r>
      <w:r w:rsidRPr="002B3D8A">
        <w:rPr>
          <w:rFonts w:ascii="Arial" w:hAnsi="Arial" w:cs="Arial"/>
          <w:i/>
          <w:color w:val="000000" w:themeColor="text1"/>
        </w:rPr>
        <w:t>Tylenchorynchus claytoni</w:t>
      </w:r>
      <w:r w:rsidRPr="002B3D8A">
        <w:rPr>
          <w:rFonts w:ascii="Arial" w:hAnsi="Arial" w:cs="Arial"/>
          <w:color w:val="000000" w:themeColor="text1"/>
        </w:rPr>
        <w:t xml:space="preserve">, </w:t>
      </w:r>
      <w:r w:rsidRPr="002B3D8A">
        <w:rPr>
          <w:rFonts w:ascii="Arial" w:hAnsi="Arial" w:cs="Arial"/>
          <w:i/>
          <w:color w:val="000000" w:themeColor="text1"/>
        </w:rPr>
        <w:t>Trichodorus christiei</w:t>
      </w:r>
      <w:r w:rsidRPr="002B3D8A">
        <w:rPr>
          <w:rFonts w:ascii="Arial" w:hAnsi="Arial" w:cs="Arial"/>
          <w:color w:val="000000" w:themeColor="text1"/>
        </w:rPr>
        <w:t xml:space="preserve">, </w:t>
      </w:r>
      <w:r w:rsidRPr="002B3D8A">
        <w:rPr>
          <w:rFonts w:ascii="Arial" w:hAnsi="Arial" w:cs="Arial"/>
          <w:i/>
          <w:color w:val="000000" w:themeColor="text1"/>
        </w:rPr>
        <w:t>Pratylenchus brachyurus</w:t>
      </w:r>
      <w:r w:rsidRPr="002B3D8A">
        <w:rPr>
          <w:rFonts w:ascii="Arial" w:hAnsi="Arial" w:cs="Arial"/>
          <w:color w:val="000000" w:themeColor="text1"/>
        </w:rPr>
        <w:t xml:space="preserve">, </w:t>
      </w:r>
      <w:r w:rsidRPr="002B3D8A">
        <w:rPr>
          <w:rFonts w:ascii="Arial" w:hAnsi="Arial" w:cs="Arial"/>
          <w:i/>
          <w:color w:val="000000" w:themeColor="text1"/>
        </w:rPr>
        <w:t xml:space="preserve">Helicotylenchus dihystera, </w:t>
      </w:r>
      <w:r w:rsidRPr="002B3D8A">
        <w:rPr>
          <w:rFonts w:ascii="Arial" w:hAnsi="Arial" w:cs="Arial"/>
          <w:color w:val="000000" w:themeColor="text1"/>
        </w:rPr>
        <w:t>and</w:t>
      </w:r>
      <w:r w:rsidRPr="002B3D8A">
        <w:rPr>
          <w:rFonts w:ascii="Arial" w:hAnsi="Arial" w:cs="Arial"/>
          <w:i/>
          <w:color w:val="000000" w:themeColor="text1"/>
        </w:rPr>
        <w:t xml:space="preserve"> Xiphinema americanum</w:t>
      </w:r>
      <w:r w:rsidRPr="002B3D8A">
        <w:rPr>
          <w:rFonts w:ascii="Arial" w:hAnsi="Arial" w:cs="Arial"/>
          <w:color w:val="000000" w:themeColor="text1"/>
        </w:rPr>
        <w:t>,</w:t>
      </w:r>
      <w:r w:rsidR="009D0FCA" w:rsidRPr="002B3D8A">
        <w:rPr>
          <w:rFonts w:ascii="Arial" w:hAnsi="Arial" w:cs="Arial"/>
          <w:color w:val="000000" w:themeColor="text1"/>
        </w:rPr>
        <w:t xml:space="preserve"> marigolds were panted in rotation with </w:t>
      </w:r>
      <w:r w:rsidRPr="002B3D8A">
        <w:rPr>
          <w:rFonts w:ascii="Arial" w:hAnsi="Arial" w:cs="Arial"/>
          <w:color w:val="000000" w:themeColor="text1"/>
        </w:rPr>
        <w:t xml:space="preserve">tomato transplants, with tomatoes being grown every third year. Marigold suppressed all nematode species except for </w:t>
      </w:r>
      <w:r w:rsidRPr="002B3D8A">
        <w:rPr>
          <w:rFonts w:ascii="Arial" w:hAnsi="Arial" w:cs="Arial"/>
          <w:i/>
          <w:color w:val="000000" w:themeColor="text1"/>
        </w:rPr>
        <w:t xml:space="preserve">X. americanum </w:t>
      </w:r>
      <w:r w:rsidRPr="002B3D8A">
        <w:rPr>
          <w:rFonts w:ascii="Arial" w:hAnsi="Arial" w:cs="Arial"/>
          <w:color w:val="000000" w:themeColor="text1"/>
        </w:rPr>
        <w:t>which increased during the 5</w:t>
      </w:r>
      <w:r w:rsidRPr="002B3D8A">
        <w:rPr>
          <w:rFonts w:ascii="Arial" w:hAnsi="Arial" w:cs="Arial"/>
          <w:color w:val="000000" w:themeColor="text1"/>
          <w:vertAlign w:val="superscript"/>
        </w:rPr>
        <w:t>th</w:t>
      </w:r>
      <w:r w:rsidRPr="002B3D8A">
        <w:rPr>
          <w:rFonts w:ascii="Arial" w:hAnsi="Arial" w:cs="Arial"/>
          <w:color w:val="000000" w:themeColor="text1"/>
        </w:rPr>
        <w:t xml:space="preserve"> year of the study </w:t>
      </w:r>
      <w:r w:rsidRPr="002B3D8A">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{"citationItems":[{"id":"ITEM-1","itemData":{"abstract":"Five nematode species were studied for ability to develop on seven summer cover crops in rotation with tomato transplants grown every third year. Increase of Tylenchorhynchus claytoni, Trichodorus christiei, Pratylenchus brachyurus, Helicotylenchus dihystera, and Xiphinema americanum in newly cleared soil varied with different cover crops. No substantial nematode population increases occurred until the third summer of crop growth. All species except X. americanum and H. dihystera developed best on sudangrass and millet. Crotalaria caused substantial increase of H. dihystera and P. brachyurus but suppressed the other species. Marigold suppressed all species except X. americanum which increased substantially on marigold during the 5th year. Cotton favored rapid increase of T. christiei, and moderate increases of all species except T. claytoni which was suppressed. Beggarweed favored moderate increases of T. christiei and H. dihystera but suppressed the other species. Hairy indigo favored rapid increase of H. dihystera, moderate increases of T. christiei and X. americanum, and suppressed the other species. Number of marketable transplants was reduced after 2 years of sudangrass and cotton; these crops favored increases of T. christiei and T. claytoni. The better cover crops prevented increases of most plant parasitic nematodes in land cropped to tomato, a suitable host.","author":[{"dropping-particle":"","family":"Brodie","given":"Bill B","non-dropping-particle":"","parse-names":false,"suffix":""},{"dropping-particle":"","family":"Good","given":"J M","non-dropping-particle":"","parse-names":false,"suffix":""},{"dropping-particle":"","family":"Jaworski","given":"C A","non-dropping-particle":"","parse-names":false,"suffix":""}],"container-title":"Journal of Nematology","id":"ITEM-1","issue":"3","issued":{"date-parts":[["1970"]]},"page":"217-222","title":"Population Dynamics of Plant Nematodes in Cultivated Soil: Effect of Summer Cover Crops in Newly Cleared Land 1","type":"article-journal","volume":"2"},"uris":["http://www.mendeley.com/documents/?uuid=5562d272-f0ee-3a90-b588-3f2c5e25c3a4"]}],"mendeley":{"formattedCitation":"(Brodie, Good and Jaworski, 1970)","plainTextFormattedCitation":"(Brodie, Good and Jaworski, 1970)","previouslyFormattedCitation":"(Brodie, Good and Jaworski, 1970)"},"properties":{"noteIndex":0},"schema":"https://github.com/citation-style-language/schema/raw/master/csl-citation.json"}</w:instrText>
      </w:r>
      <w:r w:rsidRPr="002B3D8A">
        <w:rPr>
          <w:rFonts w:ascii="Arial" w:hAnsi="Arial" w:cs="Arial"/>
          <w:color w:val="000000" w:themeColor="text1"/>
        </w:rPr>
        <w:fldChar w:fldCharType="separate"/>
      </w:r>
      <w:r w:rsidR="00A07F2C" w:rsidRPr="00A07F2C">
        <w:rPr>
          <w:rFonts w:ascii="Arial" w:hAnsi="Arial" w:cs="Arial"/>
          <w:noProof/>
          <w:color w:val="000000" w:themeColor="text1"/>
        </w:rPr>
        <w:t>(Brodie, Good and Jaworski, 1970)</w:t>
      </w:r>
      <w:r w:rsidRPr="002B3D8A">
        <w:rPr>
          <w:rFonts w:ascii="Arial" w:hAnsi="Arial" w:cs="Arial"/>
          <w:color w:val="000000" w:themeColor="text1"/>
        </w:rPr>
        <w:fldChar w:fldCharType="end"/>
      </w:r>
      <w:r w:rsidRPr="002B3D8A">
        <w:rPr>
          <w:rFonts w:ascii="Arial" w:hAnsi="Arial" w:cs="Arial"/>
          <w:color w:val="000000" w:themeColor="text1"/>
        </w:rPr>
        <w:t xml:space="preserve">. </w:t>
      </w:r>
    </w:p>
    <w:p w14:paraId="233B26D4" w14:textId="2B628B29" w:rsidR="00791A9B" w:rsidRDefault="00D4255D" w:rsidP="00616CDC">
      <w:pPr>
        <w:pStyle w:val="paragraph"/>
        <w:spacing w:before="0" w:beforeAutospacing="0" w:after="0" w:afterAutospacing="0" w:line="360" w:lineRule="auto"/>
        <w:ind w:left="-426" w:right="-330"/>
        <w:jc w:val="both"/>
        <w:textAlignment w:val="baseline"/>
        <w:rPr>
          <w:rStyle w:val="eop"/>
          <w:rFonts w:ascii="Arial" w:hAnsi="Arial" w:cs="Arial"/>
          <w:color w:val="000000" w:themeColor="text1"/>
        </w:rPr>
      </w:pPr>
      <w:r w:rsidRPr="002B3D8A">
        <w:rPr>
          <w:rFonts w:ascii="Arial" w:hAnsi="Arial" w:cs="Arial"/>
          <w:color w:val="000000" w:themeColor="text1"/>
        </w:rPr>
        <w:t xml:space="preserve">The results from a glasshouse and field study investigating the efficacy of marigolds in combination with vetch on the ectoparasitic nematodes </w:t>
      </w:r>
      <w:r w:rsidRPr="002B3D8A">
        <w:rPr>
          <w:rFonts w:ascii="Arial" w:hAnsi="Arial" w:cs="Arial"/>
          <w:i/>
          <w:color w:val="000000" w:themeColor="text1"/>
        </w:rPr>
        <w:t>Belanolaimus longicaudatus</w:t>
      </w:r>
      <w:r w:rsidRPr="002B3D8A">
        <w:rPr>
          <w:rFonts w:ascii="Arial" w:hAnsi="Arial" w:cs="Arial"/>
          <w:color w:val="000000" w:themeColor="text1"/>
        </w:rPr>
        <w:t xml:space="preserve"> (Sting nematode), </w:t>
      </w:r>
      <w:r w:rsidRPr="002B3D8A">
        <w:rPr>
          <w:rFonts w:ascii="Arial" w:hAnsi="Arial" w:cs="Arial"/>
          <w:i/>
          <w:color w:val="000000" w:themeColor="text1"/>
        </w:rPr>
        <w:t xml:space="preserve">Dolichodorus heterocephalus </w:t>
      </w:r>
      <w:r w:rsidRPr="002B3D8A">
        <w:rPr>
          <w:rFonts w:ascii="Arial" w:hAnsi="Arial" w:cs="Arial"/>
          <w:color w:val="000000" w:themeColor="text1"/>
        </w:rPr>
        <w:t xml:space="preserve">(awl nematode) and </w:t>
      </w:r>
      <w:r w:rsidRPr="002B3D8A">
        <w:rPr>
          <w:rFonts w:ascii="Arial" w:hAnsi="Arial" w:cs="Arial"/>
          <w:i/>
          <w:color w:val="000000" w:themeColor="text1"/>
        </w:rPr>
        <w:t xml:space="preserve">Paratrichodorus allius </w:t>
      </w:r>
      <w:r w:rsidRPr="002B3D8A">
        <w:rPr>
          <w:rFonts w:ascii="Arial" w:hAnsi="Arial" w:cs="Arial"/>
          <w:color w:val="000000" w:themeColor="text1"/>
        </w:rPr>
        <w:t xml:space="preserve">(stubby root nematode) </w:t>
      </w:r>
      <w:r w:rsidRPr="002B3D8A">
        <w:rPr>
          <w:rStyle w:val="normaltextrun"/>
          <w:rFonts w:ascii="Arial" w:hAnsi="Arial" w:cs="Arial"/>
          <w:color w:val="000000" w:themeColor="text1"/>
        </w:rPr>
        <w:t xml:space="preserve">showed that marigolds were excellent hosts to the nematodes as numbers increased. </w:t>
      </w:r>
      <w:r w:rsidR="00474F68" w:rsidRPr="002B3D8A">
        <w:rPr>
          <w:rStyle w:val="normaltextrun"/>
          <w:rFonts w:ascii="Arial" w:hAnsi="Arial" w:cs="Arial"/>
          <w:color w:val="000000" w:themeColor="text1"/>
        </w:rPr>
        <w:t xml:space="preserve">The nematodes densities on vetch </w:t>
      </w:r>
      <w:r w:rsidR="00474F68">
        <w:rPr>
          <w:rStyle w:val="normaltextrun"/>
          <w:rFonts w:ascii="Arial" w:hAnsi="Arial" w:cs="Arial"/>
          <w:color w:val="000000" w:themeColor="text1"/>
        </w:rPr>
        <w:t xml:space="preserve">and snap beans, </w:t>
      </w:r>
      <w:r w:rsidR="00474F68" w:rsidRPr="002B3D8A">
        <w:rPr>
          <w:rStyle w:val="normaltextrun"/>
          <w:rFonts w:ascii="Arial" w:hAnsi="Arial" w:cs="Arial"/>
          <w:color w:val="000000" w:themeColor="text1"/>
        </w:rPr>
        <w:t xml:space="preserve">were constant </w:t>
      </w:r>
      <w:r w:rsidR="00474F68">
        <w:rPr>
          <w:rStyle w:val="normaltextrun"/>
          <w:rFonts w:ascii="Arial" w:hAnsi="Arial" w:cs="Arial"/>
          <w:color w:val="000000" w:themeColor="text1"/>
        </w:rPr>
        <w:t xml:space="preserve">as no </w:t>
      </w:r>
      <w:r w:rsidR="00474F68" w:rsidRPr="002B3D8A">
        <w:rPr>
          <w:rStyle w:val="normaltextrun"/>
          <w:rFonts w:ascii="Arial" w:hAnsi="Arial" w:cs="Arial"/>
          <w:color w:val="000000" w:themeColor="text1"/>
        </w:rPr>
        <w:t>increase or decrease was recorded</w:t>
      </w:r>
      <w:r w:rsidR="00474F68">
        <w:rPr>
          <w:rStyle w:val="normaltextrun"/>
          <w:rFonts w:ascii="Arial" w:hAnsi="Arial" w:cs="Arial"/>
          <w:color w:val="000000" w:themeColor="text1"/>
        </w:rPr>
        <w:t xml:space="preserve"> indicting that they were </w:t>
      </w:r>
      <w:r w:rsidR="00474F68" w:rsidRPr="002B3D8A">
        <w:rPr>
          <w:rStyle w:val="normaltextrun"/>
          <w:rFonts w:ascii="Arial" w:hAnsi="Arial" w:cs="Arial"/>
          <w:color w:val="000000" w:themeColor="text1"/>
        </w:rPr>
        <w:t>poor host</w:t>
      </w:r>
      <w:r w:rsidR="00474F68">
        <w:rPr>
          <w:rStyle w:val="normaltextrun"/>
          <w:rFonts w:ascii="Arial" w:hAnsi="Arial" w:cs="Arial"/>
          <w:color w:val="000000" w:themeColor="text1"/>
        </w:rPr>
        <w:t xml:space="preserve"> to stubby root nematodes</w:t>
      </w:r>
      <w:r w:rsidR="00474F68" w:rsidRPr="002B3D8A">
        <w:rPr>
          <w:rStyle w:val="normaltextrun"/>
          <w:rFonts w:ascii="Arial" w:hAnsi="Arial" w:cs="Arial"/>
          <w:color w:val="000000" w:themeColor="text1"/>
        </w:rPr>
        <w:t xml:space="preserve"> </w:t>
      </w:r>
      <w:r w:rsidRPr="002B3D8A">
        <w:rPr>
          <w:rStyle w:val="normaltextrun"/>
          <w:rFonts w:ascii="Arial" w:hAnsi="Arial" w:cs="Arial"/>
          <w:color w:val="000000" w:themeColor="text1"/>
          <w:lang w:val="en-US"/>
        </w:rPr>
        <w:t>(Rhoades, 1980)</w:t>
      </w:r>
      <w:r w:rsidRPr="002B3D8A">
        <w:rPr>
          <w:rStyle w:val="eop"/>
          <w:rFonts w:ascii="Arial" w:hAnsi="Arial" w:cs="Arial"/>
          <w:color w:val="000000" w:themeColor="text1"/>
        </w:rPr>
        <w:t xml:space="preserve">. </w:t>
      </w:r>
    </w:p>
    <w:p w14:paraId="0807A64D" w14:textId="01C8275A" w:rsidR="00A94AE2" w:rsidRDefault="00A94AE2" w:rsidP="00502C77">
      <w:pPr>
        <w:pStyle w:val="paragraph"/>
        <w:spacing w:before="0" w:beforeAutospacing="0" w:after="0" w:afterAutospacing="0" w:line="360" w:lineRule="auto"/>
        <w:ind w:right="-330"/>
        <w:jc w:val="both"/>
        <w:textAlignment w:val="baseline"/>
        <w:rPr>
          <w:rStyle w:val="eop"/>
          <w:rFonts w:ascii="Arial" w:hAnsi="Arial" w:cs="Arial"/>
          <w:color w:val="000000" w:themeColor="text1"/>
        </w:rPr>
      </w:pPr>
    </w:p>
    <w:p w14:paraId="1498052B" w14:textId="77777777" w:rsidR="007A5447" w:rsidRDefault="007A5447" w:rsidP="00502C77">
      <w:pPr>
        <w:pStyle w:val="paragraph"/>
        <w:spacing w:before="0" w:beforeAutospacing="0" w:after="0" w:afterAutospacing="0" w:line="360" w:lineRule="auto"/>
        <w:ind w:right="-330"/>
        <w:jc w:val="both"/>
        <w:textAlignment w:val="baseline"/>
        <w:rPr>
          <w:rStyle w:val="eop"/>
          <w:rFonts w:ascii="Arial" w:hAnsi="Arial" w:cs="Arial"/>
          <w:color w:val="000000" w:themeColor="text1"/>
        </w:rPr>
        <w:sectPr w:rsidR="007A5447" w:rsidSect="002572CD">
          <w:pgSz w:w="11906" w:h="16838"/>
          <w:pgMar w:top="1440" w:right="1440" w:bottom="1440" w:left="1440" w:header="708" w:footer="708" w:gutter="0"/>
          <w:cols w:space="708"/>
          <w:docGrid w:linePitch="360"/>
        </w:sectPr>
      </w:pPr>
    </w:p>
    <w:p w14:paraId="6C244B67" w14:textId="0296D4F3" w:rsidR="004A7DDE" w:rsidRDefault="003C6C7F" w:rsidP="00A60249">
      <w:pPr>
        <w:pStyle w:val="Heading3"/>
        <w:spacing w:line="360" w:lineRule="auto"/>
        <w:rPr>
          <w:rStyle w:val="Heading3Char"/>
          <w:rFonts w:ascii="Arial" w:hAnsi="Arial" w:cs="Arial"/>
          <w:b/>
          <w:color w:val="000000" w:themeColor="text1"/>
          <w:sz w:val="24"/>
          <w:szCs w:val="24"/>
        </w:rPr>
      </w:pPr>
      <w:bookmarkStart w:id="37" w:name="_Toc110341286"/>
      <w:r w:rsidRPr="004A7DDE">
        <w:rPr>
          <w:rStyle w:val="Heading3Char"/>
          <w:rFonts w:ascii="Arial" w:hAnsi="Arial" w:cs="Arial"/>
          <w:b/>
          <w:color w:val="000000" w:themeColor="text1"/>
          <w:sz w:val="24"/>
          <w:szCs w:val="24"/>
        </w:rPr>
        <w:lastRenderedPageBreak/>
        <w:t>1.3.</w:t>
      </w:r>
      <w:r w:rsidR="00F52458">
        <w:rPr>
          <w:rStyle w:val="Heading3Char"/>
          <w:rFonts w:ascii="Arial" w:hAnsi="Arial" w:cs="Arial"/>
          <w:b/>
          <w:color w:val="000000" w:themeColor="text1"/>
          <w:sz w:val="24"/>
          <w:szCs w:val="24"/>
        </w:rPr>
        <w:t>5</w:t>
      </w:r>
      <w:r w:rsidRPr="004A7DDE">
        <w:rPr>
          <w:rStyle w:val="Heading3Char"/>
          <w:rFonts w:ascii="Arial" w:hAnsi="Arial" w:cs="Arial"/>
          <w:b/>
          <w:color w:val="000000" w:themeColor="text1"/>
          <w:sz w:val="24"/>
          <w:szCs w:val="24"/>
        </w:rPr>
        <w:t xml:space="preserve"> </w:t>
      </w:r>
      <w:r w:rsidR="001049BE" w:rsidRPr="004A7DDE">
        <w:rPr>
          <w:rStyle w:val="Heading3Char"/>
          <w:rFonts w:ascii="Arial" w:hAnsi="Arial" w:cs="Arial"/>
          <w:b/>
          <w:color w:val="000000" w:themeColor="text1"/>
          <w:sz w:val="24"/>
          <w:szCs w:val="24"/>
        </w:rPr>
        <w:t>F</w:t>
      </w:r>
      <w:r w:rsidR="00E45F78" w:rsidRPr="004A7DDE">
        <w:rPr>
          <w:rStyle w:val="Heading3Char"/>
          <w:rFonts w:ascii="Arial" w:hAnsi="Arial" w:cs="Arial"/>
          <w:b/>
          <w:color w:val="000000" w:themeColor="text1"/>
          <w:sz w:val="24"/>
          <w:szCs w:val="24"/>
        </w:rPr>
        <w:t xml:space="preserve">ungal endophytes </w:t>
      </w:r>
      <w:r w:rsidR="001049BE" w:rsidRPr="004A7DDE">
        <w:rPr>
          <w:rStyle w:val="Heading3Char"/>
          <w:rFonts w:ascii="Arial" w:hAnsi="Arial" w:cs="Arial"/>
          <w:b/>
          <w:color w:val="000000" w:themeColor="text1"/>
          <w:sz w:val="24"/>
          <w:szCs w:val="24"/>
        </w:rPr>
        <w:t>in PPN management</w:t>
      </w:r>
      <w:bookmarkEnd w:id="37"/>
      <w:r w:rsidR="001049BE" w:rsidRPr="004A7DDE">
        <w:rPr>
          <w:rStyle w:val="Heading3Char"/>
          <w:rFonts w:ascii="Arial" w:hAnsi="Arial" w:cs="Arial"/>
          <w:b/>
          <w:color w:val="000000" w:themeColor="text1"/>
          <w:sz w:val="24"/>
          <w:szCs w:val="24"/>
        </w:rPr>
        <w:t xml:space="preserve"> </w:t>
      </w:r>
    </w:p>
    <w:p w14:paraId="1931D86A" w14:textId="65401C8D" w:rsidR="007A5447" w:rsidRDefault="008E5878" w:rsidP="00616CDC">
      <w:pPr>
        <w:pStyle w:val="paragraph"/>
        <w:spacing w:before="0" w:beforeAutospacing="0" w:after="0" w:afterAutospacing="0" w:line="360" w:lineRule="auto"/>
        <w:ind w:left="-284" w:right="-330"/>
        <w:jc w:val="both"/>
        <w:textAlignment w:val="baseline"/>
        <w:rPr>
          <w:rFonts w:ascii="Arial" w:hAnsi="Arial" w:cs="Arial"/>
          <w:color w:val="000000" w:themeColor="text1"/>
        </w:rPr>
      </w:pPr>
      <w:r w:rsidRPr="002B3D8A">
        <w:rPr>
          <w:rFonts w:ascii="Arial" w:hAnsi="Arial" w:cs="Arial"/>
          <w:color w:val="000000" w:themeColor="text1"/>
        </w:rPr>
        <w:t>Fungal endophytes</w:t>
      </w:r>
      <w:r w:rsidR="0094680E">
        <w:rPr>
          <w:rFonts w:ascii="Arial" w:hAnsi="Arial" w:cs="Arial"/>
          <w:color w:val="000000" w:themeColor="text1"/>
        </w:rPr>
        <w:t xml:space="preserve"> </w:t>
      </w:r>
      <w:r w:rsidR="006B09C2" w:rsidRPr="002B3D8A">
        <w:rPr>
          <w:rFonts w:ascii="Arial" w:hAnsi="Arial" w:cs="Arial"/>
          <w:color w:val="000000" w:themeColor="text1"/>
        </w:rPr>
        <w:t>colonis</w:t>
      </w:r>
      <w:r w:rsidR="006B09C2">
        <w:rPr>
          <w:rFonts w:ascii="Arial" w:hAnsi="Arial" w:cs="Arial"/>
          <w:color w:val="000000" w:themeColor="text1"/>
        </w:rPr>
        <w:t>e</w:t>
      </w:r>
      <w:r w:rsidR="006B09C2" w:rsidRPr="002B3D8A">
        <w:rPr>
          <w:rFonts w:ascii="Arial" w:hAnsi="Arial" w:cs="Arial"/>
          <w:color w:val="000000" w:themeColor="text1"/>
        </w:rPr>
        <w:t xml:space="preserve"> plant</w:t>
      </w:r>
      <w:r w:rsidRPr="002B3D8A">
        <w:rPr>
          <w:rFonts w:ascii="Arial" w:hAnsi="Arial" w:cs="Arial"/>
          <w:color w:val="000000" w:themeColor="text1"/>
        </w:rPr>
        <w:t xml:space="preserve"> tissue </w:t>
      </w:r>
      <w:r w:rsidR="003560D4">
        <w:rPr>
          <w:rFonts w:ascii="Arial" w:hAnsi="Arial" w:cs="Arial"/>
          <w:color w:val="000000" w:themeColor="text1"/>
        </w:rPr>
        <w:t>to</w:t>
      </w:r>
      <w:r w:rsidR="003560D4" w:rsidRPr="002B3D8A">
        <w:rPr>
          <w:rFonts w:ascii="Arial" w:hAnsi="Arial" w:cs="Arial"/>
          <w:color w:val="000000" w:themeColor="text1"/>
        </w:rPr>
        <w:t xml:space="preserve"> </w:t>
      </w:r>
      <w:r w:rsidRPr="002B3D8A">
        <w:rPr>
          <w:rFonts w:ascii="Arial" w:hAnsi="Arial" w:cs="Arial"/>
          <w:color w:val="000000" w:themeColor="text1"/>
        </w:rPr>
        <w:t xml:space="preserve">initiate a beneficial relationship that does not negatively affect the plant. They have been successfully used as biological control agents for nematode management as they protect the crop through production of bioactive compounds/secondary metabolites (antibiosis), that can </w:t>
      </w:r>
      <w:r w:rsidR="0094680E" w:rsidRPr="002B3D8A">
        <w:rPr>
          <w:rFonts w:ascii="Arial" w:hAnsi="Arial" w:cs="Arial"/>
          <w:color w:val="000000" w:themeColor="text1"/>
        </w:rPr>
        <w:t>kill,</w:t>
      </w:r>
      <w:r w:rsidRPr="002B3D8A">
        <w:rPr>
          <w:rFonts w:ascii="Arial" w:hAnsi="Arial" w:cs="Arial"/>
          <w:color w:val="000000" w:themeColor="text1"/>
        </w:rPr>
        <w:t xml:space="preserve"> repel, paralyse</w:t>
      </w:r>
      <w:r w:rsidR="008C5982">
        <w:rPr>
          <w:rFonts w:ascii="Arial" w:hAnsi="Arial" w:cs="Arial"/>
          <w:color w:val="000000" w:themeColor="text1"/>
        </w:rPr>
        <w:t xml:space="preserve"> or</w:t>
      </w:r>
      <w:r w:rsidRPr="002B3D8A">
        <w:rPr>
          <w:rFonts w:ascii="Arial" w:hAnsi="Arial" w:cs="Arial"/>
          <w:color w:val="000000" w:themeColor="text1"/>
        </w:rPr>
        <w:t xml:space="preserve"> interfere with host finding ability</w:t>
      </w:r>
      <w:r w:rsidR="008C5982">
        <w:rPr>
          <w:rFonts w:ascii="Arial" w:hAnsi="Arial" w:cs="Arial"/>
          <w:color w:val="000000" w:themeColor="text1"/>
        </w:rPr>
        <w:t>,</w:t>
      </w:r>
      <w:r w:rsidRPr="002B3D8A">
        <w:rPr>
          <w:rFonts w:ascii="Arial" w:hAnsi="Arial" w:cs="Arial"/>
          <w:color w:val="000000" w:themeColor="text1"/>
        </w:rPr>
        <w:t xml:space="preserve"> </w:t>
      </w:r>
      <w:r w:rsidR="008C5982">
        <w:rPr>
          <w:rFonts w:ascii="Arial" w:hAnsi="Arial" w:cs="Arial"/>
          <w:color w:val="000000" w:themeColor="text1"/>
        </w:rPr>
        <w:t>disrupt</w:t>
      </w:r>
      <w:r w:rsidRPr="002B3D8A">
        <w:rPr>
          <w:rFonts w:ascii="Arial" w:hAnsi="Arial" w:cs="Arial"/>
          <w:color w:val="000000" w:themeColor="text1"/>
        </w:rPr>
        <w:t xml:space="preserve"> nurse cell development (Poveda et al., 2020).</w:t>
      </w:r>
      <w:r w:rsidR="008C5982">
        <w:rPr>
          <w:rFonts w:ascii="Arial" w:hAnsi="Arial" w:cs="Arial"/>
          <w:color w:val="000000" w:themeColor="text1"/>
        </w:rPr>
        <w:t xml:space="preserve"> Some endophytes affect nematodes indirectly by </w:t>
      </w:r>
      <w:r w:rsidR="008C5982">
        <w:rPr>
          <w:rStyle w:val="normaltextrun"/>
          <w:rFonts w:ascii="Arial" w:hAnsi="Arial" w:cs="Arial"/>
          <w:color w:val="000000" w:themeColor="text1"/>
        </w:rPr>
        <w:t>competing for plant resources.</w:t>
      </w:r>
      <w:r w:rsidRPr="002B3D8A">
        <w:rPr>
          <w:rFonts w:ascii="Arial" w:hAnsi="Arial" w:cs="Arial"/>
          <w:color w:val="000000" w:themeColor="text1"/>
        </w:rPr>
        <w:t xml:space="preserve"> </w:t>
      </w:r>
      <w:r w:rsidR="00E45F78" w:rsidRPr="002B3D8A">
        <w:rPr>
          <w:rFonts w:ascii="Arial" w:hAnsi="Arial" w:cs="Arial"/>
          <w:color w:val="000000" w:themeColor="text1"/>
        </w:rPr>
        <w:t>Endophytic fung</w:t>
      </w:r>
      <w:r w:rsidR="00AB48A9" w:rsidRPr="002B3D8A">
        <w:rPr>
          <w:rFonts w:ascii="Arial" w:hAnsi="Arial" w:cs="Arial"/>
          <w:color w:val="000000" w:themeColor="text1"/>
        </w:rPr>
        <w:t>i</w:t>
      </w:r>
      <w:r w:rsidR="00E45F78" w:rsidRPr="002B3D8A">
        <w:rPr>
          <w:rFonts w:ascii="Arial" w:hAnsi="Arial" w:cs="Arial"/>
          <w:color w:val="000000" w:themeColor="text1"/>
        </w:rPr>
        <w:t xml:space="preserve"> are classified either as balanciaceous or non-balanciaceous depending on their ecology</w:t>
      </w:r>
      <w:r w:rsidR="001D282B" w:rsidRPr="002B3D8A">
        <w:rPr>
          <w:rFonts w:ascii="Arial" w:hAnsi="Arial" w:cs="Arial"/>
          <w:color w:val="000000" w:themeColor="text1"/>
        </w:rPr>
        <w:t xml:space="preserve">. Most grass endophytes fall into the category of balanciaceous endophytes whereby they are </w:t>
      </w:r>
      <w:r w:rsidR="00A60249" w:rsidRPr="002B3D8A">
        <w:rPr>
          <w:rFonts w:ascii="Arial" w:hAnsi="Arial" w:cs="Arial"/>
          <w:color w:val="000000" w:themeColor="text1"/>
        </w:rPr>
        <w:t>phylogenetically</w:t>
      </w:r>
      <w:r w:rsidR="001D282B" w:rsidRPr="002B3D8A">
        <w:rPr>
          <w:rFonts w:ascii="Arial" w:hAnsi="Arial" w:cs="Arial"/>
          <w:color w:val="000000" w:themeColor="text1"/>
        </w:rPr>
        <w:t xml:space="preserve"> </w:t>
      </w:r>
      <w:r w:rsidR="00A60249" w:rsidRPr="002B3D8A">
        <w:rPr>
          <w:rFonts w:ascii="Arial" w:hAnsi="Arial" w:cs="Arial"/>
          <w:color w:val="000000" w:themeColor="text1"/>
        </w:rPr>
        <w:t>related</w:t>
      </w:r>
      <w:r w:rsidR="001D282B" w:rsidRPr="002B3D8A">
        <w:rPr>
          <w:rFonts w:ascii="Arial" w:hAnsi="Arial" w:cs="Arial"/>
          <w:color w:val="000000" w:themeColor="text1"/>
        </w:rPr>
        <w:t xml:space="preserve"> </w:t>
      </w:r>
      <w:r w:rsidR="00A60249" w:rsidRPr="002B3D8A">
        <w:rPr>
          <w:rFonts w:ascii="Arial" w:hAnsi="Arial" w:cs="Arial"/>
          <w:color w:val="000000" w:themeColor="text1"/>
        </w:rPr>
        <w:t>e.g.</w:t>
      </w:r>
      <w:r w:rsidR="001D282B" w:rsidRPr="002B3D8A">
        <w:rPr>
          <w:rFonts w:ascii="Arial" w:hAnsi="Arial" w:cs="Arial"/>
          <w:color w:val="000000" w:themeColor="text1"/>
        </w:rPr>
        <w:t xml:space="preserve"> the genera </w:t>
      </w:r>
      <w:r w:rsidR="001D282B" w:rsidRPr="002B3D8A">
        <w:rPr>
          <w:rFonts w:ascii="Arial" w:hAnsi="Arial" w:cs="Arial"/>
          <w:i/>
          <w:color w:val="000000" w:themeColor="text1"/>
        </w:rPr>
        <w:t xml:space="preserve">Epichloe </w:t>
      </w:r>
      <w:r w:rsidR="001D282B" w:rsidRPr="002B3D8A">
        <w:rPr>
          <w:rFonts w:ascii="Arial" w:hAnsi="Arial" w:cs="Arial"/>
          <w:color w:val="000000" w:themeColor="text1"/>
        </w:rPr>
        <w:t xml:space="preserve">and </w:t>
      </w:r>
      <w:r w:rsidR="001D282B" w:rsidRPr="002B3D8A">
        <w:rPr>
          <w:rFonts w:ascii="Arial" w:hAnsi="Arial" w:cs="Arial"/>
          <w:i/>
          <w:color w:val="000000" w:themeColor="text1"/>
        </w:rPr>
        <w:t>Balansia</w:t>
      </w:r>
      <w:r w:rsidR="001D282B" w:rsidRPr="002B3D8A">
        <w:rPr>
          <w:rFonts w:ascii="Arial" w:hAnsi="Arial" w:cs="Arial"/>
          <w:color w:val="000000" w:themeColor="text1"/>
        </w:rPr>
        <w:t xml:space="preserve"> </w:t>
      </w:r>
      <w:r w:rsidR="001D282B" w:rsidRPr="00F63475">
        <w:rPr>
          <w:rFonts w:ascii="Arial" w:hAnsi="Arial" w:cs="Arial"/>
          <w:color w:val="000000" w:themeColor="text1"/>
        </w:rPr>
        <w:t>(</w:t>
      </w:r>
      <w:r w:rsidR="001D282B" w:rsidRPr="002B3D8A">
        <w:rPr>
          <w:rFonts w:ascii="Arial" w:hAnsi="Arial" w:cs="Arial"/>
          <w:color w:val="000000" w:themeColor="text1"/>
        </w:rPr>
        <w:t>anamorphs</w:t>
      </w:r>
      <w:r w:rsidR="00AB48A9" w:rsidRPr="002B3D8A">
        <w:rPr>
          <w:rFonts w:ascii="Arial" w:hAnsi="Arial" w:cs="Arial"/>
          <w:color w:val="000000" w:themeColor="text1"/>
        </w:rPr>
        <w:t xml:space="preserve"> </w:t>
      </w:r>
      <w:r w:rsidR="001D282B" w:rsidRPr="002B3D8A">
        <w:rPr>
          <w:rFonts w:ascii="Arial" w:hAnsi="Arial" w:cs="Arial"/>
          <w:i/>
          <w:color w:val="000000" w:themeColor="text1"/>
        </w:rPr>
        <w:t>Neotyphodium</w:t>
      </w:r>
      <w:r w:rsidR="00AB48A9" w:rsidRPr="002B3D8A">
        <w:rPr>
          <w:rFonts w:ascii="Arial" w:hAnsi="Arial" w:cs="Arial"/>
          <w:i/>
          <w:color w:val="000000" w:themeColor="text1"/>
        </w:rPr>
        <w:t xml:space="preserve"> </w:t>
      </w:r>
      <w:r w:rsidR="001D282B" w:rsidRPr="002B3D8A">
        <w:rPr>
          <w:rFonts w:ascii="Arial" w:hAnsi="Arial" w:cs="Arial"/>
          <w:color w:val="000000" w:themeColor="text1"/>
        </w:rPr>
        <w:t>and</w:t>
      </w:r>
      <w:r w:rsidR="00AB48A9" w:rsidRPr="002B3D8A">
        <w:rPr>
          <w:rFonts w:ascii="Arial" w:hAnsi="Arial" w:cs="Arial"/>
          <w:color w:val="000000" w:themeColor="text1"/>
        </w:rPr>
        <w:t xml:space="preserve"> </w:t>
      </w:r>
      <w:r w:rsidR="001D282B" w:rsidRPr="002B3D8A">
        <w:rPr>
          <w:rFonts w:ascii="Arial" w:hAnsi="Arial" w:cs="Arial"/>
          <w:i/>
          <w:color w:val="000000" w:themeColor="text1"/>
        </w:rPr>
        <w:t xml:space="preserve">Ephelis, </w:t>
      </w:r>
      <w:r w:rsidR="001D282B" w:rsidRPr="002B3D8A">
        <w:rPr>
          <w:rFonts w:ascii="Arial" w:hAnsi="Arial" w:cs="Arial"/>
          <w:color w:val="000000" w:themeColor="text1"/>
        </w:rPr>
        <w:t>respectively) within the</w:t>
      </w:r>
      <w:r w:rsidR="008C5982">
        <w:rPr>
          <w:rFonts w:ascii="Arial" w:hAnsi="Arial" w:cs="Arial"/>
          <w:color w:val="000000" w:themeColor="text1"/>
        </w:rPr>
        <w:t xml:space="preserve"> phylum</w:t>
      </w:r>
      <w:r w:rsidR="001D282B" w:rsidRPr="002B3D8A">
        <w:rPr>
          <w:rFonts w:ascii="Arial" w:hAnsi="Arial" w:cs="Arial"/>
          <w:color w:val="000000" w:themeColor="text1"/>
        </w:rPr>
        <w:t xml:space="preserve"> ascomyc</w:t>
      </w:r>
      <w:r w:rsidR="008C5982">
        <w:rPr>
          <w:rFonts w:ascii="Arial" w:hAnsi="Arial" w:cs="Arial"/>
          <w:color w:val="000000" w:themeColor="text1"/>
        </w:rPr>
        <w:t>ota</w:t>
      </w:r>
      <w:r w:rsidR="00A41514">
        <w:rPr>
          <w:rFonts w:ascii="Arial" w:hAnsi="Arial" w:cs="Arial"/>
          <w:color w:val="000000" w:themeColor="text1"/>
        </w:rPr>
        <w:t xml:space="preserve"> </w:t>
      </w:r>
      <w:r w:rsidR="00A41514">
        <w:rPr>
          <w:rFonts w:ascii="Arial" w:hAnsi="Arial" w:cs="Arial"/>
          <w:color w:val="000000" w:themeColor="text1"/>
        </w:rPr>
        <w:fldChar w:fldCharType="begin" w:fldLock="1"/>
      </w:r>
      <w:r w:rsidR="00E13293">
        <w:rPr>
          <w:rFonts w:ascii="Arial" w:hAnsi="Arial" w:cs="Arial"/>
          <w:color w:val="000000" w:themeColor="text1"/>
        </w:rPr>
        <w:instrText>ADDIN CSL_CITATION {"citationItems":[{"id":"ITEM-1","itemData":{"DOI":"10.1086/342161","abstract":"Abstract: Over the past 20 yr much has been learned about a unique symbiotic interaction between fungal endophytes and grasses. The fungi (Clavicipitaceae, Ascomycota) grow intercellularly and syst...","author":[{"dropping-particle":"","family":"Clay","given":"Keith","non-dropping-particle":"","parse-names":false,"suffix":""},{"dropping-particle":"","family":"Schardl","given":"Christopher","non-dropping-particle":"","parse-names":false,"suffix":""}],"container-title":"https://doi.org/10.1086/342161","id":"ITEM-1","issue":"4 SUPPL.","issued":{"date-parts":[["2015","7","17"]]},"publisher":" The University of Chicago Press ","title":"Evolutionary Origins and Ecological Consequences of Endophyte Symbiosis with Grasses","type":"article-journal","volume":"160"},"uris":["http://www.mendeley.com/documents/?uuid=0fca4b58-669f-360d-a0f5-bba425089418"]}],"mendeley":{"formattedCitation":"(Clay and Schardl, 2015)","plainTextFormattedCitation":"(Clay and Schardl, 2015)","previouslyFormattedCitation":"(Clay and Schardl, 2015)"},"properties":{"noteIndex":0},"schema":"https://github.com/citation-style-language/schema/raw/master/csl-citation.json"}</w:instrText>
      </w:r>
      <w:r w:rsidR="00A41514">
        <w:rPr>
          <w:rFonts w:ascii="Arial" w:hAnsi="Arial" w:cs="Arial"/>
          <w:color w:val="000000" w:themeColor="text1"/>
        </w:rPr>
        <w:fldChar w:fldCharType="separate"/>
      </w:r>
      <w:r w:rsidR="00E13293" w:rsidRPr="00E13293">
        <w:rPr>
          <w:rFonts w:ascii="Arial" w:hAnsi="Arial" w:cs="Arial"/>
          <w:noProof/>
          <w:color w:val="000000" w:themeColor="text1"/>
        </w:rPr>
        <w:t>(Clay and Schardl, 2015)</w:t>
      </w:r>
      <w:r w:rsidR="00A41514">
        <w:rPr>
          <w:rFonts w:ascii="Arial" w:hAnsi="Arial" w:cs="Arial"/>
          <w:color w:val="000000" w:themeColor="text1"/>
        </w:rPr>
        <w:fldChar w:fldCharType="end"/>
      </w:r>
      <w:r w:rsidR="001D282B" w:rsidRPr="002B3D8A">
        <w:rPr>
          <w:rFonts w:ascii="Arial" w:hAnsi="Arial" w:cs="Arial"/>
          <w:color w:val="000000" w:themeColor="text1"/>
        </w:rPr>
        <w:t xml:space="preserve">. </w:t>
      </w:r>
      <w:r w:rsidR="00CE378B" w:rsidRPr="002B3D8A">
        <w:rPr>
          <w:rFonts w:ascii="Arial" w:hAnsi="Arial" w:cs="Arial"/>
          <w:color w:val="000000" w:themeColor="text1"/>
        </w:rPr>
        <w:t xml:space="preserve">Cool-season grasses (family Poaceae) are often associated with claviceptaceous endophytic fungi in the genus </w:t>
      </w:r>
      <w:r w:rsidR="00CE378B" w:rsidRPr="00F63475">
        <w:rPr>
          <w:rFonts w:ascii="Arial" w:hAnsi="Arial" w:cs="Arial"/>
          <w:i/>
          <w:color w:val="000000" w:themeColor="text1"/>
        </w:rPr>
        <w:t>Epichloë</w:t>
      </w:r>
      <w:r w:rsidR="00CE378B" w:rsidRPr="002B3D8A">
        <w:rPr>
          <w:rFonts w:ascii="Arial" w:hAnsi="Arial" w:cs="Arial"/>
          <w:color w:val="000000" w:themeColor="text1"/>
        </w:rPr>
        <w:t xml:space="preserve"> </w:t>
      </w:r>
      <w:r w:rsidR="00A10C1C">
        <w:rPr>
          <w:rFonts w:ascii="Arial" w:hAnsi="Arial" w:cs="Arial"/>
          <w:color w:val="000000" w:themeColor="text1"/>
        </w:rPr>
        <w:fldChar w:fldCharType="begin" w:fldLock="1"/>
      </w:r>
      <w:r w:rsidR="001B2A7F">
        <w:rPr>
          <w:rFonts w:ascii="Arial" w:hAnsi="Arial" w:cs="Arial"/>
          <w:color w:val="000000" w:themeColor="text1"/>
        </w:rPr>
        <w:instrText>ADDIN CSL_CITATION {"citationItems":[{"id":"ITEM-1","itemData":{"DOI":"10.21307/jofnem-2020-076","abstract":"Festulolium hybrids are forage grasses used worldwide in temperate climates. They are associated with the fungal endophyte Epichloë uncinata, which aids in nutrient uptake, drought tolerance, and production of metabolites that protect against parasites and herbivores. Epichloë uncinata produces loline alkaloids, which can deter insect pests. Festulolium has not been widely studied for susceptibility to plant-parasitic nematodes, so Festulolium lines, with and without fungal endophytes, were tested in the greenhouse for host status to the root-knot nematode Meloidogyne incognita. All were poor hosts, regardless of line or endophyte status. Pepper seedlings planted into soil following removal of the Festulolium plants were infected by nematodes, likely because of surviving nematodes from the original inoculation combined with some reproduction on Festulolium. Lolines were found in shoots and roots of all endophyte-associated lines, and some types of lolines in roots increased after nematode infection. Methanolic extracts from roots and shoots of a tested Festulolium line did not inhibit egg hatch, but killed nearly a third of second-stage juveniles whether an endophyte was present or not. Further studies would indicate whether these Festulolium lines aid in suppressing field populations of M. incognita.","author":[{"dropping-particle":"","family":"F Meyer","given":"Susan L","non-dropping-particle":"","parse-names":false,"suffix":""},{"dropping-particle":"","family":"Patchett","given":"Brian J","non-dropping-particle":"","parse-names":false,"suffix":""},{"dropping-particle":"","family":"Gillanders","given":"Timothy J","non-dropping-particle":"","parse-names":false,"suffix":""},{"dropping-particle":"","family":"Kantor","given":"Mihail R","non-dropping-particle":"","parse-names":false,"suffix":""},{"dropping-particle":"","family":"Timper","given":"Patricia","non-dropping-particle":"","parse-names":false,"suffix":""},{"dropping-particle":"","family":"MacDonald","given":"Margaret H","non-dropping-particle":"","parse-names":false,"suffix":""},{"dropping-particle":"","family":"Elling","given":"Axel","non-dropping-particle":"","parse-names":false,"suffix":""}],"container-title":"JOURNAL OF NEMATOLOGY","id":"ITEM-1","issued":{"date-parts":[["2020"]]},"note":"Festololium hybrids are forage grasses used worlwide in temperate climates. these hybrids are intergeneric crosses betwween Festuca pratensis and Lolium perenne/lolium multiflorum .","page":"2020-76","title":"Festulolium and fungal endophyte associations: host status for Meloidogyne incognita and nematotoxic plant extracts","type":"article-journal","volume":"52"},"uris":["http://www.mendeley.com/documents/?uuid=a8b1a71c-c22f-3ac4-a9a1-bd06de477973"]}],"mendeley":{"formattedCitation":"(F Meyer &lt;i&gt;et al.&lt;/i&gt;, 2020)","plainTextFormattedCitation":"(F Meyer et al., 2020)","previouslyFormattedCitation":"(F Meyer &lt;i&gt;et al.&lt;/i&gt;, 2020)"},"properties":{"noteIndex":0},"schema":"https://github.com/citation-style-language/schema/raw/master/csl-citation.json"}</w:instrText>
      </w:r>
      <w:r w:rsidR="00A10C1C">
        <w:rPr>
          <w:rFonts w:ascii="Arial" w:hAnsi="Arial" w:cs="Arial"/>
          <w:color w:val="000000" w:themeColor="text1"/>
        </w:rPr>
        <w:fldChar w:fldCharType="separate"/>
      </w:r>
      <w:r w:rsidR="00A07F2C" w:rsidRPr="00A07F2C">
        <w:rPr>
          <w:rFonts w:ascii="Arial" w:hAnsi="Arial" w:cs="Arial"/>
          <w:noProof/>
          <w:color w:val="000000" w:themeColor="text1"/>
        </w:rPr>
        <w:t xml:space="preserve">(F Meyer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2020)</w:t>
      </w:r>
      <w:r w:rsidR="00A10C1C">
        <w:rPr>
          <w:rFonts w:ascii="Arial" w:hAnsi="Arial" w:cs="Arial"/>
          <w:color w:val="000000" w:themeColor="text1"/>
        </w:rPr>
        <w:fldChar w:fldCharType="end"/>
      </w:r>
      <w:r w:rsidR="00A10C1C">
        <w:rPr>
          <w:rFonts w:ascii="Arial" w:hAnsi="Arial" w:cs="Arial"/>
          <w:color w:val="000000" w:themeColor="text1"/>
        </w:rPr>
        <w:t>.</w:t>
      </w:r>
      <w:r w:rsidR="00CE378B" w:rsidRPr="002B3D8A">
        <w:rPr>
          <w:rFonts w:ascii="Arial" w:hAnsi="Arial" w:cs="Arial"/>
          <w:color w:val="000000" w:themeColor="text1"/>
        </w:rPr>
        <w:t>They</w:t>
      </w:r>
      <w:r w:rsidR="001D282B" w:rsidRPr="002B3D8A">
        <w:rPr>
          <w:rFonts w:ascii="Arial" w:hAnsi="Arial" w:cs="Arial"/>
          <w:color w:val="000000" w:themeColor="text1"/>
        </w:rPr>
        <w:t xml:space="preserve"> are obligate </w:t>
      </w:r>
      <w:r w:rsidR="00A10C1C" w:rsidRPr="002B3D8A">
        <w:rPr>
          <w:rFonts w:ascii="Arial" w:hAnsi="Arial" w:cs="Arial"/>
          <w:color w:val="000000" w:themeColor="text1"/>
        </w:rPr>
        <w:t>symbionts</w:t>
      </w:r>
      <w:r w:rsidR="001D282B" w:rsidRPr="002B3D8A">
        <w:rPr>
          <w:rFonts w:ascii="Arial" w:hAnsi="Arial" w:cs="Arial"/>
          <w:color w:val="000000" w:themeColor="text1"/>
        </w:rPr>
        <w:t xml:space="preserve"> and are transmitted both vertically and horizontally and grow </w:t>
      </w:r>
      <w:r w:rsidR="00205CBB" w:rsidRPr="002B3D8A">
        <w:rPr>
          <w:rFonts w:ascii="Arial" w:hAnsi="Arial" w:cs="Arial"/>
          <w:color w:val="000000" w:themeColor="text1"/>
        </w:rPr>
        <w:t xml:space="preserve">hyphae grows </w:t>
      </w:r>
      <w:r w:rsidR="00CE378B" w:rsidRPr="002B3D8A">
        <w:rPr>
          <w:rFonts w:ascii="Arial" w:hAnsi="Arial" w:cs="Arial"/>
          <w:color w:val="000000" w:themeColor="text1"/>
        </w:rPr>
        <w:t>intercellularly</w:t>
      </w:r>
      <w:r w:rsidR="001D282B" w:rsidRPr="002B3D8A">
        <w:rPr>
          <w:rFonts w:ascii="Arial" w:hAnsi="Arial" w:cs="Arial"/>
          <w:color w:val="000000" w:themeColor="text1"/>
        </w:rPr>
        <w:t xml:space="preserve"> in the host plants producing structures that help uptake nutrients into their </w:t>
      </w:r>
      <w:r w:rsidR="00CE378B" w:rsidRPr="002B3D8A">
        <w:rPr>
          <w:rFonts w:ascii="Arial" w:hAnsi="Arial" w:cs="Arial"/>
          <w:color w:val="000000" w:themeColor="text1"/>
        </w:rPr>
        <w:t>mycelia</w:t>
      </w:r>
      <w:r w:rsidR="001D282B" w:rsidRPr="002B3D8A">
        <w:rPr>
          <w:rFonts w:ascii="Arial" w:hAnsi="Arial" w:cs="Arial"/>
          <w:color w:val="000000" w:themeColor="text1"/>
        </w:rPr>
        <w:t xml:space="preserve">. </w:t>
      </w:r>
      <w:r w:rsidR="00CE378B" w:rsidRPr="002B3D8A">
        <w:rPr>
          <w:rFonts w:ascii="Arial" w:hAnsi="Arial" w:cs="Arial"/>
          <w:color w:val="000000" w:themeColor="text1"/>
        </w:rPr>
        <w:t xml:space="preserve">The hyphae eventually </w:t>
      </w:r>
      <w:r w:rsidR="00737A24" w:rsidRPr="002B3D8A">
        <w:rPr>
          <w:rFonts w:ascii="Arial" w:hAnsi="Arial" w:cs="Arial"/>
          <w:color w:val="000000" w:themeColor="text1"/>
        </w:rPr>
        <w:t>coloni</w:t>
      </w:r>
      <w:r w:rsidR="008C5982">
        <w:rPr>
          <w:rFonts w:ascii="Arial" w:hAnsi="Arial" w:cs="Arial"/>
          <w:color w:val="000000" w:themeColor="text1"/>
        </w:rPr>
        <w:t>s</w:t>
      </w:r>
      <w:r w:rsidR="00737A24" w:rsidRPr="002B3D8A">
        <w:rPr>
          <w:rFonts w:ascii="Arial" w:hAnsi="Arial" w:cs="Arial"/>
          <w:color w:val="000000" w:themeColor="text1"/>
        </w:rPr>
        <w:t>e</w:t>
      </w:r>
      <w:r w:rsidR="00CE378B" w:rsidRPr="002B3D8A">
        <w:rPr>
          <w:rFonts w:ascii="Arial" w:hAnsi="Arial" w:cs="Arial"/>
          <w:color w:val="000000" w:themeColor="text1"/>
        </w:rPr>
        <w:t xml:space="preserve"> the new seed when the host reaches maturity </w:t>
      </w:r>
      <w:r w:rsidR="00A10C1C">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{"citationItems":[{"id":"ITEM-1","itemData":{"DOI":"10.1016/J.FGB.2007.07.013","ISSN":"1087-1845","abstract":"A fundamental hallmark of fungal growth is that vegetative hyphae grow exclusively by extension at the hyphal tip. However, this model of apical growth is incompatible with endophyte colonization of grasses by the symbiotic Neotyphodium and Epichloë species. These fungi are transmitted through host seed, and colonize aerial tissues that develop from infected shoot apical meristems of the seedling and tillers. We present evidence that vegetative hyphae of Neotyphodium and Epichloë species infect grass leaves via a novel mechanism of growth, intercalary division and extension. Hyphae are attached to enlarging host cells, and cumulative growth along the length of the filament enables the fungus to extend at the same rate as the host. This is the first evidence of intercalary growth in fungi and directly challenges the centuries-old model that fungi grow exclusively at hyphal tips. A new model describing the colonization of grasses by clavicipitaceous endophytes is described.","author":[{"dropping-particle":"","family":"Christensen","given":"Michael J.","non-dropping-particle":"","parse-names":false,"suffix":""},{"dropping-particle":"","family":"Bennett","given":"Raymond J.","non-dropping-particle":"","parse-names":false,"suffix":""},{"dropping-particle":"","family":"Ansari","given":"Helal A.","non-dropping-particle":"","parse-names":false,"suffix":""},{"dropping-particle":"","family":"Koga","given":"Hironori","non-dropping-particle":"","parse-names":false,"suffix":""},{"dropping-particle":"","family":"Johnson","given":"Richard D.","non-dropping-particle":"","parse-names":false,"suffix":""},{"dropping-particle":"","family":"Bryan","given":"Gregory T.","non-dropping-particle":"","parse-names":false,"suffix":""},{"dropping-particle":"","family":"Simpson","given":"Wayne R.","non-dropping-particle":"","parse-names":false,"suffix":""},{"dropping-particle":"","family":"Koolaard","given":"John P.","non-dropping-particle":"","parse-names":false,"suffix":""},{"dropping-particle":"","family":"Nickless","given":"Elizabeth M.","non-dropping-particle":"","parse-names":false,"suffix":""},{"dropping-particle":"","family":"Voisey","given":"Christine R.","non-dropping-particle":"","parse-names":false,"suffix":""}],"container-title":"Fungal Genetics and Biology","id":"ITEM-1","issue":"2","issued":{"date-parts":[["2008","2","1"]]},"page":"84-93","publisher":"Academic Press","title":"Epichloë endophytes grow by intercalary hyphal extension in elongating grass leaves","type":"article-journal","volume":"45"},"uris":["http://www.mendeley.com/documents/?uuid=b46a6d6b-a877-3b32-bd48-0ed2c9492b23"]}],"mendeley":{"formattedCitation":"(Christensen &lt;i&gt;et al.&lt;/i&gt;, 2008)","plainTextFormattedCitation":"(Christensen et al., 2008)","previouslyFormattedCitation":"(Christensen &lt;i&gt;et al.&lt;/i&gt;, 2008)"},"properties":{"noteIndex":0},"schema":"https://github.com/citation-style-language/schema/raw/master/csl-citation.json"}</w:instrText>
      </w:r>
      <w:r w:rsidR="00A10C1C">
        <w:rPr>
          <w:rFonts w:ascii="Arial" w:hAnsi="Arial" w:cs="Arial"/>
          <w:color w:val="000000" w:themeColor="text1"/>
        </w:rPr>
        <w:fldChar w:fldCharType="separate"/>
      </w:r>
      <w:r w:rsidR="00A07F2C" w:rsidRPr="00A07F2C">
        <w:rPr>
          <w:rFonts w:ascii="Arial" w:hAnsi="Arial" w:cs="Arial"/>
          <w:noProof/>
          <w:color w:val="000000" w:themeColor="text1"/>
        </w:rPr>
        <w:t xml:space="preserve">(Christensen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2008)</w:t>
      </w:r>
      <w:r w:rsidR="00A10C1C">
        <w:rPr>
          <w:rFonts w:ascii="Arial" w:hAnsi="Arial" w:cs="Arial"/>
          <w:color w:val="000000" w:themeColor="text1"/>
        </w:rPr>
        <w:fldChar w:fldCharType="end"/>
      </w:r>
      <w:r w:rsidR="00A10C1C">
        <w:rPr>
          <w:rFonts w:ascii="Arial" w:hAnsi="Arial" w:cs="Arial"/>
          <w:color w:val="000000" w:themeColor="text1"/>
        </w:rPr>
        <w:t>.</w:t>
      </w:r>
      <w:r w:rsidR="00CE378B" w:rsidRPr="002B3D8A">
        <w:rPr>
          <w:rFonts w:ascii="Arial" w:hAnsi="Arial" w:cs="Arial"/>
          <w:color w:val="000000" w:themeColor="text1"/>
        </w:rPr>
        <w:t xml:space="preserve">The </w:t>
      </w:r>
      <w:r w:rsidR="00133DCE" w:rsidRPr="002B3D8A">
        <w:rPr>
          <w:rFonts w:ascii="Arial" w:hAnsi="Arial" w:cs="Arial"/>
          <w:color w:val="000000" w:themeColor="text1"/>
        </w:rPr>
        <w:t>host</w:t>
      </w:r>
      <w:r w:rsidR="00CE378B" w:rsidRPr="002B3D8A">
        <w:rPr>
          <w:rFonts w:ascii="Arial" w:hAnsi="Arial" w:cs="Arial"/>
          <w:color w:val="000000" w:themeColor="text1"/>
        </w:rPr>
        <w:t xml:space="preserve"> benefits in</w:t>
      </w:r>
      <w:r w:rsidR="00133DCE" w:rsidRPr="002B3D8A">
        <w:rPr>
          <w:rFonts w:ascii="Arial" w:hAnsi="Arial" w:cs="Arial"/>
          <w:color w:val="000000" w:themeColor="text1"/>
        </w:rPr>
        <w:t xml:space="preserve"> from the symbiotic relationship e.g. </w:t>
      </w:r>
      <w:r w:rsidR="008C5982">
        <w:rPr>
          <w:rFonts w:ascii="Arial" w:hAnsi="Arial" w:cs="Arial"/>
          <w:color w:val="000000" w:themeColor="text1"/>
        </w:rPr>
        <w:t>i</w:t>
      </w:r>
      <w:r w:rsidR="00133DCE" w:rsidRPr="002B3D8A">
        <w:rPr>
          <w:rFonts w:ascii="Arial" w:hAnsi="Arial" w:cs="Arial"/>
          <w:color w:val="000000" w:themeColor="text1"/>
        </w:rPr>
        <w:t>ncreased</w:t>
      </w:r>
      <w:r w:rsidR="00CE378B" w:rsidRPr="002B3D8A">
        <w:rPr>
          <w:rFonts w:ascii="Arial" w:hAnsi="Arial" w:cs="Arial"/>
          <w:color w:val="000000" w:themeColor="text1"/>
        </w:rPr>
        <w:t xml:space="preserve"> uptake of nutrients, i</w:t>
      </w:r>
      <w:r w:rsidR="00133DCE" w:rsidRPr="002B3D8A">
        <w:rPr>
          <w:rFonts w:ascii="Arial" w:hAnsi="Arial" w:cs="Arial"/>
          <w:color w:val="000000" w:themeColor="text1"/>
        </w:rPr>
        <w:t>ncreased</w:t>
      </w:r>
      <w:r w:rsidR="00CE378B" w:rsidRPr="002B3D8A">
        <w:rPr>
          <w:rFonts w:ascii="Arial" w:hAnsi="Arial" w:cs="Arial"/>
          <w:color w:val="000000" w:themeColor="text1"/>
        </w:rPr>
        <w:t xml:space="preserve"> </w:t>
      </w:r>
      <w:r w:rsidR="00A10C1C" w:rsidRPr="002B3D8A">
        <w:rPr>
          <w:rFonts w:ascii="Arial" w:hAnsi="Arial" w:cs="Arial"/>
          <w:color w:val="000000" w:themeColor="text1"/>
        </w:rPr>
        <w:t>vigour</w:t>
      </w:r>
      <w:r w:rsidR="00CE378B" w:rsidRPr="002B3D8A">
        <w:rPr>
          <w:rFonts w:ascii="Arial" w:hAnsi="Arial" w:cs="Arial"/>
          <w:color w:val="000000" w:themeColor="text1"/>
        </w:rPr>
        <w:t xml:space="preserve"> during drought, and production of metabolites that </w:t>
      </w:r>
      <w:r w:rsidR="00133DCE" w:rsidRPr="002B3D8A">
        <w:rPr>
          <w:rFonts w:ascii="Arial" w:hAnsi="Arial" w:cs="Arial"/>
          <w:color w:val="000000" w:themeColor="text1"/>
        </w:rPr>
        <w:t xml:space="preserve">shield it </w:t>
      </w:r>
      <w:r w:rsidR="00CE378B" w:rsidRPr="002B3D8A">
        <w:rPr>
          <w:rFonts w:ascii="Arial" w:hAnsi="Arial" w:cs="Arial"/>
          <w:color w:val="000000" w:themeColor="text1"/>
        </w:rPr>
        <w:t xml:space="preserve">against parasites and herbivores </w:t>
      </w:r>
      <w:r w:rsidR="00A10C1C">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{"citationItems":[{"id":"ITEM-1","itemData":{"DOI":"10.1016/J.FGB.2007.07.013","ISSN":"1087-1845","abstract":"A fundamental hallmark of fungal growth is that vegetative hyphae grow exclusively by extension at the hyphal tip. However, this model of apical growth is incompatible with endophyte colonization of grasses by the symbiotic Neotyphodium and Epichloë species. These fungi are transmitted through host seed, and colonize aerial tissues that develop from infected shoot apical meristems of the seedling and tillers. We present evidence that vegetative hyphae of Neotyphodium and Epichloë species infect grass leaves via a novel mechanism of growth, intercalary division and extension. Hyphae are attached to enlarging host cells, and cumulative growth along the length of the filament enables the fungus to extend at the same rate as the host. This is the first evidence of intercalary growth in fungi and directly challenges the centuries-old model that fungi grow exclusively at hyphal tips. A new model describing the colonization of grasses by clavicipitaceous endophytes is described.","author":[{"dropping-particle":"","family":"Christensen","given":"Michael J.","non-dropping-particle":"","parse-names":false,"suffix":""},{"dropping-particle":"","family":"Bennett","given":"Raymond J.","non-dropping-particle":"","parse-names":false,"suffix":""},{"dropping-particle":"","family":"Ansari","given":"Helal A.","non-dropping-particle":"","parse-names":false,"suffix":""},{"dropping-particle":"","family":"Koga","given":"Hironori","non-dropping-particle":"","parse-names":false,"suffix":""},{"dropping-particle":"","family":"Johnson","given":"Richard D.","non-dropping-particle":"","parse-names":false,"suffix":""},{"dropping-particle":"","family":"Bryan","given":"Gregory T.","non-dropping-particle":"","parse-names":false,"suffix":""},{"dropping-particle":"","family":"Simpson","given":"Wayne R.","non-dropping-particle":"","parse-names":false,"suffix":""},{"dropping-particle":"","family":"Koolaard","given":"John P.","non-dropping-particle":"","parse-names":false,"suffix":""},{"dropping-particle":"","family":"Nickless","given":"Elizabeth M.","non-dropping-particle":"","parse-names":false,"suffix":""},{"dropping-particle":"","family":"Voisey","given":"Christine R.","non-dropping-particle":"","parse-names":false,"suffix":""}],"container-title":"Fungal Genetics and Biology","id":"ITEM-1","issue":"2","issued":{"date-parts":[["2008","2","1"]]},"page":"84-93","publisher":"Academic Press","title":"Epichloë endophytes grow by intercalary hyphal extension in elongating grass leaves","type":"article-journal","volume":"45"},"uris":["http://www.mendeley.com/documents/?uuid=b46a6d6b-a877-3b32-bd48-0ed2c9492b23"]},{"id":"ITEM-2","itemData":{"DOI":"10.1146/annurev-phyto-080615-100114","abstract":"Colonization of plants by particular endophytic fungi can provide plants with improved defenses toward nematodes. Evidently, such endophytes can be important in developing more sustainable agricultural practices. The mechanisms playing a role in this quantitative antagonism are poorly understood but most likely multifactorial. This knowledge gap obstructs the progress regarding the development of endophytes or endophyte-derived constituents into biocontrol agents. In part, this may be caused by the fact that endophytic fungi form a rather heterogeneous group. By combining the knowledge of the currently characterized antagonistic endophytic fungi and their effects on nematode behavior and biology with the knowledge of microbial competition and induced plant defenses, the various mechanisms by which this nematode antagonism operates or may operate are discussed. Now that new technologies are becoming available and more accessible, the currently un-resolved mechanisms can be studied in greater detail than ever before.","author":[{"dropping-particle":"","family":"Schouten","given":"Alexander","non-dropping-particle":"","parse-names":false,"suffix":""}],"id":"ITEM-2","issued":{"date-parts":[["2016"]]},"title":"Mechanisms Involved in Nematode Control by Endophytic Fungi","type":"article-journal"},"uris":["http://www.mendeley.com/documents/?uuid=52911402-6c3b-3ab3-a48f-617fee898697"]}],"mendeley":{"formattedCitation":"(Christensen &lt;i&gt;et al.&lt;/i&gt;, 2008; Schouten, 2016)","plainTextFormattedCitation":"(Christensen et al., 2008; Schouten, 2016)","previouslyFormattedCitation":"(Christensen &lt;i&gt;et al.&lt;/i&gt;, 2008; Schouten, 2016)"},"properties":{"noteIndex":0},"schema":"https://github.com/citation-style-language/schema/raw/master/csl-citation.json"}</w:instrText>
      </w:r>
      <w:r w:rsidR="00A10C1C">
        <w:rPr>
          <w:rFonts w:ascii="Arial" w:hAnsi="Arial" w:cs="Arial"/>
          <w:color w:val="000000" w:themeColor="text1"/>
        </w:rPr>
        <w:fldChar w:fldCharType="separate"/>
      </w:r>
      <w:r w:rsidR="00A07F2C" w:rsidRPr="00A07F2C">
        <w:rPr>
          <w:rFonts w:ascii="Arial" w:hAnsi="Arial" w:cs="Arial"/>
          <w:noProof/>
          <w:color w:val="000000" w:themeColor="text1"/>
        </w:rPr>
        <w:t xml:space="preserve">(Christensen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2008; Schouten, 2016)</w:t>
      </w:r>
      <w:r w:rsidR="00A10C1C">
        <w:rPr>
          <w:rFonts w:ascii="Arial" w:hAnsi="Arial" w:cs="Arial"/>
          <w:color w:val="000000" w:themeColor="text1"/>
        </w:rPr>
        <w:fldChar w:fldCharType="end"/>
      </w:r>
      <w:r w:rsidR="00A41514">
        <w:rPr>
          <w:rFonts w:ascii="Arial" w:hAnsi="Arial" w:cs="Arial"/>
          <w:color w:val="000000" w:themeColor="text1"/>
        </w:rPr>
        <w:t xml:space="preserve">. </w:t>
      </w:r>
      <w:r w:rsidR="00D24271" w:rsidRPr="002B3D8A">
        <w:rPr>
          <w:rFonts w:ascii="Arial" w:hAnsi="Arial" w:cs="Arial"/>
          <w:i/>
          <w:color w:val="000000" w:themeColor="text1"/>
        </w:rPr>
        <w:t>Epi</w:t>
      </w:r>
      <w:r w:rsidR="00C86F99" w:rsidRPr="002B3D8A">
        <w:rPr>
          <w:rFonts w:ascii="Arial" w:hAnsi="Arial" w:cs="Arial"/>
          <w:i/>
          <w:color w:val="000000" w:themeColor="text1"/>
        </w:rPr>
        <w:t>chloe</w:t>
      </w:r>
      <w:r w:rsidR="00C86F99" w:rsidRPr="002B3D8A">
        <w:rPr>
          <w:rFonts w:ascii="Arial" w:hAnsi="Arial" w:cs="Arial"/>
          <w:color w:val="000000" w:themeColor="text1"/>
        </w:rPr>
        <w:t xml:space="preserve"> spp are capable of producing bioactive alkaloids such as per-amines, lolines,</w:t>
      </w:r>
      <w:r w:rsidR="00AB48A9" w:rsidRPr="002B3D8A">
        <w:rPr>
          <w:rFonts w:ascii="Arial" w:hAnsi="Arial" w:cs="Arial"/>
          <w:color w:val="000000" w:themeColor="text1"/>
        </w:rPr>
        <w:t xml:space="preserve"> </w:t>
      </w:r>
      <w:r w:rsidR="00C86F99" w:rsidRPr="002B3D8A">
        <w:rPr>
          <w:rFonts w:ascii="Arial" w:hAnsi="Arial" w:cs="Arial"/>
          <w:color w:val="000000" w:themeColor="text1"/>
        </w:rPr>
        <w:t xml:space="preserve">ergot </w:t>
      </w:r>
      <w:r w:rsidR="00A10C1C" w:rsidRPr="002B3D8A">
        <w:rPr>
          <w:rFonts w:ascii="Arial" w:hAnsi="Arial" w:cs="Arial"/>
          <w:color w:val="000000" w:themeColor="text1"/>
        </w:rPr>
        <w:t>alkaloids</w:t>
      </w:r>
      <w:r w:rsidR="00C86F99" w:rsidRPr="002B3D8A">
        <w:rPr>
          <w:rFonts w:ascii="Arial" w:hAnsi="Arial" w:cs="Arial"/>
          <w:color w:val="000000" w:themeColor="text1"/>
        </w:rPr>
        <w:t xml:space="preserve"> and indole-diterpenes which protect the host plant from herbivory by animals, insects and nematodes. </w:t>
      </w:r>
      <w:r w:rsidR="00C86F99" w:rsidRPr="002B3D8A">
        <w:rPr>
          <w:rFonts w:ascii="Arial" w:hAnsi="Arial" w:cs="Arial"/>
          <w:i/>
          <w:color w:val="000000" w:themeColor="text1"/>
        </w:rPr>
        <w:t>Epichloe</w:t>
      </w:r>
      <w:r w:rsidR="00C86F99" w:rsidRPr="002B3D8A">
        <w:rPr>
          <w:rFonts w:ascii="Arial" w:hAnsi="Arial" w:cs="Arial"/>
          <w:color w:val="000000" w:themeColor="text1"/>
        </w:rPr>
        <w:t xml:space="preserve"> spp mainly form symbiotic relationships with cool season grasses such as tall fescue</w:t>
      </w:r>
      <w:r w:rsidR="00A41514">
        <w:rPr>
          <w:rFonts w:ascii="Arial" w:hAnsi="Arial" w:cs="Arial"/>
          <w:color w:val="000000" w:themeColor="text1"/>
        </w:rPr>
        <w:t xml:space="preserve"> </w:t>
      </w:r>
      <w:r w:rsidR="00A10C1C">
        <w:rPr>
          <w:rFonts w:ascii="Arial" w:hAnsi="Arial" w:cs="Arial"/>
          <w:color w:val="000000" w:themeColor="text1"/>
        </w:rPr>
        <w:fldChar w:fldCharType="begin" w:fldLock="1"/>
      </w:r>
      <w:r w:rsidR="00E13293">
        <w:rPr>
          <w:rFonts w:ascii="Arial" w:hAnsi="Arial" w:cs="Arial"/>
          <w:color w:val="000000" w:themeColor="text1"/>
        </w:rPr>
        <w:instrText>ADDIN CSL_CITATION {"citationItems":[{"id":"ITEM-1","itemData":{"DOI":"10.1086/342161","abstract":"Abstract: Over the past 20 yr much has been learned about a unique symbiotic interaction between fungal endophytes and grasses. The fungi (Clavicipitaceae, Ascomycota) grow intercellularly and syst...","author":[{"dropping-particle":"","family":"Clay","given":"Keith","non-dropping-particle":"","parse-names":false,"suffix":""},{"dropping-particle":"","family":"Schardl","given":"Christopher","non-dropping-particle":"","parse-names":false,"suffix":""}],"container-title":"https://doi.org/10.1086/342161","id":"ITEM-1","issue":"4 SUPPL.","issued":{"date-parts":[["2015","7","17"]]},"publisher":" The University of Chicago Press ","title":"Evolutionary Origins and Ecological Consequences of Endophyte Symbiosis with Grasses","type":"article-journal","volume":"160"},"uris":["http://www.mendeley.com/documents/?uuid=0fca4b58-669f-360d-a0f5-bba425089418"]}],"mendeley":{"formattedCitation":"(Clay and Schardl, 2015)","plainTextFormattedCitation":"(Clay and Schardl, 2015)","previouslyFormattedCitation":"(Clay and Schardl, 2015)"},"properties":{"noteIndex":0},"schema":"https://github.com/citation-style-language/schema/raw/master/csl-citation.json"}</w:instrText>
      </w:r>
      <w:r w:rsidR="00A10C1C">
        <w:rPr>
          <w:rFonts w:ascii="Arial" w:hAnsi="Arial" w:cs="Arial"/>
          <w:color w:val="000000" w:themeColor="text1"/>
        </w:rPr>
        <w:fldChar w:fldCharType="separate"/>
      </w:r>
      <w:r w:rsidR="00E13293" w:rsidRPr="00E13293">
        <w:rPr>
          <w:rFonts w:ascii="Arial" w:hAnsi="Arial" w:cs="Arial"/>
          <w:noProof/>
          <w:color w:val="000000" w:themeColor="text1"/>
        </w:rPr>
        <w:t>(Clay and Schardl, 2015)</w:t>
      </w:r>
      <w:r w:rsidR="00A10C1C">
        <w:rPr>
          <w:rFonts w:ascii="Arial" w:hAnsi="Arial" w:cs="Arial"/>
          <w:color w:val="000000" w:themeColor="text1"/>
        </w:rPr>
        <w:fldChar w:fldCharType="end"/>
      </w:r>
      <w:r>
        <w:rPr>
          <w:rFonts w:ascii="Arial" w:hAnsi="Arial" w:cs="Arial"/>
          <w:color w:val="000000" w:themeColor="text1"/>
        </w:rPr>
        <w:t>.</w:t>
      </w:r>
      <w:r w:rsidR="008C5982">
        <w:rPr>
          <w:rFonts w:ascii="Arial" w:hAnsi="Arial" w:cs="Arial"/>
          <w:color w:val="000000" w:themeColor="text1"/>
        </w:rPr>
        <w:t xml:space="preserve"> </w:t>
      </w:r>
      <w:r w:rsidRPr="002B3D8A">
        <w:rPr>
          <w:rFonts w:ascii="Arial" w:hAnsi="Arial" w:cs="Arial"/>
          <w:color w:val="000000" w:themeColor="text1"/>
        </w:rPr>
        <w:t xml:space="preserve">Studies have also shown </w:t>
      </w:r>
      <w:r>
        <w:rPr>
          <w:rFonts w:ascii="Arial" w:hAnsi="Arial" w:cs="Arial"/>
          <w:color w:val="000000" w:themeColor="text1"/>
        </w:rPr>
        <w:t xml:space="preserve">that </w:t>
      </w:r>
      <w:r w:rsidRPr="008E5878">
        <w:rPr>
          <w:rFonts w:ascii="Arial" w:hAnsi="Arial" w:cs="Arial"/>
          <w:i/>
          <w:color w:val="000000" w:themeColor="text1"/>
        </w:rPr>
        <w:t>Epichloë</w:t>
      </w:r>
      <w:r w:rsidRPr="002B3D8A">
        <w:rPr>
          <w:rFonts w:ascii="Arial" w:hAnsi="Arial" w:cs="Arial"/>
          <w:color w:val="000000" w:themeColor="text1"/>
        </w:rPr>
        <w:t xml:space="preserve"> (syn. </w:t>
      </w:r>
      <w:r w:rsidRPr="008E5878">
        <w:rPr>
          <w:rFonts w:ascii="Arial" w:hAnsi="Arial" w:cs="Arial"/>
          <w:i/>
          <w:color w:val="000000" w:themeColor="text1"/>
        </w:rPr>
        <w:t>Neotyphodium</w:t>
      </w:r>
      <w:r w:rsidRPr="002B3D8A">
        <w:rPr>
          <w:rFonts w:ascii="Arial" w:hAnsi="Arial" w:cs="Arial"/>
          <w:color w:val="000000" w:themeColor="text1"/>
        </w:rPr>
        <w:t>) spp. helped in inducing resistance in perennial ryegrass where colonised plants experienced increased plant growth, reproduction and resistance to various biotic and abiotic stress factors (Esqueda et al., 2017).</w:t>
      </w:r>
    </w:p>
    <w:p w14:paraId="76374AA7" w14:textId="1EF4F2C2" w:rsidR="00A10C1C" w:rsidRDefault="00CA1DDB" w:rsidP="00616CDC">
      <w:pPr>
        <w:pStyle w:val="paragraph"/>
        <w:spacing w:before="0" w:beforeAutospacing="0" w:after="0" w:afterAutospacing="0" w:line="360" w:lineRule="auto"/>
        <w:ind w:left="-284" w:right="-330"/>
        <w:jc w:val="both"/>
        <w:textAlignment w:val="baseline"/>
        <w:rPr>
          <w:rFonts w:ascii="Arial" w:hAnsi="Arial" w:cs="Arial"/>
          <w:color w:val="000000" w:themeColor="text1"/>
        </w:rPr>
      </w:pPr>
      <w:r w:rsidRPr="002B3D8A">
        <w:rPr>
          <w:rFonts w:ascii="Arial" w:hAnsi="Arial" w:cs="Arial"/>
          <w:color w:val="000000" w:themeColor="text1"/>
        </w:rPr>
        <w:t>However, the endophytes can produce indole-diterpene alkaloids and ergot alkaloids in pasture grasses, resulting in toxicity to livestock (Schardl et al., 2004)</w:t>
      </w:r>
      <w:r w:rsidR="008C5982">
        <w:rPr>
          <w:rFonts w:ascii="Arial" w:hAnsi="Arial" w:cs="Arial"/>
          <w:color w:val="000000" w:themeColor="text1"/>
        </w:rPr>
        <w:t>.</w:t>
      </w:r>
      <w:r w:rsidR="00A10C1C">
        <w:rPr>
          <w:rFonts w:ascii="Arial" w:hAnsi="Arial" w:cs="Arial"/>
          <w:color w:val="000000" w:themeColor="text1"/>
        </w:rPr>
        <w:t xml:space="preserve"> </w:t>
      </w:r>
      <w:r w:rsidR="008C5982">
        <w:rPr>
          <w:rFonts w:ascii="Arial" w:hAnsi="Arial" w:cs="Arial"/>
          <w:color w:val="000000" w:themeColor="text1"/>
        </w:rPr>
        <w:t>A</w:t>
      </w:r>
      <w:r w:rsidRPr="002B3D8A">
        <w:rPr>
          <w:rFonts w:ascii="Arial" w:hAnsi="Arial" w:cs="Arial"/>
          <w:color w:val="000000" w:themeColor="text1"/>
        </w:rPr>
        <w:t xml:space="preserve">ssociations have </w:t>
      </w:r>
      <w:r w:rsidR="00A41514">
        <w:rPr>
          <w:rFonts w:ascii="Arial" w:hAnsi="Arial" w:cs="Arial"/>
          <w:color w:val="000000" w:themeColor="text1"/>
        </w:rPr>
        <w:t>d</w:t>
      </w:r>
      <w:r w:rsidRPr="002B3D8A">
        <w:rPr>
          <w:rFonts w:ascii="Arial" w:hAnsi="Arial" w:cs="Arial"/>
          <w:color w:val="000000" w:themeColor="text1"/>
        </w:rPr>
        <w:t>e</w:t>
      </w:r>
      <w:r w:rsidR="00A41514">
        <w:rPr>
          <w:rFonts w:ascii="Arial" w:hAnsi="Arial" w:cs="Arial"/>
          <w:color w:val="000000" w:themeColor="text1"/>
        </w:rPr>
        <w:t>ve</w:t>
      </w:r>
      <w:r w:rsidRPr="002B3D8A">
        <w:rPr>
          <w:rFonts w:ascii="Arial" w:hAnsi="Arial" w:cs="Arial"/>
          <w:color w:val="000000" w:themeColor="text1"/>
        </w:rPr>
        <w:t>loped with fungal endophytes that produce little or no ergot alkaloids or the indole</w:t>
      </w:r>
      <w:r w:rsidR="00D0437C" w:rsidRPr="002B3D8A">
        <w:rPr>
          <w:rFonts w:ascii="Arial" w:hAnsi="Arial" w:cs="Arial"/>
          <w:color w:val="000000" w:themeColor="text1"/>
        </w:rPr>
        <w:t xml:space="preserve"> </w:t>
      </w:r>
      <w:r w:rsidRPr="002B3D8A">
        <w:rPr>
          <w:rFonts w:ascii="Arial" w:hAnsi="Arial" w:cs="Arial"/>
          <w:color w:val="000000" w:themeColor="text1"/>
        </w:rPr>
        <w:t>diterpene alkaloid lolitrem B (Timper and Bouton,2012; Young et al., 2013; Fletcher et al., 2017)</w:t>
      </w:r>
      <w:r w:rsidR="00CE378B" w:rsidRPr="002B3D8A">
        <w:rPr>
          <w:rFonts w:ascii="Arial" w:hAnsi="Arial" w:cs="Arial"/>
          <w:color w:val="000000" w:themeColor="text1"/>
        </w:rPr>
        <w:t xml:space="preserve">. </w:t>
      </w:r>
      <w:r w:rsidR="00CE378B" w:rsidRPr="002B3D8A">
        <w:rPr>
          <w:rFonts w:ascii="Arial" w:hAnsi="Arial" w:cs="Arial"/>
          <w:i/>
          <w:color w:val="000000" w:themeColor="text1"/>
        </w:rPr>
        <w:t>Epichloë uncinata</w:t>
      </w:r>
      <w:r w:rsidR="00CE378B" w:rsidRPr="002B3D8A">
        <w:rPr>
          <w:rFonts w:ascii="Arial" w:hAnsi="Arial" w:cs="Arial"/>
          <w:color w:val="000000" w:themeColor="text1"/>
        </w:rPr>
        <w:t xml:space="preserve"> is a</w:t>
      </w:r>
      <w:r w:rsidR="00AB48A9" w:rsidRPr="002B3D8A">
        <w:rPr>
          <w:rFonts w:ascii="Arial" w:hAnsi="Arial" w:cs="Arial"/>
          <w:color w:val="000000" w:themeColor="text1"/>
        </w:rPr>
        <w:t xml:space="preserve"> fungal</w:t>
      </w:r>
      <w:r w:rsidR="00CE378B" w:rsidRPr="002B3D8A">
        <w:rPr>
          <w:rFonts w:ascii="Arial" w:hAnsi="Arial" w:cs="Arial"/>
          <w:color w:val="000000" w:themeColor="text1"/>
        </w:rPr>
        <w:t xml:space="preserve"> endophyte which has a natural mutualistic association with meadow fescue (</w:t>
      </w:r>
      <w:r w:rsidR="00CE378B" w:rsidRPr="00F63475">
        <w:rPr>
          <w:rFonts w:ascii="Arial" w:hAnsi="Arial" w:cs="Arial"/>
          <w:i/>
          <w:color w:val="000000" w:themeColor="text1"/>
        </w:rPr>
        <w:t>Fest</w:t>
      </w:r>
      <w:r w:rsidR="008C5982">
        <w:rPr>
          <w:rFonts w:ascii="Arial" w:hAnsi="Arial" w:cs="Arial"/>
          <w:i/>
          <w:color w:val="000000" w:themeColor="text1"/>
        </w:rPr>
        <w:t>u</w:t>
      </w:r>
      <w:r w:rsidR="00CE378B" w:rsidRPr="00F63475">
        <w:rPr>
          <w:rFonts w:ascii="Arial" w:hAnsi="Arial" w:cs="Arial"/>
          <w:i/>
          <w:color w:val="000000" w:themeColor="text1"/>
        </w:rPr>
        <w:t>lolium</w:t>
      </w:r>
      <w:r w:rsidR="00CE378B" w:rsidRPr="002B3D8A">
        <w:rPr>
          <w:rFonts w:ascii="Arial" w:hAnsi="Arial" w:cs="Arial"/>
          <w:color w:val="000000" w:themeColor="text1"/>
        </w:rPr>
        <w:t xml:space="preserve"> spp) and has been studied in management of insect pests such as </w:t>
      </w:r>
      <w:r w:rsidR="008709E6" w:rsidRPr="002B3D8A">
        <w:rPr>
          <w:rFonts w:ascii="Arial" w:hAnsi="Arial" w:cs="Arial"/>
          <w:color w:val="000000" w:themeColor="text1"/>
        </w:rPr>
        <w:t>root aphid</w:t>
      </w:r>
      <w:r w:rsidR="00AB48A9" w:rsidRPr="002B3D8A">
        <w:rPr>
          <w:rFonts w:ascii="Arial" w:hAnsi="Arial" w:cs="Arial"/>
          <w:color w:val="000000" w:themeColor="text1"/>
        </w:rPr>
        <w:t xml:space="preserve">, </w:t>
      </w:r>
      <w:r w:rsidR="008709E6" w:rsidRPr="002B3D8A">
        <w:rPr>
          <w:rFonts w:ascii="Arial" w:hAnsi="Arial" w:cs="Arial"/>
          <w:color w:val="000000" w:themeColor="text1"/>
        </w:rPr>
        <w:t xml:space="preserve">pasture mealy bug, black </w:t>
      </w:r>
      <w:r w:rsidR="00AB48A9" w:rsidRPr="002B3D8A">
        <w:rPr>
          <w:rFonts w:ascii="Arial" w:hAnsi="Arial" w:cs="Arial"/>
          <w:color w:val="000000" w:themeColor="text1"/>
        </w:rPr>
        <w:t>beetle</w:t>
      </w:r>
      <w:r w:rsidR="008709E6" w:rsidRPr="002B3D8A">
        <w:rPr>
          <w:rFonts w:ascii="Arial" w:hAnsi="Arial" w:cs="Arial"/>
          <w:color w:val="000000" w:themeColor="text1"/>
        </w:rPr>
        <w:t xml:space="preserve">, grass grub and argentine stem weevil </w:t>
      </w:r>
      <w:r w:rsidR="008709E6" w:rsidRPr="002B3D8A">
        <w:rPr>
          <w:rFonts w:ascii="Arial" w:hAnsi="Arial" w:cs="Arial"/>
          <w:color w:val="000000" w:themeColor="text1"/>
        </w:rPr>
        <w:lastRenderedPageBreak/>
        <w:t xml:space="preserve">in New Zealand, where the loline alkaloids produced act as insect feeding </w:t>
      </w:r>
      <w:r w:rsidR="00AB48A9" w:rsidRPr="002B3D8A">
        <w:rPr>
          <w:rFonts w:ascii="Arial" w:hAnsi="Arial" w:cs="Arial"/>
          <w:color w:val="000000" w:themeColor="text1"/>
        </w:rPr>
        <w:t>deterrents</w:t>
      </w:r>
      <w:r w:rsidR="00CE4543">
        <w:rPr>
          <w:rFonts w:ascii="Arial" w:hAnsi="Arial" w:cs="Arial"/>
          <w:color w:val="000000" w:themeColor="text1"/>
        </w:rPr>
        <w:t xml:space="preserve"> </w:t>
      </w:r>
      <w:r w:rsidR="00CE4543">
        <w:rPr>
          <w:rFonts w:ascii="Arial" w:hAnsi="Arial" w:cs="Arial"/>
          <w:color w:val="000000" w:themeColor="text1"/>
        </w:rPr>
        <w:fldChar w:fldCharType="begin" w:fldLock="1"/>
      </w:r>
      <w:r w:rsidR="00E13293">
        <w:rPr>
          <w:rFonts w:ascii="Arial" w:hAnsi="Arial" w:cs="Arial"/>
          <w:color w:val="000000" w:themeColor="text1"/>
        </w:rPr>
        <w:instrText>ADDIN CSL_CITATION {"citationItems":[{"id":"ITEM-1","itemData":{"DOI":"10.33584/jnzg.2009.71.2758","ISSN":"0369-3902","abstract":"A paddock-scale field trial comparing pastures of perennial ryegrass without endophyte (Nil) or infected with the selected endophytes AR1, AR37 or the standard endophyte (SE) sown with clover was monitored for insect pests over 3 years (2006-2008). Argentine stem weevil larval damage was reduced by all endophytes in each year.","author":[{"dropping-particle":"","family":"Popay","given":"A.J.","non-dropping-particle":"","parse-names":false,"suffix":""},{"dropping-particle":"","family":"Thom","given":"E.R.","non-dropping-particle":"","parse-names":false,"suffix":""}],"container-title":"Proceedings of the New Zealand Grassland Association","id":"ITEM-1","issued":{"date-parts":[["2009"]]},"page":"121-126","title":"Endophyte effects on major insect pests in Waikato dairy pasture","type":"article-journal"},"uris":["http://www.mendeley.com/documents/?uuid=887d2258-c1da-4fd5-af97-eef12fe15d63"]}],"mendeley":{"formattedCitation":"(Popay and Thom, 2009)","plainTextFormattedCitation":"(Popay and Thom, 2009)","previouslyFormattedCitation":"(Popay and Thom, 2009)"},"properties":{"noteIndex":0},"schema":"https://github.com/citation-style-language/schema/raw/master/csl-citation.json"}</w:instrText>
      </w:r>
      <w:r w:rsidR="00CE4543">
        <w:rPr>
          <w:rFonts w:ascii="Arial" w:hAnsi="Arial" w:cs="Arial"/>
          <w:color w:val="000000" w:themeColor="text1"/>
        </w:rPr>
        <w:fldChar w:fldCharType="separate"/>
      </w:r>
      <w:r w:rsidR="00E13293" w:rsidRPr="00E13293">
        <w:rPr>
          <w:rFonts w:ascii="Arial" w:hAnsi="Arial" w:cs="Arial"/>
          <w:noProof/>
          <w:color w:val="000000" w:themeColor="text1"/>
        </w:rPr>
        <w:t>(Popay and Thom, 2009)</w:t>
      </w:r>
      <w:r w:rsidR="00CE4543">
        <w:rPr>
          <w:rFonts w:ascii="Arial" w:hAnsi="Arial" w:cs="Arial"/>
          <w:color w:val="000000" w:themeColor="text1"/>
        </w:rPr>
        <w:fldChar w:fldCharType="end"/>
      </w:r>
    </w:p>
    <w:p w14:paraId="0816E307" w14:textId="71C21EC2" w:rsidR="00AB48A9" w:rsidRPr="002B3D8A" w:rsidRDefault="00CA1DDB" w:rsidP="00616CDC">
      <w:pPr>
        <w:pStyle w:val="paragraph"/>
        <w:spacing w:line="360" w:lineRule="auto"/>
        <w:ind w:left="-284"/>
        <w:jc w:val="both"/>
        <w:textAlignment w:val="baseline"/>
        <w:rPr>
          <w:rFonts w:ascii="Arial" w:hAnsi="Arial" w:cs="Arial"/>
          <w:color w:val="000000" w:themeColor="text1"/>
        </w:rPr>
      </w:pPr>
      <w:r w:rsidRPr="002B3D8A">
        <w:rPr>
          <w:rFonts w:ascii="Arial" w:hAnsi="Arial" w:cs="Arial"/>
          <w:i/>
          <w:color w:val="000000" w:themeColor="text1"/>
        </w:rPr>
        <w:t>Festulolium</w:t>
      </w:r>
      <w:r w:rsidRPr="002B3D8A">
        <w:rPr>
          <w:rFonts w:ascii="Arial" w:hAnsi="Arial" w:cs="Arial"/>
          <w:color w:val="000000" w:themeColor="text1"/>
        </w:rPr>
        <w:t xml:space="preserve"> hybrids are intergeneric crosses between</w:t>
      </w:r>
      <w:r w:rsidR="00D0437C" w:rsidRPr="002B3D8A">
        <w:rPr>
          <w:rFonts w:ascii="Arial" w:hAnsi="Arial" w:cs="Arial"/>
          <w:color w:val="000000" w:themeColor="text1"/>
        </w:rPr>
        <w:t xml:space="preserve"> </w:t>
      </w:r>
      <w:r w:rsidRPr="002B3D8A">
        <w:rPr>
          <w:rFonts w:ascii="Arial" w:hAnsi="Arial" w:cs="Arial"/>
          <w:i/>
          <w:color w:val="000000" w:themeColor="text1"/>
        </w:rPr>
        <w:t>Festuca pratensis</w:t>
      </w:r>
      <w:r w:rsidRPr="002B3D8A">
        <w:rPr>
          <w:rFonts w:ascii="Arial" w:hAnsi="Arial" w:cs="Arial"/>
          <w:color w:val="000000" w:themeColor="text1"/>
        </w:rPr>
        <w:t xml:space="preserve"> (</w:t>
      </w:r>
      <w:proofErr w:type="spellStart"/>
      <w:r w:rsidRPr="002B3D8A">
        <w:rPr>
          <w:rFonts w:ascii="Arial" w:hAnsi="Arial" w:cs="Arial"/>
          <w:color w:val="000000" w:themeColor="text1"/>
        </w:rPr>
        <w:t>Huds</w:t>
      </w:r>
      <w:proofErr w:type="spellEnd"/>
      <w:r w:rsidRPr="002B3D8A">
        <w:rPr>
          <w:rFonts w:ascii="Arial" w:hAnsi="Arial" w:cs="Arial"/>
          <w:color w:val="000000" w:themeColor="text1"/>
        </w:rPr>
        <w:t>.)</w:t>
      </w:r>
      <w:r w:rsidR="00D0437C" w:rsidRPr="002B3D8A">
        <w:rPr>
          <w:rFonts w:ascii="Arial" w:hAnsi="Arial" w:cs="Arial"/>
          <w:color w:val="000000" w:themeColor="text1"/>
        </w:rPr>
        <w:t xml:space="preserve"> </w:t>
      </w:r>
      <w:r w:rsidRPr="002B3D8A">
        <w:rPr>
          <w:rFonts w:ascii="Arial" w:hAnsi="Arial" w:cs="Arial"/>
          <w:color w:val="000000" w:themeColor="text1"/>
        </w:rPr>
        <w:t xml:space="preserve">and </w:t>
      </w:r>
      <w:r w:rsidRPr="002B3D8A">
        <w:rPr>
          <w:rFonts w:ascii="Arial" w:hAnsi="Arial" w:cs="Arial"/>
          <w:i/>
          <w:color w:val="000000" w:themeColor="text1"/>
        </w:rPr>
        <w:t xml:space="preserve">Lolium perenne </w:t>
      </w:r>
      <w:r w:rsidRPr="002B3D8A">
        <w:rPr>
          <w:rFonts w:ascii="Arial" w:hAnsi="Arial" w:cs="Arial"/>
          <w:color w:val="000000" w:themeColor="text1"/>
        </w:rPr>
        <w:t>(L.)</w:t>
      </w:r>
      <w:r w:rsidR="00D0437C" w:rsidRPr="002B3D8A">
        <w:rPr>
          <w:rFonts w:ascii="Arial" w:hAnsi="Arial" w:cs="Arial"/>
          <w:color w:val="000000" w:themeColor="text1"/>
        </w:rPr>
        <w:t xml:space="preserve"> </w:t>
      </w:r>
      <w:r w:rsidRPr="002B3D8A">
        <w:rPr>
          <w:rFonts w:ascii="Arial" w:hAnsi="Arial" w:cs="Arial"/>
          <w:color w:val="000000" w:themeColor="text1"/>
        </w:rPr>
        <w:t xml:space="preserve">and/or </w:t>
      </w:r>
      <w:r w:rsidRPr="002B3D8A">
        <w:rPr>
          <w:rFonts w:ascii="Arial" w:hAnsi="Arial" w:cs="Arial"/>
          <w:i/>
          <w:color w:val="000000" w:themeColor="text1"/>
        </w:rPr>
        <w:t>L. mulitflorum</w:t>
      </w:r>
      <w:r w:rsidRPr="002B3D8A">
        <w:rPr>
          <w:rFonts w:ascii="Arial" w:hAnsi="Arial" w:cs="Arial"/>
          <w:color w:val="000000" w:themeColor="text1"/>
        </w:rPr>
        <w:t xml:space="preserve"> (Lam.). </w:t>
      </w:r>
      <w:r w:rsidRPr="002B3D8A">
        <w:rPr>
          <w:rFonts w:ascii="Arial" w:hAnsi="Arial" w:cs="Arial"/>
          <w:i/>
          <w:color w:val="000000" w:themeColor="text1"/>
        </w:rPr>
        <w:t>Epichloë uncinat</w:t>
      </w:r>
      <w:r w:rsidR="00CE378B" w:rsidRPr="002B3D8A">
        <w:rPr>
          <w:rFonts w:ascii="Arial" w:hAnsi="Arial" w:cs="Arial"/>
          <w:i/>
          <w:color w:val="000000" w:themeColor="text1"/>
        </w:rPr>
        <w:t>a</w:t>
      </w:r>
      <w:r w:rsidRPr="002B3D8A">
        <w:rPr>
          <w:rFonts w:ascii="Arial" w:hAnsi="Arial" w:cs="Arial"/>
          <w:color w:val="000000" w:themeColor="text1"/>
        </w:rPr>
        <w:t xml:space="preserve"> </w:t>
      </w:r>
      <w:r w:rsidR="00AB48A9" w:rsidRPr="002B3D8A">
        <w:rPr>
          <w:rFonts w:ascii="Arial" w:hAnsi="Arial" w:cs="Arial"/>
          <w:color w:val="000000" w:themeColor="text1"/>
        </w:rPr>
        <w:t xml:space="preserve">which colonises </w:t>
      </w:r>
      <w:r w:rsidR="007D719C" w:rsidRPr="002B3D8A">
        <w:rPr>
          <w:rFonts w:ascii="Arial" w:hAnsi="Arial" w:cs="Arial"/>
          <w:color w:val="000000" w:themeColor="text1"/>
        </w:rPr>
        <w:t>these hybrids</w:t>
      </w:r>
      <w:r w:rsidR="00AB48A9" w:rsidRPr="002B3D8A">
        <w:rPr>
          <w:rFonts w:ascii="Arial" w:hAnsi="Arial" w:cs="Arial"/>
          <w:color w:val="000000" w:themeColor="text1"/>
        </w:rPr>
        <w:t>,</w:t>
      </w:r>
      <w:r w:rsidR="00260F32" w:rsidRPr="002B3D8A">
        <w:rPr>
          <w:rFonts w:ascii="Arial" w:hAnsi="Arial" w:cs="Arial"/>
          <w:color w:val="000000" w:themeColor="text1"/>
        </w:rPr>
        <w:t xml:space="preserve"> </w:t>
      </w:r>
      <w:r w:rsidRPr="002B3D8A">
        <w:rPr>
          <w:rFonts w:ascii="Arial" w:hAnsi="Arial" w:cs="Arial"/>
          <w:color w:val="000000" w:themeColor="text1"/>
        </w:rPr>
        <w:t>produces bioprotective loline</w:t>
      </w:r>
      <w:r w:rsidR="00D0437C" w:rsidRPr="002B3D8A">
        <w:rPr>
          <w:rFonts w:ascii="Arial" w:hAnsi="Arial" w:cs="Arial"/>
          <w:color w:val="000000" w:themeColor="text1"/>
        </w:rPr>
        <w:t xml:space="preserve"> </w:t>
      </w:r>
      <w:r w:rsidRPr="002B3D8A">
        <w:rPr>
          <w:rFonts w:ascii="Arial" w:hAnsi="Arial" w:cs="Arial"/>
          <w:color w:val="000000" w:themeColor="text1"/>
        </w:rPr>
        <w:t>alkaloids, which can accumulate to 2% of the host</w:t>
      </w:r>
      <w:r w:rsidR="00D0437C" w:rsidRPr="002B3D8A">
        <w:rPr>
          <w:rFonts w:ascii="Arial" w:hAnsi="Arial" w:cs="Arial"/>
          <w:color w:val="000000" w:themeColor="text1"/>
        </w:rPr>
        <w:t xml:space="preserve"> </w:t>
      </w:r>
      <w:r w:rsidRPr="002B3D8A">
        <w:rPr>
          <w:rFonts w:ascii="Arial" w:hAnsi="Arial" w:cs="Arial"/>
          <w:color w:val="000000" w:themeColor="text1"/>
        </w:rPr>
        <w:t>plant dry weight (Zhang et al., 2009</w:t>
      </w:r>
      <w:r w:rsidR="008709E6" w:rsidRPr="002B3D8A">
        <w:rPr>
          <w:rFonts w:ascii="Arial" w:hAnsi="Arial" w:cs="Arial"/>
          <w:color w:val="000000" w:themeColor="text1"/>
        </w:rPr>
        <w:t>).</w:t>
      </w:r>
      <w:r w:rsidR="00AB48A9" w:rsidRPr="002B3D8A">
        <w:rPr>
          <w:rFonts w:ascii="Arial" w:hAnsi="Arial" w:cs="Arial"/>
          <w:color w:val="000000" w:themeColor="text1"/>
        </w:rPr>
        <w:t xml:space="preserve"> </w:t>
      </w:r>
      <w:r w:rsidR="008709E6" w:rsidRPr="002B3D8A">
        <w:rPr>
          <w:rFonts w:ascii="Arial" w:hAnsi="Arial" w:cs="Arial"/>
          <w:color w:val="000000" w:themeColor="text1"/>
        </w:rPr>
        <w:t>The</w:t>
      </w:r>
      <w:r w:rsidRPr="002B3D8A">
        <w:rPr>
          <w:rFonts w:ascii="Arial" w:hAnsi="Arial" w:cs="Arial"/>
          <w:color w:val="000000" w:themeColor="text1"/>
        </w:rPr>
        <w:t xml:space="preserve"> loline alkaloids are water soluble and able to translocate</w:t>
      </w:r>
      <w:r w:rsidR="00D0437C" w:rsidRPr="002B3D8A">
        <w:rPr>
          <w:rFonts w:ascii="Arial" w:hAnsi="Arial" w:cs="Arial"/>
          <w:color w:val="000000" w:themeColor="text1"/>
        </w:rPr>
        <w:t xml:space="preserve"> </w:t>
      </w:r>
      <w:r w:rsidRPr="002B3D8A">
        <w:rPr>
          <w:rFonts w:ascii="Arial" w:hAnsi="Arial" w:cs="Arial"/>
          <w:color w:val="000000" w:themeColor="text1"/>
        </w:rPr>
        <w:t>around host tissues to areas such as the roots, where</w:t>
      </w:r>
      <w:r w:rsidR="00D0437C" w:rsidRPr="002B3D8A">
        <w:rPr>
          <w:rFonts w:ascii="Arial" w:hAnsi="Arial" w:cs="Arial"/>
          <w:color w:val="000000" w:themeColor="text1"/>
        </w:rPr>
        <w:t xml:space="preserve"> </w:t>
      </w:r>
      <w:r w:rsidRPr="002B3D8A">
        <w:rPr>
          <w:rFonts w:ascii="Arial" w:hAnsi="Arial" w:cs="Arial"/>
          <w:color w:val="000000" w:themeColor="text1"/>
        </w:rPr>
        <w:t>the endophyte itself is not found actively growing</w:t>
      </w:r>
      <w:r w:rsidR="00D0437C" w:rsidRPr="002B3D8A">
        <w:rPr>
          <w:rFonts w:ascii="Arial" w:hAnsi="Arial" w:cs="Arial"/>
          <w:color w:val="000000" w:themeColor="text1"/>
        </w:rPr>
        <w:t xml:space="preserve"> </w:t>
      </w:r>
      <w:r w:rsidRPr="002B3D8A">
        <w:rPr>
          <w:rFonts w:ascii="Arial" w:hAnsi="Arial" w:cs="Arial"/>
          <w:color w:val="000000" w:themeColor="text1"/>
        </w:rPr>
        <w:t>(Patchett et al., 2008). Importantly, loline alkaloids</w:t>
      </w:r>
      <w:r w:rsidR="00D0437C" w:rsidRPr="002B3D8A">
        <w:rPr>
          <w:rFonts w:ascii="Arial" w:hAnsi="Arial" w:cs="Arial"/>
          <w:color w:val="000000" w:themeColor="text1"/>
        </w:rPr>
        <w:t xml:space="preserve"> </w:t>
      </w:r>
      <w:r w:rsidRPr="002B3D8A">
        <w:rPr>
          <w:rFonts w:ascii="Arial" w:hAnsi="Arial" w:cs="Arial"/>
          <w:color w:val="000000" w:themeColor="text1"/>
        </w:rPr>
        <w:t>do not cause the animal health disorders (fescue</w:t>
      </w:r>
      <w:r w:rsidR="00D0437C" w:rsidRPr="002B3D8A">
        <w:rPr>
          <w:rFonts w:ascii="Arial" w:hAnsi="Arial" w:cs="Arial"/>
          <w:color w:val="000000" w:themeColor="text1"/>
        </w:rPr>
        <w:t xml:space="preserve"> </w:t>
      </w:r>
      <w:r w:rsidRPr="002B3D8A">
        <w:rPr>
          <w:rFonts w:ascii="Arial" w:hAnsi="Arial" w:cs="Arial"/>
          <w:color w:val="000000" w:themeColor="text1"/>
        </w:rPr>
        <w:t>toxicosis and ryegrass staggers) in grazing livestock</w:t>
      </w:r>
      <w:r w:rsidR="00D0437C" w:rsidRPr="002B3D8A">
        <w:rPr>
          <w:rFonts w:ascii="Arial" w:hAnsi="Arial" w:cs="Arial"/>
          <w:color w:val="000000" w:themeColor="text1"/>
        </w:rPr>
        <w:t xml:space="preserve"> </w:t>
      </w:r>
      <w:r w:rsidRPr="002B3D8A">
        <w:rPr>
          <w:rFonts w:ascii="Arial" w:hAnsi="Arial" w:cs="Arial"/>
          <w:color w:val="000000" w:themeColor="text1"/>
        </w:rPr>
        <w:t>associated with some of the other endophyte</w:t>
      </w:r>
      <w:r w:rsidR="00D0437C" w:rsidRPr="002B3D8A">
        <w:rPr>
          <w:rFonts w:ascii="Arial" w:hAnsi="Arial" w:cs="Arial"/>
          <w:color w:val="000000" w:themeColor="text1"/>
        </w:rPr>
        <w:t xml:space="preserve"> </w:t>
      </w:r>
      <w:r w:rsidRPr="002B3D8A">
        <w:rPr>
          <w:rFonts w:ascii="Arial" w:hAnsi="Arial" w:cs="Arial"/>
          <w:color w:val="000000" w:themeColor="text1"/>
        </w:rPr>
        <w:t>produced alkaloids, such as ergovaline and lolitrem</w:t>
      </w:r>
      <w:r w:rsidR="00D0437C" w:rsidRPr="002B3D8A">
        <w:rPr>
          <w:rFonts w:ascii="Arial" w:hAnsi="Arial" w:cs="Arial"/>
          <w:color w:val="000000" w:themeColor="text1"/>
        </w:rPr>
        <w:t xml:space="preserve"> </w:t>
      </w:r>
      <w:r w:rsidRPr="002B3D8A">
        <w:rPr>
          <w:rFonts w:ascii="Arial" w:hAnsi="Arial" w:cs="Arial"/>
          <w:color w:val="000000" w:themeColor="text1"/>
        </w:rPr>
        <w:t>B</w:t>
      </w:r>
      <w:r w:rsidR="00EC5B07">
        <w:rPr>
          <w:rFonts w:ascii="Arial" w:hAnsi="Arial" w:cs="Arial"/>
          <w:color w:val="000000" w:themeColor="text1"/>
        </w:rPr>
        <w:t xml:space="preserve"> </w:t>
      </w:r>
      <w:r w:rsidR="00EC5B07">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{"citationItems":[{"id":"ITEM-1","itemData":{"DOI":"10.1080/00480169.2017.1329673","ISSN":"1176-0710","abstract":"AIMS: To compare ryegrass pastures infected with endophytes producing diverse alkaloids for their ability to cause ryegrass staggers in grazing lambs; to compare respiration rates and rectal temperatures of these lambs after exposure to heat stress, and to compare liveweight gains during the study period. METHODS: Ryegrass pastures of cultivar Trojan infected with NEA endophytes, branded NEA2 (T-NEA2), endophyte-free Trojan (T-NIL), Samson infected with standard endophyte (S-STD), Samson infected with AR37 endophyte (S-AR37) and endophyte-free Samson (S-NIL), were grazed by lambs (n=30 per cultivar) for up to 48 days in February and March of 2012 and 2013. Pasture samples were analysed for alkaloid concentrations and lambs were scored for ryegrass staggers at intervals during the study period. Liveweight was recorded at the start (Day 0) and end of the study, and rectal temperatures and respiratory rates were measured in lambs exposed to heat stress on Days 23 and 26, in 2012 and 2013, respectively. RESULTS: Concentrations of alkaloids were lower in 2012 than 2013, associated with warmer and drier conditions in 2013, and the prevalence of ryegrass staggers was low in 2012. In 2013, concentrations of ergovaline were similar in T-NEA2 and S-STD, but concentrations of lolitrem B were lower in T-NEA2 than S-STD. S-AR37 produced epoxy-janthitrems but no lolitrem B or ergovaline. In 2013, by Day 20, 9/30 (30%) sheep grazing S-STD had severe staggers (score ≥4), and by Day 47 all sheep had been removed from this cultivar due to severe staggers. By Day 47, 18/30 (60%), 4/30 (13%) and 0/ 30 (0%) sheep grazing S-AR37, T-NEA2 and T-NIL pastures, respectively, had severe staggers. There were no differences in mean daily weight gain of lambs between cultivars in either year. In both years, mean rectal temperature and respiration rate following exposure to heat stress were highest in sheep grazing S-STD and T-NEA2, and lowest in sheep grazing T-NIL. CONCLUSIONS: In lambs grazing different ryegrass pastures infected with endophytes, ryegrass staggers was most severe on S-STD, less severe on S-AR37 and least on T-NEA2. When under heat stress, lambs grazing ergovaline-producing S-STD and T-NEA2 pastures had increased respiration rates and rectal temperatures compared with lambs grazing T-NIL. CLINICAL RELEVANCE: If ambient temperatures are suitable, NEA2-branded endophytes have the potential to express concentrations of ergovaline sufficient to induce heat stress in gra…","author":[{"dropping-particle":"","family":"Fletcher","given":"LR","non-dropping-particle":"","parse-names":false,"suffix":""},{"dropping-particle":"","family":"Finch","given":"SC","non-dropping-particle":"","parse-names":false,"suffix":""},{"dropping-particle":"","family":"Sutherland","given":"BL","non-dropping-particle":"","parse-names":false,"suffix":""},{"dropping-particle":"","family":"DeNicolo","given":"G","non-dropping-particle":"","parse-names":false,"suffix":""},{"dropping-particle":"","family":"Mace","given":"WJ","non-dropping-particle":"","parse-names":false,"suffix":""},{"dropping-particle":"","family":"Koten","given":"C","non-dropping-particle":"van","parse-names":false,"suffix":""},{"dropping-particle":"","family":"Hume","given":"De","non-dropping-particle":"","parse-names":false,"suffix":""}],"container-title":"New Zealand Veterinary","id":"ITEM-1","issue":"5","issued":{"date-parts":[["2017"]]},"page":"232-241","title":"New Zealand Veterinary Journal The occurrence of ryegrass staggers and heat stress in sheep grazing ryegrass-endophyte associations with diverse alkaloid profiles The occurrence of ryegrass staggers and heat stress in sheep grazing ryegrass-endophyte asso","type":"article-journal","volume":"65"},"uris":["http://www.mendeley.com/documents/?uuid=1cb8f99d-bc4c-3565-a75b-078f78a8c332"]},{"id":"ITEM-2","itemData":{"DOI":"10.1080/00480169.2011.644189","abstract":"AIM: To determine the effect of oral dosing of sheep with loline alkaloids on their excretion in urine and faeces, and to monitor for any toxic effects. METHODS: In Experiment 1, six 9-month-old ew...","author":[{"dropping-particle":"","family":"Gooneratne","given":"SR","non-dropping-particle":"","parse-names":false,"suffix":""},{"dropping-particle":"","family":"Patchett","given":"BJ","non-dropping-particle":"","parse-names":false,"suffix":""},{"dropping-particle":"","family":"Wellby","given":"M","non-dropping-particle":"","parse-names":false,"suffix":""},{"dropping-particle":"","family":"Fletcher","given":"LR","non-dropping-particle":"","parse-names":false,"suffix":""}],"container-title":"New Zealand Veterinary","id":"ITEM-2","issue":"3","issued":{"date-parts":[["2012","5"]]},"page":"176-182","publisher":"Taylor &amp; Francis","title":"Excretion of loline alkaloids in urine and faeces of sheep dosed with meadow fescue (Festuca pratensis) seed containing high concentrations of loline alkaloids","type":"article-journal","volume":"60"},"uris":["http://www.mendeley.com/documents/?uuid=137064c5-e08f-3ead-bdfd-131da5bc43eb"]}],"mendeley":{"formattedCitation":"(Gooneratne &lt;i&gt;et al.&lt;/i&gt;, 2012; Fletcher &lt;i&gt;et al.&lt;/i&gt;, 2017)","plainTextFormattedCitation":"(Gooneratne et al., 2012; Fletcher et al., 2017)","previouslyFormattedCitation":"(Gooneratne &lt;i&gt;et al.&lt;/i&gt;, 2012; Fletcher &lt;i&gt;et al.&lt;/i&gt;, 2017)"},"properties":{"noteIndex":0},"schema":"https://github.com/citation-style-language/schema/raw/master/csl-citation.json"}</w:instrText>
      </w:r>
      <w:r w:rsidR="00EC5B07">
        <w:rPr>
          <w:rFonts w:ascii="Arial" w:hAnsi="Arial" w:cs="Arial"/>
          <w:color w:val="000000" w:themeColor="text1"/>
        </w:rPr>
        <w:fldChar w:fldCharType="separate"/>
      </w:r>
      <w:r w:rsidR="00A07F2C" w:rsidRPr="00A07F2C">
        <w:rPr>
          <w:rFonts w:ascii="Arial" w:hAnsi="Arial" w:cs="Arial"/>
          <w:noProof/>
          <w:color w:val="000000" w:themeColor="text1"/>
        </w:rPr>
        <w:t xml:space="preserve">(Gooneratne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xml:space="preserve">, 2012; Fletcher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2017)</w:t>
      </w:r>
      <w:r w:rsidR="00EC5B07">
        <w:rPr>
          <w:rFonts w:ascii="Arial" w:hAnsi="Arial" w:cs="Arial"/>
          <w:color w:val="000000" w:themeColor="text1"/>
        </w:rPr>
        <w:fldChar w:fldCharType="end"/>
      </w:r>
      <w:r w:rsidR="00610375">
        <w:rPr>
          <w:rFonts w:ascii="Arial" w:hAnsi="Arial" w:cs="Arial"/>
          <w:color w:val="000000" w:themeColor="text1"/>
        </w:rPr>
        <w:t xml:space="preserve">. </w:t>
      </w:r>
      <w:r w:rsidR="00AB48A9" w:rsidRPr="002B3D8A">
        <w:rPr>
          <w:rFonts w:ascii="Arial" w:hAnsi="Arial" w:cs="Arial"/>
          <w:color w:val="000000" w:themeColor="text1"/>
        </w:rPr>
        <w:t xml:space="preserve">The mode of action exhibited by secondary </w:t>
      </w:r>
      <w:r w:rsidR="00A41514" w:rsidRPr="002B3D8A">
        <w:rPr>
          <w:rFonts w:ascii="Arial" w:hAnsi="Arial" w:cs="Arial"/>
          <w:color w:val="000000" w:themeColor="text1"/>
        </w:rPr>
        <w:t>metabolites</w:t>
      </w:r>
      <w:r w:rsidR="00AB48A9" w:rsidRPr="002B3D8A">
        <w:rPr>
          <w:rFonts w:ascii="Arial" w:hAnsi="Arial" w:cs="Arial"/>
          <w:color w:val="000000" w:themeColor="text1"/>
        </w:rPr>
        <w:t xml:space="preserve"> released by some fungal endophytes against for example nematodes can be direct kill, paralysis, repulsion or impairment of the nematode host finding ability therefore death due to starvation</w:t>
      </w:r>
      <w:r w:rsidR="00A10C1C">
        <w:rPr>
          <w:rFonts w:ascii="Arial" w:hAnsi="Arial" w:cs="Arial"/>
          <w:color w:val="000000" w:themeColor="text1"/>
        </w:rPr>
        <w:t xml:space="preserve"> </w:t>
      </w:r>
      <w:r w:rsidR="00436E19">
        <w:rPr>
          <w:rFonts w:ascii="Arial" w:hAnsi="Arial" w:cs="Arial"/>
          <w:color w:val="000000" w:themeColor="text1"/>
        </w:rPr>
        <w:fldChar w:fldCharType="begin" w:fldLock="1"/>
      </w:r>
      <w:r w:rsidR="00E13293">
        <w:rPr>
          <w:rFonts w:ascii="Arial" w:hAnsi="Arial" w:cs="Arial"/>
          <w:color w:val="000000" w:themeColor="text1"/>
        </w:rPr>
        <w:instrText>ADDIN CSL_CITATION {"citationItems":[{"id":"ITEM-1","itemData":{"DOI":"10.1086/342161","abstract":"Abstract: Over the past 20 yr much has been learned about a unique symbiotic interaction between fungal endophytes and grasses. The fungi (Clavicipitaceae, Ascomycota) grow intercellularly and syst...","author":[{"dropping-particle":"","family":"Clay","given":"Keith","non-dropping-particle":"","parse-names":false,"suffix":""},{"dropping-particle":"","family":"Schardl","given":"Christopher","non-dropping-particle":"","parse-names":false,"suffix":""}],"container-title":"https://doi.org/10.1086/342161","id":"ITEM-1","issue":"4 SUPPL.","issued":{"date-parts":[["2015","7","17"]]},"publisher":" The University of Chicago Press ","title":"Evolutionary Origins and Ecological Consequences of Endophyte Symbiosis with Grasses","type":"article-journal","volume":"160"},"uris":["http://www.mendeley.com/documents/?uuid=0fca4b58-669f-360d-a0f5-bba425089418"]}],"mendeley":{"formattedCitation":"(Clay and Schardl, 2015)","plainTextFormattedCitation":"(Clay and Schardl, 2015)","previouslyFormattedCitation":"(Clay and Schardl, 2015)"},"properties":{"noteIndex":0},"schema":"https://github.com/citation-style-language/schema/raw/master/csl-citation.json"}</w:instrText>
      </w:r>
      <w:r w:rsidR="00436E19">
        <w:rPr>
          <w:rFonts w:ascii="Arial" w:hAnsi="Arial" w:cs="Arial"/>
          <w:color w:val="000000" w:themeColor="text1"/>
        </w:rPr>
        <w:fldChar w:fldCharType="separate"/>
      </w:r>
      <w:r w:rsidR="00E13293" w:rsidRPr="00E13293">
        <w:rPr>
          <w:rFonts w:ascii="Arial" w:hAnsi="Arial" w:cs="Arial"/>
          <w:noProof/>
          <w:color w:val="000000" w:themeColor="text1"/>
        </w:rPr>
        <w:t>(Clay and Schardl, 2015)</w:t>
      </w:r>
      <w:r w:rsidR="00436E19">
        <w:rPr>
          <w:rFonts w:ascii="Arial" w:hAnsi="Arial" w:cs="Arial"/>
          <w:color w:val="000000" w:themeColor="text1"/>
        </w:rPr>
        <w:fldChar w:fldCharType="end"/>
      </w:r>
      <w:r w:rsidR="00AB48A9" w:rsidRPr="002B3D8A">
        <w:rPr>
          <w:rFonts w:ascii="Arial" w:hAnsi="Arial" w:cs="Arial"/>
          <w:color w:val="000000" w:themeColor="text1"/>
        </w:rPr>
        <w:t xml:space="preserve"> </w:t>
      </w:r>
    </w:p>
    <w:p w14:paraId="6010D435" w14:textId="77777777" w:rsidR="00AB48A9" w:rsidRPr="002B3D8A" w:rsidRDefault="00AB48A9" w:rsidP="00616CDC">
      <w:pPr>
        <w:pStyle w:val="paragraph"/>
        <w:spacing w:before="0" w:beforeAutospacing="0" w:after="0" w:afterAutospacing="0" w:line="360" w:lineRule="auto"/>
        <w:ind w:left="-284"/>
        <w:jc w:val="both"/>
        <w:textAlignment w:val="baseline"/>
        <w:rPr>
          <w:rFonts w:ascii="Arial" w:hAnsi="Arial" w:cs="Arial"/>
          <w:color w:val="000000" w:themeColor="text1"/>
        </w:rPr>
      </w:pPr>
      <w:r w:rsidRPr="002B3D8A">
        <w:rPr>
          <w:rFonts w:ascii="Arial" w:hAnsi="Arial" w:cs="Arial"/>
          <w:color w:val="000000" w:themeColor="text1"/>
        </w:rPr>
        <w:t xml:space="preserve">Majority of the balanciaceous endophytes are known for their antagonistic action against parasitic nematodes due to production of the bioactive compounds which are toxic. Some also induce immunity in the host plant to migratory and sedentary PPNs. </w:t>
      </w:r>
    </w:p>
    <w:p w14:paraId="7A82709C" w14:textId="68C93626" w:rsidR="005F7B29" w:rsidRPr="002B3D8A" w:rsidRDefault="00AB48A9" w:rsidP="00616CDC">
      <w:pPr>
        <w:pStyle w:val="paragraph"/>
        <w:spacing w:before="0" w:beforeAutospacing="0" w:after="0" w:afterAutospacing="0" w:line="360" w:lineRule="auto"/>
        <w:ind w:left="-284"/>
        <w:jc w:val="both"/>
        <w:textAlignment w:val="baseline"/>
        <w:rPr>
          <w:rFonts w:ascii="Arial" w:hAnsi="Arial" w:cs="Arial"/>
          <w:color w:val="000000" w:themeColor="text1"/>
        </w:rPr>
      </w:pPr>
      <w:r w:rsidRPr="002B3D8A">
        <w:rPr>
          <w:rFonts w:ascii="Arial" w:hAnsi="Arial" w:cs="Arial"/>
          <w:color w:val="000000" w:themeColor="text1"/>
        </w:rPr>
        <w:t>Loline, ergovaline and α-ergocryptine have nematicidal activity while ergonovaine have nematostatic activity</w:t>
      </w:r>
      <w:r w:rsidR="00436E19">
        <w:rPr>
          <w:rFonts w:ascii="Arial" w:hAnsi="Arial" w:cs="Arial"/>
          <w:color w:val="000000" w:themeColor="text1"/>
        </w:rPr>
        <w:t xml:space="preserve"> </w:t>
      </w:r>
      <w:r w:rsidR="00436E19">
        <w:rPr>
          <w:rFonts w:ascii="Arial" w:hAnsi="Arial" w:cs="Arial"/>
          <w:color w:val="000000" w:themeColor="text1"/>
        </w:rPr>
        <w:fldChar w:fldCharType="begin" w:fldLock="1"/>
      </w:r>
      <w:r w:rsidR="00436E19">
        <w:rPr>
          <w:rFonts w:ascii="Arial" w:hAnsi="Arial" w:cs="Arial"/>
          <w:color w:val="000000" w:themeColor="text1"/>
        </w:rPr>
        <w:instrText>ADDIN CSL_CITATION {"citationItems":[{"id":"ITEM-1","itemData":{"DOI":"10.1146/annurev-phyto-080615-100114","abstract":"Colonization of plants by particular endophytic fungi can provide plants with improved defenses toward nematodes. Evidently, such endophytes can be important in developing more sustainable agricultural practices. The mechanisms playing a role in this quantitative antagonism are poorly understood but most likely multifactorial. This knowledge gap obstructs the progress regarding the development of endophytes or endophyte-derived constituents into biocontrol agents. In part, this may be caused by the fact that endophytic fungi form a rather heterogeneous group. By combining the knowledge of the currently characterized antagonistic endophytic fungi and their effects on nematode behavior and biology with the knowledge of microbial competition and induced plant defenses, the various mechanisms by which this nematode antagonism operates or may operate are discussed. Now that new technologies are becoming available and more accessible, the currently un-resolved mechanisms can be studied in greater detail than ever before.","author":[{"dropping-particle":"","family":"Schouten","given":"Alexander","non-dropping-particle":"","parse-names":false,"suffix":""}],"id":"ITEM-1","issued":{"date-parts":[["2016"]]},"title":"Mechanisms Involved in Nematode Control by Endophytic Fungi","type":"article-journal"},"uris":["http://www.mendeley.com/documents/?uuid=52911402-6c3b-3ab3-a48f-617fee898697"]}],"mendeley":{"formattedCitation":"(Schouten, 2016)","plainTextFormattedCitation":"(Schouten, 2016)","previouslyFormattedCitation":"(Schouten, 2016)"},"properties":{"noteIndex":0},"schema":"https://github.com/citation-style-language/schema/raw/master/csl-citation.json"}</w:instrText>
      </w:r>
      <w:r w:rsidR="00436E19">
        <w:rPr>
          <w:rFonts w:ascii="Arial" w:hAnsi="Arial" w:cs="Arial"/>
          <w:color w:val="000000" w:themeColor="text1"/>
        </w:rPr>
        <w:fldChar w:fldCharType="separate"/>
      </w:r>
      <w:r w:rsidR="00436E19" w:rsidRPr="00436E19">
        <w:rPr>
          <w:rFonts w:ascii="Arial" w:hAnsi="Arial" w:cs="Arial"/>
          <w:noProof/>
          <w:color w:val="000000" w:themeColor="text1"/>
        </w:rPr>
        <w:t>(Schouten, 2016)</w:t>
      </w:r>
      <w:r w:rsidR="00436E19">
        <w:rPr>
          <w:rFonts w:ascii="Arial" w:hAnsi="Arial" w:cs="Arial"/>
          <w:color w:val="000000" w:themeColor="text1"/>
        </w:rPr>
        <w:fldChar w:fldCharType="end"/>
      </w:r>
      <w:r w:rsidRPr="002B3D8A">
        <w:rPr>
          <w:rFonts w:ascii="Arial" w:hAnsi="Arial" w:cs="Arial"/>
          <w:color w:val="000000" w:themeColor="text1"/>
        </w:rPr>
        <w:t xml:space="preserve">. </w:t>
      </w:r>
      <w:r w:rsidR="00D0437C" w:rsidRPr="002B3D8A">
        <w:rPr>
          <w:rFonts w:ascii="Arial" w:hAnsi="Arial" w:cs="Arial"/>
          <w:color w:val="000000" w:themeColor="text1"/>
        </w:rPr>
        <w:t>However, studies</w:t>
      </w:r>
      <w:r w:rsidR="00CA1DDB" w:rsidRPr="002B3D8A">
        <w:rPr>
          <w:rFonts w:ascii="Arial" w:hAnsi="Arial" w:cs="Arial"/>
          <w:color w:val="000000" w:themeColor="text1"/>
        </w:rPr>
        <w:t xml:space="preserve"> with plant-parasitic nematodes and lolines</w:t>
      </w:r>
      <w:r w:rsidR="00D0437C" w:rsidRPr="002B3D8A">
        <w:rPr>
          <w:rFonts w:ascii="Arial" w:hAnsi="Arial" w:cs="Arial"/>
          <w:color w:val="000000" w:themeColor="text1"/>
        </w:rPr>
        <w:t xml:space="preserve"> </w:t>
      </w:r>
      <w:r w:rsidR="00CA1DDB" w:rsidRPr="002B3D8A">
        <w:rPr>
          <w:rFonts w:ascii="Arial" w:hAnsi="Arial" w:cs="Arial"/>
          <w:color w:val="000000" w:themeColor="text1"/>
        </w:rPr>
        <w:t>indicated that the loline alkaloid N-formylloline could</w:t>
      </w:r>
      <w:r w:rsidR="00D0437C" w:rsidRPr="002B3D8A">
        <w:rPr>
          <w:rFonts w:ascii="Arial" w:hAnsi="Arial" w:cs="Arial"/>
          <w:color w:val="000000" w:themeColor="text1"/>
        </w:rPr>
        <w:t xml:space="preserve"> </w:t>
      </w:r>
      <w:r w:rsidR="00CA1DDB" w:rsidRPr="002B3D8A">
        <w:rPr>
          <w:rFonts w:ascii="Arial" w:hAnsi="Arial" w:cs="Arial"/>
          <w:color w:val="000000" w:themeColor="text1"/>
        </w:rPr>
        <w:t>either attract or repel the plant-parasitic nematode</w:t>
      </w:r>
      <w:r w:rsidR="00D0437C" w:rsidRPr="002B3D8A">
        <w:rPr>
          <w:rFonts w:ascii="Arial" w:hAnsi="Arial" w:cs="Arial"/>
          <w:color w:val="000000" w:themeColor="text1"/>
        </w:rPr>
        <w:t xml:space="preserve"> </w:t>
      </w:r>
      <w:r w:rsidR="00CA1DDB" w:rsidRPr="002B3D8A">
        <w:rPr>
          <w:rFonts w:ascii="Arial" w:hAnsi="Arial" w:cs="Arial"/>
          <w:i/>
          <w:color w:val="000000" w:themeColor="text1"/>
        </w:rPr>
        <w:t>Pratylenchus scribneri</w:t>
      </w:r>
      <w:r w:rsidR="00CA1DDB" w:rsidRPr="002B3D8A">
        <w:rPr>
          <w:rFonts w:ascii="Arial" w:hAnsi="Arial" w:cs="Arial"/>
          <w:color w:val="000000" w:themeColor="text1"/>
        </w:rPr>
        <w:t xml:space="preserve">, depending on the loline concentration </w:t>
      </w:r>
      <w:r w:rsidR="00436E19">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{"citationItems":[{"id":"ITEM-1","itemData":{"DOI":"10.1094/PHYTO-99-12-1336","abstract":"infected tall fescue alkaloids and grass metabolites on Pratylenchus scribneri. Phytopathology 99:1336-1345. Neotyphodium coenophialum, an endophytic fungus associated with tall fescue grass, enhances host fitness and imparts pest resistance. This symbiotum is implicated in the reduction of stresses, including plant-parasitic nematodes. To substantiate this implication, toxicological effects of root extracts, polyphenolic fraction, ergot, and loline alkaloids from endophyte-infected tall fescue were investigated using Pratylenchus scribneri, a nematode pest of tall fescue. In vitro bioassays and greenhouse studies were used as tests for effects of root fractions and compounds on motility and mortality of this lesion nematode. Greenhouse studies revealed that endophyte-infected tall fescue grasses are essentially nonhosts to P. scribneri, with root populations averaging 3 to 17 nema-todes/pot, compared with 4,866 and 8,450 nematodes/pot for noninfected grasses. The in vitro assay indicated that root extracts from infected tall fescues were nematistatic. Polyphenols identified in extracts included chlorogenic acid, 3,5-dicaffeoylquinic acids, caffeic acid, and two unidentified compounds, but these were not correlated with endophyte status, qualitatively or quantitatively. Tests of several ergot alkaloids revealed that ergovaline and α-ergocryptine were nematicidal at 5 and 50 µg/ml, respectively, while ergocornine and ergonovine were nema-tistatic at most concentrations. Loline (N-formylloline), the pyrrolizidine alkaloid tested, was nematicidal (50 to 200 µg/ml). The ecological benefits of the metabolites tested here should assist in defining their role in deterring this nematode species while offering some probable mechanisms of action against plant-parasitic nematodes in general.","author":[{"dropping-particle":"","family":"Bacetty","given":"A A","non-dropping-particle":"","parse-names":false,"suffix":""},{"dropping-particle":"","family":"Snook","given":"M E","non-dropping-particle":"","parse-names":false,"suffix":""},{"dropping-particle":"","family":"Glenn","given":"A E","non-dropping-particle":"","parse-names":false,"suffix":""},{"dropping-particle":"","family":"Noe","given":"J P","non-dropping-particle":"","parse-names":false,"suffix":""},{"dropping-particle":"","family":"Hill","given":"N","non-dropping-particle":"","parse-names":false,"suffix":""},{"dropping-particle":"","family":"Culbreath","given":"A","non-dropping-particle":"","parse-names":false,"suffix":""},{"dropping-particle":"","family":"Timper","given":"P","non-dropping-particle":"","parse-names":false,"suffix":""},{"dropping-particle":"","family":"Nagabhyru","given":"P","non-dropping-particle":"","parse-names":false,"suffix":""},{"dropping-particle":"","family":"Bacon","given":"C W","non-dropping-particle":"","parse-names":false,"suffix":""}],"id":"ITEM-1","issued":{"date-parts":[["2009"]]},"title":"Toxicity of Endophyte-Infected Tall Fescue Alkaloids and Grass Metabolites on Pratylenchus scribneri","type":"article-journal"},"uris":["http://www.mendeley.com/documents/?uuid=4668834d-577e-32f5-80b5-4e2534921fa4"]}],"mendeley":{"formattedCitation":"(Bacetty &lt;i&gt;et al.&lt;/i&gt;, 2009)","plainTextFormattedCitation":"(Bacetty et al., 2009)","previouslyFormattedCitation":"(Bacetty &lt;i&gt;et al.&lt;/i&gt;, 2009)"},"properties":{"noteIndex":0},"schema":"https://github.com/citation-style-language/schema/raw/master/csl-citation.json"}</w:instrText>
      </w:r>
      <w:r w:rsidR="00436E19">
        <w:rPr>
          <w:rFonts w:ascii="Arial" w:hAnsi="Arial" w:cs="Arial"/>
          <w:color w:val="000000" w:themeColor="text1"/>
        </w:rPr>
        <w:fldChar w:fldCharType="separate"/>
      </w:r>
      <w:r w:rsidR="00A07F2C" w:rsidRPr="00A07F2C">
        <w:rPr>
          <w:rFonts w:ascii="Arial" w:hAnsi="Arial" w:cs="Arial"/>
          <w:noProof/>
          <w:color w:val="000000" w:themeColor="text1"/>
        </w:rPr>
        <w:t xml:space="preserve">(Bacetty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2009)</w:t>
      </w:r>
      <w:r w:rsidR="00436E19">
        <w:rPr>
          <w:rFonts w:ascii="Arial" w:hAnsi="Arial" w:cs="Arial"/>
          <w:color w:val="000000" w:themeColor="text1"/>
        </w:rPr>
        <w:fldChar w:fldCharType="end"/>
      </w:r>
      <w:r w:rsidR="001049BE" w:rsidRPr="002B3D8A">
        <w:rPr>
          <w:rFonts w:ascii="Arial" w:hAnsi="Arial" w:cs="Arial"/>
          <w:color w:val="000000" w:themeColor="text1"/>
        </w:rPr>
        <w:t xml:space="preserve"> </w:t>
      </w:r>
      <w:r w:rsidRPr="002B3D8A">
        <w:rPr>
          <w:rFonts w:ascii="Arial" w:hAnsi="Arial" w:cs="Arial"/>
          <w:color w:val="000000" w:themeColor="text1"/>
        </w:rPr>
        <w:t xml:space="preserve">While endophytes can affect susceptibility of grasses to nematodes, host status may be more strongly influenced by plant cultivar than by presence or absence of endophyte, </w:t>
      </w:r>
      <w:r w:rsidR="005F7B29" w:rsidRPr="002B3D8A">
        <w:rPr>
          <w:rFonts w:ascii="Arial" w:hAnsi="Arial" w:cs="Arial"/>
          <w:color w:val="000000" w:themeColor="text1"/>
        </w:rPr>
        <w:t xml:space="preserve">a study conducted to test the host status of </w:t>
      </w:r>
      <w:r w:rsidR="005F7B29" w:rsidRPr="00F63475">
        <w:rPr>
          <w:rFonts w:ascii="Arial" w:hAnsi="Arial" w:cs="Arial"/>
          <w:i/>
          <w:color w:val="000000" w:themeColor="text1"/>
        </w:rPr>
        <w:t>Festulolium</w:t>
      </w:r>
      <w:r w:rsidR="005F7B29" w:rsidRPr="002B3D8A">
        <w:rPr>
          <w:rFonts w:ascii="Arial" w:hAnsi="Arial" w:cs="Arial"/>
          <w:color w:val="000000" w:themeColor="text1"/>
        </w:rPr>
        <w:t xml:space="preserve"> lines with or without the fungal </w:t>
      </w:r>
      <w:r w:rsidR="00610375" w:rsidRPr="002B3D8A">
        <w:rPr>
          <w:rFonts w:ascii="Arial" w:hAnsi="Arial" w:cs="Arial"/>
          <w:color w:val="000000" w:themeColor="text1"/>
        </w:rPr>
        <w:t>endophyte</w:t>
      </w:r>
      <w:r w:rsidR="008C5982">
        <w:rPr>
          <w:rFonts w:ascii="Arial" w:hAnsi="Arial" w:cs="Arial"/>
          <w:color w:val="000000" w:themeColor="text1"/>
        </w:rPr>
        <w:t>.</w:t>
      </w:r>
      <w:r w:rsidR="00610375" w:rsidRPr="00835570">
        <w:rPr>
          <w:rFonts w:ascii="Arial" w:hAnsi="Arial" w:cs="Arial"/>
          <w:i/>
          <w:color w:val="000000" w:themeColor="text1"/>
        </w:rPr>
        <w:t xml:space="preserve"> Epichloe</w:t>
      </w:r>
      <w:r w:rsidR="005F7B29" w:rsidRPr="00835570">
        <w:rPr>
          <w:rFonts w:ascii="Arial" w:hAnsi="Arial" w:cs="Arial"/>
          <w:i/>
          <w:color w:val="000000" w:themeColor="text1"/>
        </w:rPr>
        <w:t xml:space="preserve"> uncinata</w:t>
      </w:r>
      <w:r w:rsidR="005F7B29" w:rsidRPr="002B3D8A">
        <w:rPr>
          <w:rFonts w:ascii="Arial" w:hAnsi="Arial" w:cs="Arial"/>
          <w:color w:val="000000" w:themeColor="text1"/>
        </w:rPr>
        <w:t xml:space="preserve">, showed that the </w:t>
      </w:r>
      <w:r w:rsidR="008C5982" w:rsidRPr="00F63475">
        <w:rPr>
          <w:rFonts w:ascii="Arial" w:hAnsi="Arial" w:cs="Arial"/>
          <w:i/>
          <w:color w:val="000000" w:themeColor="text1"/>
        </w:rPr>
        <w:t>F</w:t>
      </w:r>
      <w:r w:rsidR="005F7B29" w:rsidRPr="00F63475">
        <w:rPr>
          <w:rFonts w:ascii="Arial" w:hAnsi="Arial" w:cs="Arial"/>
          <w:i/>
          <w:color w:val="000000" w:themeColor="text1"/>
        </w:rPr>
        <w:t>estulolium</w:t>
      </w:r>
      <w:r w:rsidR="005F7B29" w:rsidRPr="002B3D8A">
        <w:rPr>
          <w:rFonts w:ascii="Arial" w:hAnsi="Arial" w:cs="Arial"/>
          <w:color w:val="000000" w:themeColor="text1"/>
        </w:rPr>
        <w:t xml:space="preserve"> lines were poor hosts with or without the fungal endophyte. </w:t>
      </w:r>
      <w:r w:rsidR="005F7B29" w:rsidRPr="00F63475">
        <w:rPr>
          <w:rFonts w:ascii="Arial" w:hAnsi="Arial" w:cs="Arial"/>
          <w:i/>
          <w:color w:val="000000" w:themeColor="text1"/>
        </w:rPr>
        <w:t>In</w:t>
      </w:r>
      <w:r w:rsidR="008C5982" w:rsidRPr="00F63475">
        <w:rPr>
          <w:rFonts w:ascii="Arial" w:hAnsi="Arial" w:cs="Arial"/>
          <w:i/>
          <w:color w:val="000000" w:themeColor="text1"/>
        </w:rPr>
        <w:t>-</w:t>
      </w:r>
      <w:r w:rsidR="005F7B29" w:rsidRPr="00F63475">
        <w:rPr>
          <w:rFonts w:ascii="Arial" w:hAnsi="Arial" w:cs="Arial"/>
          <w:i/>
          <w:color w:val="000000" w:themeColor="text1"/>
        </w:rPr>
        <w:t>vitro</w:t>
      </w:r>
      <w:r w:rsidR="005F7B29" w:rsidRPr="002B3D8A">
        <w:rPr>
          <w:rFonts w:ascii="Arial" w:hAnsi="Arial" w:cs="Arial"/>
          <w:color w:val="000000" w:themeColor="text1"/>
        </w:rPr>
        <w:t xml:space="preserve"> studies with methanolic extracts from roots and shoots of the tested </w:t>
      </w:r>
      <w:r w:rsidR="005F7B29" w:rsidRPr="00F63475">
        <w:rPr>
          <w:rFonts w:ascii="Arial" w:hAnsi="Arial" w:cs="Arial"/>
          <w:i/>
          <w:color w:val="000000" w:themeColor="text1"/>
        </w:rPr>
        <w:t>Festulolium</w:t>
      </w:r>
      <w:r w:rsidR="005F7B29" w:rsidRPr="002B3D8A">
        <w:rPr>
          <w:rFonts w:ascii="Arial" w:hAnsi="Arial" w:cs="Arial"/>
          <w:color w:val="000000" w:themeColor="text1"/>
        </w:rPr>
        <w:t xml:space="preserve"> lines indicated that the extracts had nematicidal effects on the </w:t>
      </w:r>
      <w:r w:rsidR="00C2192A" w:rsidRPr="002B3D8A">
        <w:rPr>
          <w:rFonts w:ascii="Arial" w:hAnsi="Arial" w:cs="Arial"/>
          <w:color w:val="000000" w:themeColor="text1"/>
        </w:rPr>
        <w:t>se</w:t>
      </w:r>
      <w:r w:rsidR="00835570">
        <w:rPr>
          <w:rFonts w:ascii="Arial" w:hAnsi="Arial" w:cs="Arial"/>
          <w:color w:val="000000" w:themeColor="text1"/>
        </w:rPr>
        <w:t>co</w:t>
      </w:r>
      <w:r w:rsidR="00C2192A" w:rsidRPr="002B3D8A">
        <w:rPr>
          <w:rFonts w:ascii="Arial" w:hAnsi="Arial" w:cs="Arial"/>
          <w:color w:val="000000" w:themeColor="text1"/>
        </w:rPr>
        <w:t xml:space="preserve">nd stage and third stage </w:t>
      </w:r>
      <w:r w:rsidR="005F7B29" w:rsidRPr="002B3D8A">
        <w:rPr>
          <w:rFonts w:ascii="Arial" w:hAnsi="Arial" w:cs="Arial"/>
          <w:color w:val="000000" w:themeColor="text1"/>
        </w:rPr>
        <w:t xml:space="preserve">juveniles of </w:t>
      </w:r>
      <w:r w:rsidR="005F7B29" w:rsidRPr="002B3D8A">
        <w:rPr>
          <w:rFonts w:ascii="Arial" w:hAnsi="Arial" w:cs="Arial"/>
          <w:i/>
          <w:color w:val="000000" w:themeColor="text1"/>
        </w:rPr>
        <w:t xml:space="preserve">Meloidogyne </w:t>
      </w:r>
      <w:r w:rsidR="00436E19" w:rsidRPr="002B3D8A">
        <w:rPr>
          <w:rFonts w:ascii="Arial" w:hAnsi="Arial" w:cs="Arial"/>
          <w:i/>
          <w:color w:val="000000" w:themeColor="text1"/>
        </w:rPr>
        <w:t>incognita</w:t>
      </w:r>
      <w:r w:rsidR="00436E19" w:rsidRPr="002B3D8A">
        <w:rPr>
          <w:rFonts w:ascii="Arial" w:hAnsi="Arial" w:cs="Arial"/>
          <w:color w:val="000000" w:themeColor="text1"/>
        </w:rPr>
        <w:t>,</w:t>
      </w:r>
      <w:r w:rsidR="005F7B29" w:rsidRPr="002B3D8A">
        <w:rPr>
          <w:rFonts w:ascii="Arial" w:hAnsi="Arial" w:cs="Arial"/>
          <w:color w:val="000000" w:themeColor="text1"/>
        </w:rPr>
        <w:t xml:space="preserve"> where the juveniles were killed in absence or presence of the endophyte, concluding that other plant metabolites</w:t>
      </w:r>
      <w:r w:rsidR="0036102B" w:rsidRPr="002B3D8A">
        <w:rPr>
          <w:rFonts w:ascii="Arial" w:hAnsi="Arial" w:cs="Arial"/>
          <w:color w:val="000000" w:themeColor="text1"/>
        </w:rPr>
        <w:t xml:space="preserve"> such as phenolic compounds</w:t>
      </w:r>
      <w:r w:rsidR="005F7B29" w:rsidRPr="002B3D8A">
        <w:rPr>
          <w:rFonts w:ascii="Arial" w:hAnsi="Arial" w:cs="Arial"/>
          <w:color w:val="000000" w:themeColor="text1"/>
        </w:rPr>
        <w:t xml:space="preserve"> associated with the </w:t>
      </w:r>
      <w:r w:rsidR="008C5982" w:rsidRPr="00F63475">
        <w:rPr>
          <w:rFonts w:ascii="Arial" w:hAnsi="Arial" w:cs="Arial"/>
          <w:i/>
          <w:color w:val="000000" w:themeColor="text1"/>
        </w:rPr>
        <w:t>F</w:t>
      </w:r>
      <w:r w:rsidR="005F7B29" w:rsidRPr="00F63475">
        <w:rPr>
          <w:rFonts w:ascii="Arial" w:hAnsi="Arial" w:cs="Arial"/>
          <w:i/>
          <w:color w:val="000000" w:themeColor="text1"/>
        </w:rPr>
        <w:t>estulolium</w:t>
      </w:r>
      <w:r w:rsidR="005F7B29" w:rsidRPr="002B3D8A">
        <w:rPr>
          <w:rFonts w:ascii="Arial" w:hAnsi="Arial" w:cs="Arial"/>
          <w:color w:val="000000" w:themeColor="text1"/>
        </w:rPr>
        <w:t xml:space="preserve"> lines might be associated with the nematicidal activity. </w:t>
      </w:r>
      <w:r w:rsidR="00436E19">
        <w:rPr>
          <w:rFonts w:ascii="Arial" w:hAnsi="Arial" w:cs="Arial"/>
          <w:color w:val="000000" w:themeColor="text1"/>
        </w:rPr>
        <w:fldChar w:fldCharType="begin" w:fldLock="1"/>
      </w:r>
      <w:r w:rsidR="001B2A7F">
        <w:rPr>
          <w:rFonts w:ascii="Arial" w:hAnsi="Arial" w:cs="Arial"/>
          <w:color w:val="000000" w:themeColor="text1"/>
        </w:rPr>
        <w:instrText>ADDIN CSL_CITATION {"citationItems":[{"id":"ITEM-1","itemData":{"DOI":"10.21307/jofnem-2020-076","abstract":"Festulolium hybrids are forage grasses used worldwide in temperate climates. They are associated with the fungal endophyte Epichloë uncinata, which aids in nutrient uptake, drought tolerance, and production of metabolites that protect against parasites and herbivores. Epichloë uncinata produces loline alkaloids, which can deter insect pests. Festulolium has not been widely studied for susceptibility to plant-parasitic nematodes, so Festulolium lines, with and without fungal endophytes, were tested in the greenhouse for host status to the root-knot nematode Meloidogyne incognita. All were poor hosts, regardless of line or endophyte status. Pepper seedlings planted into soil following removal of the Festulolium plants were infected by nematodes, likely because of surviving nematodes from the original inoculation combined with some reproduction on Festulolium. Lolines were found in shoots and roots of all endophyte-associated lines, and some types of lolines in roots increased after nematode infection. Methanolic extracts from roots and shoots of a tested Festulolium line did not inhibit egg hatch, but killed nearly a third of second-stage juveniles whether an endophyte was present or not. Further studies would indicate whether these Festulolium lines aid in suppressing field populations of M. incognita.","author":[{"dropping-particle":"","family":"F Meyer","given":"Susan L","non-dropping-particle":"","parse-names":false,"suffix":""},{"dropping-particle":"","family":"Patchett","given":"Brian J","non-dropping-particle":"","parse-names":false,"suffix":""},{"dropping-particle":"","family":"Gillanders","given":"Timothy J","non-dropping-particle":"","parse-names":false,"suffix":""},{"dropping-particle":"","family":"Kantor","given":"Mihail R","non-dropping-particle":"","parse-names":false,"suffix":""},{"dropping-particle":"","family":"Timper","given":"Patricia","non-dropping-particle":"","parse-names":false,"suffix":""},{"dropping-particle":"","family":"MacDonald","given":"Margaret H","non-dropping-particle":"","parse-names":false,"suffix":""},{"dropping-particle":"","family":"Elling","given":"Axel","non-dropping-particle":"","parse-names":false,"suffix":""}],"container-title":"JOURNAL OF NEMATOLOGY","id":"ITEM-1","issued":{"date-parts":[["2020"]]},"note":"Festololium hybrids are forage grasses used worlwide in temperate climates. these hybrids are intergeneric crosses betwween Festuca pratensis and Lolium perenne/lolium multiflorum .","page":"2020-76","title":"Festulolium and fungal endophyte associations: host status for Meloidogyne incognita and nematotoxic plant extracts","type":"article-journal","volume":"52"},"uris":["http://www.mendeley.com/documents/?uuid=a8b1a71c-c22f-3ac4-a9a1-bd06de477973"]}],"mendeley":{"formattedCitation":"(F Meyer &lt;i&gt;et al.&lt;/i&gt;, 2020)","plainTextFormattedCitation":"(F Meyer et al., 2020)","previouslyFormattedCitation":"(F Meyer &lt;i&gt;et al.&lt;/i&gt;, 2020)"},"properties":{"noteIndex":0},"schema":"https://github.com/citation-style-language/schema/raw/master/csl-citation.json"}</w:instrText>
      </w:r>
      <w:r w:rsidR="00436E19">
        <w:rPr>
          <w:rFonts w:ascii="Arial" w:hAnsi="Arial" w:cs="Arial"/>
          <w:color w:val="000000" w:themeColor="text1"/>
        </w:rPr>
        <w:fldChar w:fldCharType="separate"/>
      </w:r>
      <w:r w:rsidR="00A07F2C" w:rsidRPr="00A07F2C">
        <w:rPr>
          <w:rFonts w:ascii="Arial" w:hAnsi="Arial" w:cs="Arial"/>
          <w:noProof/>
          <w:color w:val="000000" w:themeColor="text1"/>
        </w:rPr>
        <w:t xml:space="preserve">(F Meyer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2020)</w:t>
      </w:r>
      <w:r w:rsidR="00436E19">
        <w:rPr>
          <w:rFonts w:ascii="Arial" w:hAnsi="Arial" w:cs="Arial"/>
          <w:color w:val="000000" w:themeColor="text1"/>
        </w:rPr>
        <w:fldChar w:fldCharType="end"/>
      </w:r>
      <w:r w:rsidR="005F7B29" w:rsidRPr="002B3D8A">
        <w:rPr>
          <w:rFonts w:ascii="Arial" w:hAnsi="Arial" w:cs="Arial"/>
          <w:color w:val="000000" w:themeColor="text1"/>
        </w:rPr>
        <w:t xml:space="preserve"> </w:t>
      </w:r>
    </w:p>
    <w:p w14:paraId="2E89D740" w14:textId="1C10F6EE" w:rsidR="007A5447" w:rsidRPr="002B3D8A" w:rsidRDefault="00E155E3" w:rsidP="00616CDC">
      <w:pPr>
        <w:pStyle w:val="paragraph"/>
        <w:spacing w:before="0" w:beforeAutospacing="0" w:after="0" w:afterAutospacing="0" w:line="360" w:lineRule="auto"/>
        <w:ind w:left="-284"/>
        <w:jc w:val="both"/>
        <w:textAlignment w:val="baseline"/>
        <w:rPr>
          <w:rFonts w:ascii="Arial" w:hAnsi="Arial" w:cs="Arial"/>
          <w:color w:val="000000" w:themeColor="text1"/>
        </w:rPr>
      </w:pPr>
      <w:r w:rsidRPr="002B3D8A">
        <w:rPr>
          <w:rFonts w:ascii="Arial" w:hAnsi="Arial" w:cs="Arial"/>
          <w:color w:val="000000" w:themeColor="text1"/>
        </w:rPr>
        <w:lastRenderedPageBreak/>
        <w:t xml:space="preserve">The fungal endophyte </w:t>
      </w:r>
      <w:r w:rsidRPr="002B3D8A">
        <w:rPr>
          <w:rFonts w:ascii="Arial" w:hAnsi="Arial" w:cs="Arial"/>
          <w:i/>
          <w:color w:val="000000" w:themeColor="text1"/>
        </w:rPr>
        <w:t>Neotyphodium coenophialum</w:t>
      </w:r>
      <w:r w:rsidRPr="002B3D8A">
        <w:rPr>
          <w:rFonts w:ascii="Arial" w:hAnsi="Arial" w:cs="Arial"/>
          <w:color w:val="000000" w:themeColor="text1"/>
        </w:rPr>
        <w:t xml:space="preserve"> </w:t>
      </w:r>
      <w:r w:rsidRPr="00A60249">
        <w:rPr>
          <w:rFonts w:ascii="Arial" w:hAnsi="Arial" w:cs="Arial"/>
          <w:color w:val="000000" w:themeColor="text1"/>
        </w:rPr>
        <w:t>associated with</w:t>
      </w:r>
      <w:r w:rsidRPr="002B3D8A">
        <w:rPr>
          <w:rFonts w:ascii="Arial" w:hAnsi="Arial" w:cs="Arial"/>
          <w:color w:val="000000" w:themeColor="text1"/>
        </w:rPr>
        <w:t xml:space="preserve"> </w:t>
      </w:r>
      <w:r w:rsidRPr="002B3D8A">
        <w:rPr>
          <w:rFonts w:ascii="Arial" w:hAnsi="Arial" w:cs="Arial"/>
          <w:i/>
          <w:color w:val="000000" w:themeColor="text1"/>
        </w:rPr>
        <w:t xml:space="preserve">Festuca arundinacea </w:t>
      </w:r>
      <w:r w:rsidRPr="00F63475">
        <w:rPr>
          <w:rFonts w:ascii="Arial" w:hAnsi="Arial" w:cs="Arial"/>
          <w:color w:val="000000" w:themeColor="text1"/>
        </w:rPr>
        <w:t>was tested in</w:t>
      </w:r>
      <w:r w:rsidRPr="002B3D8A">
        <w:rPr>
          <w:rFonts w:ascii="Arial" w:hAnsi="Arial" w:cs="Arial"/>
          <w:i/>
          <w:color w:val="000000" w:themeColor="text1"/>
        </w:rPr>
        <w:t xml:space="preserve"> Pratylenchus scribinieri, </w:t>
      </w:r>
      <w:r w:rsidRPr="00A60249">
        <w:rPr>
          <w:rFonts w:ascii="Arial" w:hAnsi="Arial" w:cs="Arial"/>
          <w:color w:val="000000" w:themeColor="text1"/>
        </w:rPr>
        <w:t>a nematode pest of tall fescue. Glasshouse host status assessments indicated that the endophyte infected fescue was a non-host</w:t>
      </w:r>
      <w:r w:rsidR="0036102B" w:rsidRPr="00A60249">
        <w:rPr>
          <w:rFonts w:ascii="Arial" w:hAnsi="Arial" w:cs="Arial"/>
          <w:color w:val="000000" w:themeColor="text1"/>
        </w:rPr>
        <w:t xml:space="preserve"> (</w:t>
      </w:r>
      <w:r w:rsidR="005576E6" w:rsidRPr="00A60249">
        <w:rPr>
          <w:rFonts w:ascii="Arial" w:hAnsi="Arial" w:cs="Arial"/>
          <w:color w:val="000000" w:themeColor="text1"/>
        </w:rPr>
        <w:t xml:space="preserve">113-132 </w:t>
      </w:r>
      <w:r w:rsidR="0036102B" w:rsidRPr="00A60249">
        <w:rPr>
          <w:rFonts w:ascii="Arial" w:hAnsi="Arial" w:cs="Arial"/>
          <w:color w:val="000000" w:themeColor="text1"/>
        </w:rPr>
        <w:t>nematodes/pot)</w:t>
      </w:r>
      <w:r w:rsidRPr="00A60249">
        <w:rPr>
          <w:rFonts w:ascii="Arial" w:hAnsi="Arial" w:cs="Arial"/>
          <w:color w:val="000000" w:themeColor="text1"/>
        </w:rPr>
        <w:t xml:space="preserve"> for</w:t>
      </w:r>
      <w:r w:rsidRPr="002B3D8A">
        <w:rPr>
          <w:rFonts w:ascii="Arial" w:hAnsi="Arial" w:cs="Arial"/>
          <w:i/>
          <w:color w:val="000000" w:themeColor="text1"/>
        </w:rPr>
        <w:t xml:space="preserve"> P.scribinieri </w:t>
      </w:r>
      <w:r w:rsidRPr="00A60249">
        <w:rPr>
          <w:rFonts w:ascii="Arial" w:hAnsi="Arial" w:cs="Arial"/>
          <w:color w:val="000000" w:themeColor="text1"/>
        </w:rPr>
        <w:t>when comp</w:t>
      </w:r>
      <w:r w:rsidR="0036102B" w:rsidRPr="00A60249">
        <w:rPr>
          <w:rFonts w:ascii="Arial" w:hAnsi="Arial" w:cs="Arial"/>
          <w:color w:val="000000" w:themeColor="text1"/>
        </w:rPr>
        <w:t>are</w:t>
      </w:r>
      <w:r w:rsidRPr="00A60249">
        <w:rPr>
          <w:rFonts w:ascii="Arial" w:hAnsi="Arial" w:cs="Arial"/>
          <w:color w:val="000000" w:themeColor="text1"/>
        </w:rPr>
        <w:t>d to nil-</w:t>
      </w:r>
      <w:r w:rsidRPr="002B3D8A">
        <w:rPr>
          <w:rFonts w:ascii="Arial" w:hAnsi="Arial" w:cs="Arial"/>
          <w:color w:val="000000" w:themeColor="text1"/>
        </w:rPr>
        <w:t>endophyte grass.</w:t>
      </w:r>
      <w:r w:rsidR="0036102B" w:rsidRPr="002B3D8A">
        <w:rPr>
          <w:rFonts w:ascii="Arial" w:hAnsi="Arial" w:cs="Arial"/>
          <w:color w:val="000000" w:themeColor="text1"/>
        </w:rPr>
        <w:t>(</w:t>
      </w:r>
      <w:r w:rsidR="005576E6" w:rsidRPr="002B3D8A">
        <w:rPr>
          <w:rFonts w:ascii="Arial" w:hAnsi="Arial" w:cs="Arial"/>
          <w:color w:val="000000" w:themeColor="text1"/>
        </w:rPr>
        <w:t>3</w:t>
      </w:r>
      <w:r w:rsidR="0036102B" w:rsidRPr="002B3D8A">
        <w:rPr>
          <w:rFonts w:ascii="Arial" w:hAnsi="Arial" w:cs="Arial"/>
          <w:color w:val="000000" w:themeColor="text1"/>
        </w:rPr>
        <w:t>50/pot)</w:t>
      </w:r>
      <w:r w:rsidR="00436E19">
        <w:rPr>
          <w:rFonts w:ascii="Arial" w:hAnsi="Arial" w:cs="Arial"/>
          <w:color w:val="000000" w:themeColor="text1"/>
        </w:rPr>
        <w:t xml:space="preserve"> </w:t>
      </w:r>
      <w:r w:rsidR="00436E19">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{"citationItems":[{"id":"ITEM-1","itemData":{"DOI":"10.1094/PHYTO-99-12-1336","abstract":"infected tall fescue alkaloids and grass metabolites on Pratylenchus scribneri. Phytopathology 99:1336-1345. Neotyphodium coenophialum, an endophytic fungus associated with tall fescue grass, enhances host fitness and imparts pest resistance. This symbiotum is implicated in the reduction of stresses, including plant-parasitic nematodes. To substantiate this implication, toxicological effects of root extracts, polyphenolic fraction, ergot, and loline alkaloids from endophyte-infected tall fescue were investigated using Pratylenchus scribneri, a nematode pest of tall fescue. In vitro bioassays and greenhouse studies were used as tests for effects of root fractions and compounds on motility and mortality of this lesion nematode. Greenhouse studies revealed that endophyte-infected tall fescue grasses are essentially nonhosts to P. scribneri, with root populations averaging 3 to 17 nema-todes/pot, compared with 4,866 and 8,450 nematodes/pot for noninfected grasses. The in vitro assay indicated that root extracts from infected tall fescues were nematistatic. Polyphenols identified in extracts included chlorogenic acid, 3,5-dicaffeoylquinic acids, caffeic acid, and two unidentified compounds, but these were not correlated with endophyte status, qualitatively or quantitatively. Tests of several ergot alkaloids revealed that ergovaline and α-ergocryptine were nematicidal at 5 and 50 µg/ml, respectively, while ergocornine and ergonovine were nema-tistatic at most concentrations. Loline (N-formylloline), the pyrrolizidine alkaloid tested, was nematicidal (50 to 200 µg/ml). The ecological benefits of the metabolites tested here should assist in defining their role in deterring this nematode species while offering some probable mechanisms of action against plant-parasitic nematodes in general.","author":[{"dropping-particle":"","family":"Bacetty","given":"A A","non-dropping-particle":"","parse-names":false,"suffix":""},{"dropping-particle":"","family":"Snook","given":"M E","non-dropping-particle":"","parse-names":false,"suffix":""},{"dropping-particle":"","family":"Glenn","given":"A E","non-dropping-particle":"","parse-names":false,"suffix":""},{"dropping-particle":"","family":"Noe","given":"J P","non-dropping-particle":"","parse-names":false,"suffix":""},{"dropping-particle":"","family":"Hill","given":"N","non-dropping-particle":"","parse-names":false,"suffix":""},{"dropping-particle":"","family":"Culbreath","given":"A","non-dropping-particle":"","parse-names":false,"suffix":""},{"dropping-particle":"","family":"Timper","given":"P","non-dropping-particle":"","parse-names":false,"suffix":""},{"dropping-particle":"","family":"Nagabhyru","given":"P","non-dropping-particle":"","parse-names":false,"suffix":""},{"dropping-particle":"","family":"Bacon","given":"C W","non-dropping-particle":"","parse-names":false,"suffix":""}],"id":"ITEM-1","issued":{"date-parts":[["2009"]]},"title":"Toxicity of Endophyte-Infected Tall Fescue Alkaloids and Grass Metabolites on Pratylenchus scribneri","type":"article-journal"},"uris":["http://www.mendeley.com/documents/?uuid=4668834d-577e-32f5-80b5-4e2534921fa4"]}],"mendeley":{"formattedCitation":"(Bacetty &lt;i&gt;et al.&lt;/i&gt;, 2009)","plainTextFormattedCitation":"(Bacetty et al., 2009)","previouslyFormattedCitation":"(Bacetty &lt;i&gt;et al.&lt;/i&gt;, 2009)"},"properties":{"noteIndex":0},"schema":"https://github.com/citation-style-language/schema/raw/master/csl-citation.json"}</w:instrText>
      </w:r>
      <w:r w:rsidR="00436E19">
        <w:rPr>
          <w:rFonts w:ascii="Arial" w:hAnsi="Arial" w:cs="Arial"/>
          <w:color w:val="000000" w:themeColor="text1"/>
        </w:rPr>
        <w:fldChar w:fldCharType="separate"/>
      </w:r>
      <w:r w:rsidR="00A07F2C" w:rsidRPr="00A07F2C">
        <w:rPr>
          <w:rFonts w:ascii="Arial" w:hAnsi="Arial" w:cs="Arial"/>
          <w:noProof/>
          <w:color w:val="000000" w:themeColor="text1"/>
        </w:rPr>
        <w:t xml:space="preserve">(Bacetty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2009)</w:t>
      </w:r>
      <w:r w:rsidR="00436E19">
        <w:rPr>
          <w:rFonts w:ascii="Arial" w:hAnsi="Arial" w:cs="Arial"/>
          <w:color w:val="000000" w:themeColor="text1"/>
        </w:rPr>
        <w:fldChar w:fldCharType="end"/>
      </w:r>
      <w:r w:rsidR="0036102B" w:rsidRPr="002B3D8A">
        <w:rPr>
          <w:rFonts w:ascii="Arial" w:hAnsi="Arial" w:cs="Arial"/>
          <w:color w:val="000000" w:themeColor="text1"/>
        </w:rPr>
        <w:t xml:space="preserve">. The study also investigated the role played by phenolic compounds in the tall fescue </w:t>
      </w:r>
      <w:r w:rsidR="007D719C" w:rsidRPr="002B3D8A">
        <w:rPr>
          <w:rFonts w:ascii="Arial" w:hAnsi="Arial" w:cs="Arial"/>
          <w:color w:val="000000" w:themeColor="text1"/>
        </w:rPr>
        <w:t>as well</w:t>
      </w:r>
      <w:r w:rsidR="0036102B" w:rsidRPr="002B3D8A">
        <w:rPr>
          <w:rFonts w:ascii="Arial" w:hAnsi="Arial" w:cs="Arial"/>
          <w:color w:val="000000" w:themeColor="text1"/>
        </w:rPr>
        <w:t xml:space="preserve"> as compounds produced by the </w:t>
      </w:r>
      <w:r w:rsidR="0036102B" w:rsidRPr="00F63475">
        <w:rPr>
          <w:rFonts w:ascii="Arial" w:hAnsi="Arial" w:cs="Arial"/>
          <w:i/>
          <w:color w:val="000000" w:themeColor="text1"/>
        </w:rPr>
        <w:t>Neotyphodium coenophialum</w:t>
      </w:r>
      <w:r w:rsidR="0036102B" w:rsidRPr="002B3D8A">
        <w:rPr>
          <w:rFonts w:ascii="Arial" w:hAnsi="Arial" w:cs="Arial"/>
          <w:color w:val="000000" w:themeColor="text1"/>
        </w:rPr>
        <w:t xml:space="preserve"> in </w:t>
      </w:r>
      <w:r w:rsidR="0036102B" w:rsidRPr="00F63475">
        <w:rPr>
          <w:rFonts w:ascii="Arial" w:hAnsi="Arial" w:cs="Arial"/>
          <w:i/>
          <w:color w:val="000000" w:themeColor="text1"/>
        </w:rPr>
        <w:t>in</w:t>
      </w:r>
      <w:r w:rsidR="00990E49" w:rsidRPr="00F63475">
        <w:rPr>
          <w:rFonts w:ascii="Arial" w:hAnsi="Arial" w:cs="Arial"/>
          <w:i/>
          <w:color w:val="000000" w:themeColor="text1"/>
        </w:rPr>
        <w:t xml:space="preserve"> </w:t>
      </w:r>
      <w:r w:rsidR="0036102B" w:rsidRPr="00F63475">
        <w:rPr>
          <w:rFonts w:ascii="Arial" w:hAnsi="Arial" w:cs="Arial"/>
          <w:i/>
          <w:color w:val="000000" w:themeColor="text1"/>
        </w:rPr>
        <w:t>vitro</w:t>
      </w:r>
      <w:r w:rsidR="0036102B" w:rsidRPr="002B3D8A">
        <w:rPr>
          <w:rFonts w:ascii="Arial" w:hAnsi="Arial" w:cs="Arial"/>
          <w:color w:val="000000" w:themeColor="text1"/>
        </w:rPr>
        <w:t xml:space="preserve"> assays. </w:t>
      </w:r>
      <w:r w:rsidR="005576E6" w:rsidRPr="002B3D8A">
        <w:rPr>
          <w:rFonts w:ascii="Arial" w:hAnsi="Arial" w:cs="Arial"/>
          <w:color w:val="000000" w:themeColor="text1"/>
        </w:rPr>
        <w:t xml:space="preserve">Endophyte infected grass extracts were compared to non-infected. </w:t>
      </w:r>
      <w:r w:rsidR="00346095" w:rsidRPr="002B3D8A">
        <w:rPr>
          <w:rFonts w:ascii="Arial" w:hAnsi="Arial" w:cs="Arial"/>
          <w:color w:val="000000" w:themeColor="text1"/>
        </w:rPr>
        <w:t xml:space="preserve">Phenolic compounds tested showed a </w:t>
      </w:r>
      <w:r w:rsidR="001D2007" w:rsidRPr="002B3D8A">
        <w:rPr>
          <w:rFonts w:ascii="Arial" w:hAnsi="Arial" w:cs="Arial"/>
          <w:color w:val="000000" w:themeColor="text1"/>
        </w:rPr>
        <w:t>nematostatic</w:t>
      </w:r>
      <w:r w:rsidR="00346095" w:rsidRPr="002B3D8A">
        <w:rPr>
          <w:rFonts w:ascii="Arial" w:hAnsi="Arial" w:cs="Arial"/>
          <w:color w:val="000000" w:themeColor="text1"/>
        </w:rPr>
        <w:t xml:space="preserve"> effect where nematodes recovered after subsequent transfer and incubation in fresh water. The loline and ergot alkaloids were tested separately and results indicated that both were </w:t>
      </w:r>
      <w:r w:rsidR="00436E19" w:rsidRPr="002B3D8A">
        <w:rPr>
          <w:rFonts w:ascii="Arial" w:hAnsi="Arial" w:cs="Arial"/>
          <w:color w:val="000000" w:themeColor="text1"/>
        </w:rPr>
        <w:t>able</w:t>
      </w:r>
      <w:r w:rsidR="00346095" w:rsidRPr="002B3D8A">
        <w:rPr>
          <w:rFonts w:ascii="Arial" w:hAnsi="Arial" w:cs="Arial"/>
          <w:color w:val="000000" w:themeColor="text1"/>
        </w:rPr>
        <w:t xml:space="preserve"> to cause 100% reduction in nematode motility at 72-h exposure time. However the effect by l</w:t>
      </w:r>
      <w:r w:rsidR="001D2007" w:rsidRPr="002B3D8A">
        <w:rPr>
          <w:rFonts w:ascii="Arial" w:hAnsi="Arial" w:cs="Arial"/>
          <w:color w:val="000000" w:themeColor="text1"/>
        </w:rPr>
        <w:t>o</w:t>
      </w:r>
      <w:r w:rsidR="00346095" w:rsidRPr="002B3D8A">
        <w:rPr>
          <w:rFonts w:ascii="Arial" w:hAnsi="Arial" w:cs="Arial"/>
          <w:color w:val="000000" w:themeColor="text1"/>
        </w:rPr>
        <w:t>lines was seen to be nematostatic while the ergot had a nematicidal effect even at 5µ</w:t>
      </w:r>
      <w:r w:rsidR="001D2007" w:rsidRPr="002B3D8A">
        <w:rPr>
          <w:rFonts w:ascii="Arial" w:hAnsi="Arial" w:cs="Arial"/>
          <w:color w:val="000000" w:themeColor="text1"/>
        </w:rPr>
        <w:t>g/ml concentration</w:t>
      </w:r>
      <w:r w:rsidR="0043766A" w:rsidRPr="002B3D8A">
        <w:rPr>
          <w:rFonts w:ascii="Arial" w:hAnsi="Arial" w:cs="Arial"/>
          <w:color w:val="000000" w:themeColor="text1"/>
        </w:rPr>
        <w:t xml:space="preserve">, when the alkaloids were combined, there was an </w:t>
      </w:r>
      <w:r w:rsidR="00436E19" w:rsidRPr="002B3D8A">
        <w:rPr>
          <w:rFonts w:ascii="Arial" w:hAnsi="Arial" w:cs="Arial"/>
          <w:color w:val="000000" w:themeColor="text1"/>
        </w:rPr>
        <w:t>additive</w:t>
      </w:r>
      <w:r w:rsidR="0043766A" w:rsidRPr="002B3D8A">
        <w:rPr>
          <w:rFonts w:ascii="Arial" w:hAnsi="Arial" w:cs="Arial"/>
          <w:color w:val="000000" w:themeColor="text1"/>
        </w:rPr>
        <w:t xml:space="preserve"> effect and the effect was nematicidal indicating that they synergistically work</w:t>
      </w:r>
      <w:r w:rsidR="00436E19">
        <w:rPr>
          <w:rFonts w:ascii="Arial" w:hAnsi="Arial" w:cs="Arial"/>
          <w:color w:val="000000" w:themeColor="text1"/>
        </w:rPr>
        <w:t xml:space="preserve">ed </w:t>
      </w:r>
      <w:r w:rsidR="0043766A" w:rsidRPr="002B3D8A">
        <w:rPr>
          <w:rFonts w:ascii="Arial" w:hAnsi="Arial" w:cs="Arial"/>
          <w:color w:val="000000" w:themeColor="text1"/>
        </w:rPr>
        <w:t xml:space="preserve">for effective </w:t>
      </w:r>
      <w:r w:rsidR="00436E19" w:rsidRPr="002B3D8A">
        <w:rPr>
          <w:rFonts w:ascii="Arial" w:hAnsi="Arial" w:cs="Arial"/>
          <w:color w:val="000000" w:themeColor="text1"/>
        </w:rPr>
        <w:t>control</w:t>
      </w:r>
      <w:r w:rsidR="00436E19">
        <w:rPr>
          <w:rFonts w:ascii="Arial" w:hAnsi="Arial" w:cs="Arial"/>
          <w:color w:val="000000" w:themeColor="text1"/>
        </w:rPr>
        <w:t>.</w:t>
      </w:r>
      <w:r w:rsidR="00436E19">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{"citationItems":[{"id":"ITEM-1","itemData":{"DOI":"10.1094/PHYTO-99-12-1336","abstract":"infected tall fescue alkaloids and grass metabolites on Pratylenchus scribneri. Phytopathology 99:1336-1345. Neotyphodium coenophialum, an endophytic fungus associated with tall fescue grass, enhances host fitness and imparts pest resistance. This symbiotum is implicated in the reduction of stresses, including plant-parasitic nematodes. To substantiate this implication, toxicological effects of root extracts, polyphenolic fraction, ergot, and loline alkaloids from endophyte-infected tall fescue were investigated using Pratylenchus scribneri, a nematode pest of tall fescue. In vitro bioassays and greenhouse studies were used as tests for effects of root fractions and compounds on motility and mortality of this lesion nematode. Greenhouse studies revealed that endophyte-infected tall fescue grasses are essentially nonhosts to P. scribneri, with root populations averaging 3 to 17 nema-todes/pot, compared with 4,866 and 8,450 nematodes/pot for noninfected grasses. The in vitro assay indicated that root extracts from infected tall fescues were nematistatic. Polyphenols identified in extracts included chlorogenic acid, 3,5-dicaffeoylquinic acids, caffeic acid, and two unidentified compounds, but these were not correlated with endophyte status, qualitatively or quantitatively. Tests of several ergot alkaloids revealed that ergovaline and α-ergocryptine were nematicidal at 5 and 50 µg/ml, respectively, while ergocornine and ergonovine were nema-tistatic at most concentrations. Loline (N-formylloline), the pyrrolizidine alkaloid tested, was nematicidal (50 to 200 µg/ml). The ecological benefits of the metabolites tested here should assist in defining their role in deterring this nematode species while offering some probable mechanisms of action against plant-parasitic nematodes in general.","author":[{"dropping-particle":"","family":"Bacetty","given":"A A","non-dropping-particle":"","parse-names":false,"suffix":""},{"dropping-particle":"","family":"Snook","given":"M E","non-dropping-particle":"","parse-names":false,"suffix":""},{"dropping-particle":"","family":"Glenn","given":"A E","non-dropping-particle":"","parse-names":false,"suffix":""},{"dropping-particle":"","family":"Noe","given":"J P","non-dropping-particle":"","parse-names":false,"suffix":""},{"dropping-particle":"","family":"Hill","given":"N","non-dropping-particle":"","parse-names":false,"suffix":""},{"dropping-particle":"","family":"Culbreath","given":"A","non-dropping-particle":"","parse-names":false,"suffix":""},{"dropping-particle":"","family":"Timper","given":"P","non-dropping-particle":"","parse-names":false,"suffix":""},{"dropping-particle":"","family":"Nagabhyru","given":"P","non-dropping-particle":"","parse-names":false,"suffix":""},{"dropping-particle":"","family":"Bacon","given":"C W","non-dropping-particle":"","parse-names":false,"suffix":""}],"id":"ITEM-1","issued":{"date-parts":[["2009"]]},"title":"Toxicity of Endophyte-Infected Tall Fescue Alkaloids and Grass Metabolites on Pratylenchus scribneri","type":"article-journal"},"uris":["http://www.mendeley.com/documents/?uuid=4668834d-577e-32f5-80b5-4e2534921fa4"]}],"mendeley":{"formattedCitation":"(Bacetty &lt;i&gt;et al.&lt;/i&gt;, 2009)","plainTextFormattedCitation":"(Bacetty et al., 2009)","previouslyFormattedCitation":"(Bacetty &lt;i&gt;et al.&lt;/i&gt;, 2009)"},"properties":{"noteIndex":0},"schema":"https://github.com/citation-style-language/schema/raw/master/csl-citation.json"}</w:instrText>
      </w:r>
      <w:r w:rsidR="00436E19">
        <w:rPr>
          <w:rFonts w:ascii="Arial" w:hAnsi="Arial" w:cs="Arial"/>
          <w:color w:val="000000" w:themeColor="text1"/>
        </w:rPr>
        <w:fldChar w:fldCharType="separate"/>
      </w:r>
      <w:r w:rsidR="00A07F2C" w:rsidRPr="00A07F2C">
        <w:rPr>
          <w:rFonts w:ascii="Arial" w:hAnsi="Arial" w:cs="Arial"/>
          <w:noProof/>
          <w:color w:val="000000" w:themeColor="text1"/>
        </w:rPr>
        <w:t xml:space="preserve">(Bacetty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2009)</w:t>
      </w:r>
      <w:r w:rsidR="00436E19">
        <w:rPr>
          <w:rFonts w:ascii="Arial" w:hAnsi="Arial" w:cs="Arial"/>
          <w:color w:val="000000" w:themeColor="text1"/>
        </w:rPr>
        <w:fldChar w:fldCharType="end"/>
      </w:r>
      <w:r w:rsidR="0043766A" w:rsidRPr="002B3D8A">
        <w:rPr>
          <w:rFonts w:ascii="Arial" w:hAnsi="Arial" w:cs="Arial"/>
          <w:color w:val="000000" w:themeColor="text1"/>
        </w:rPr>
        <w:t xml:space="preserve"> </w:t>
      </w:r>
    </w:p>
    <w:p w14:paraId="5DFC7FCC" w14:textId="78F60FB3" w:rsidR="00835570" w:rsidRDefault="00AB48A9" w:rsidP="007A5447">
      <w:pPr>
        <w:pStyle w:val="paragraph"/>
        <w:spacing w:before="0" w:beforeAutospacing="0" w:after="0" w:afterAutospacing="0" w:line="360" w:lineRule="auto"/>
        <w:ind w:left="-284"/>
        <w:jc w:val="both"/>
        <w:textAlignment w:val="baseline"/>
        <w:rPr>
          <w:rFonts w:ascii="Arial" w:hAnsi="Arial" w:cs="Arial"/>
          <w:color w:val="000000" w:themeColor="text1"/>
        </w:rPr>
      </w:pPr>
      <w:r w:rsidRPr="002B3D8A">
        <w:rPr>
          <w:rFonts w:ascii="Arial" w:hAnsi="Arial" w:cs="Arial"/>
          <w:color w:val="000000" w:themeColor="text1"/>
        </w:rPr>
        <w:t>A study investigating the role of the endophyte (</w:t>
      </w:r>
      <w:r w:rsidRPr="002B3D8A">
        <w:rPr>
          <w:rFonts w:ascii="Arial" w:hAnsi="Arial" w:cs="Arial"/>
          <w:i/>
          <w:color w:val="000000" w:themeColor="text1"/>
        </w:rPr>
        <w:t>Neotyphodium coenophialum</w:t>
      </w:r>
      <w:r w:rsidRPr="002B3D8A">
        <w:rPr>
          <w:rFonts w:ascii="Arial" w:hAnsi="Arial" w:cs="Arial"/>
          <w:color w:val="000000" w:themeColor="text1"/>
        </w:rPr>
        <w:t xml:space="preserve">) in management of the root knot nematode </w:t>
      </w:r>
      <w:r w:rsidRPr="002B3D8A">
        <w:rPr>
          <w:rFonts w:ascii="Arial" w:hAnsi="Arial" w:cs="Arial"/>
          <w:i/>
          <w:color w:val="000000" w:themeColor="text1"/>
        </w:rPr>
        <w:t>Meloidogyne marylandii</w:t>
      </w:r>
      <w:r w:rsidRPr="002B3D8A">
        <w:rPr>
          <w:rFonts w:ascii="Arial" w:hAnsi="Arial" w:cs="Arial"/>
          <w:color w:val="000000" w:themeColor="text1"/>
        </w:rPr>
        <w:t>, showed that the endophyte enhanced drought tolerance of the host crop (</w:t>
      </w:r>
      <w:r w:rsidRPr="009B01D1">
        <w:rPr>
          <w:rFonts w:ascii="Arial" w:hAnsi="Arial" w:cs="Arial"/>
          <w:i/>
          <w:color w:val="000000" w:themeColor="text1"/>
        </w:rPr>
        <w:t>Festuca arundinacea</w:t>
      </w:r>
      <w:r w:rsidRPr="002B3D8A">
        <w:rPr>
          <w:rFonts w:ascii="Arial" w:hAnsi="Arial" w:cs="Arial"/>
          <w:color w:val="000000" w:themeColor="text1"/>
        </w:rPr>
        <w:t xml:space="preserve">) which contributed to the protection of the root damage by the nematode </w:t>
      </w:r>
      <w:r w:rsidR="00847B11">
        <w:rPr>
          <w:rFonts w:ascii="Arial" w:hAnsi="Arial" w:cs="Arial"/>
          <w:color w:val="000000" w:themeColor="text1"/>
        </w:rPr>
        <w:t>A pot experiment was conducted using three endophyte infection treatments and three cultivars of perennial rye grass.</w:t>
      </w:r>
      <w:r w:rsidR="00610375">
        <w:rPr>
          <w:rFonts w:ascii="Arial" w:hAnsi="Arial" w:cs="Arial"/>
          <w:color w:val="000000" w:themeColor="text1"/>
        </w:rPr>
        <w:t xml:space="preserve"> Also showed the potential f endophytes in suppression of parasitic nematodes </w:t>
      </w:r>
      <w:r w:rsidR="00610375" w:rsidRPr="00610375">
        <w:rPr>
          <w:rFonts w:ascii="Arial" w:hAnsi="Arial" w:cs="Arial"/>
          <w:i/>
          <w:color w:val="000000" w:themeColor="text1"/>
        </w:rPr>
        <w:t xml:space="preserve">Paratylenchus </w:t>
      </w:r>
      <w:r w:rsidR="00610375" w:rsidRPr="00F63475">
        <w:rPr>
          <w:rFonts w:ascii="Arial" w:hAnsi="Arial" w:cs="Arial"/>
          <w:color w:val="000000" w:themeColor="text1"/>
        </w:rPr>
        <w:t>spp</w:t>
      </w:r>
      <w:r w:rsidR="00610375">
        <w:rPr>
          <w:rFonts w:ascii="Arial" w:hAnsi="Arial" w:cs="Arial"/>
          <w:color w:val="000000" w:themeColor="text1"/>
        </w:rPr>
        <w:t xml:space="preserve"> </w:t>
      </w:r>
      <w:r w:rsidR="00847B11">
        <w:rPr>
          <w:rFonts w:ascii="Arial" w:hAnsi="Arial" w:cs="Arial"/>
          <w:color w:val="000000" w:themeColor="text1"/>
        </w:rPr>
        <w:t xml:space="preserve">Infested soil was used in this experiment and nematode population dynamics assessed. </w:t>
      </w:r>
      <w:r w:rsidR="00847B11" w:rsidRPr="00847B11">
        <w:rPr>
          <w:rFonts w:ascii="Arial" w:hAnsi="Arial" w:cs="Arial"/>
          <w:i/>
          <w:color w:val="000000" w:themeColor="text1"/>
        </w:rPr>
        <w:t>Paratylenchus</w:t>
      </w:r>
      <w:r w:rsidR="00847B11">
        <w:rPr>
          <w:rFonts w:ascii="Arial" w:hAnsi="Arial" w:cs="Arial"/>
          <w:color w:val="000000" w:themeColor="text1"/>
        </w:rPr>
        <w:t xml:space="preserve"> spp numbers were significantly higher</w:t>
      </w:r>
      <w:r w:rsidR="00990E49">
        <w:rPr>
          <w:rFonts w:ascii="Arial" w:hAnsi="Arial" w:cs="Arial"/>
          <w:color w:val="000000" w:themeColor="text1"/>
        </w:rPr>
        <w:t xml:space="preserve"> in the</w:t>
      </w:r>
      <w:r w:rsidR="00847B11">
        <w:rPr>
          <w:rFonts w:ascii="Arial" w:hAnsi="Arial" w:cs="Arial"/>
          <w:color w:val="000000" w:themeColor="text1"/>
        </w:rPr>
        <w:t xml:space="preserve"> endophyte free treatment compared to the endophyte </w:t>
      </w:r>
      <w:r w:rsidR="001F6BFB">
        <w:rPr>
          <w:rFonts w:ascii="Arial" w:hAnsi="Arial" w:cs="Arial"/>
          <w:color w:val="000000" w:themeColor="text1"/>
        </w:rPr>
        <w:t xml:space="preserve">treatment </w:t>
      </w:r>
      <w:r w:rsidR="00847B11">
        <w:rPr>
          <w:rFonts w:ascii="Arial" w:hAnsi="Arial" w:cs="Arial"/>
          <w:color w:val="000000" w:themeColor="text1"/>
        </w:rPr>
        <w:t>designated as wild type endophyte</w:t>
      </w:r>
      <w:r w:rsidR="001F6BFB">
        <w:rPr>
          <w:rFonts w:ascii="Arial" w:hAnsi="Arial" w:cs="Arial"/>
          <w:color w:val="000000" w:themeColor="text1"/>
        </w:rPr>
        <w:t xml:space="preserve"> (</w:t>
      </w:r>
      <w:r w:rsidR="001F6BFB" w:rsidRPr="001F6BFB">
        <w:rPr>
          <w:rFonts w:ascii="Arial" w:hAnsi="Arial" w:cs="Arial"/>
          <w:i/>
          <w:color w:val="000000" w:themeColor="text1"/>
        </w:rPr>
        <w:t>Neotyphodium lolii</w:t>
      </w:r>
      <w:r w:rsidR="001F6BFB">
        <w:rPr>
          <w:rFonts w:ascii="Arial" w:hAnsi="Arial" w:cs="Arial"/>
          <w:color w:val="000000" w:themeColor="text1"/>
        </w:rPr>
        <w:t>)</w:t>
      </w:r>
      <w:r w:rsidR="00847B11">
        <w:rPr>
          <w:rFonts w:ascii="Arial" w:hAnsi="Arial" w:cs="Arial"/>
          <w:color w:val="000000" w:themeColor="text1"/>
        </w:rPr>
        <w:t xml:space="preserve"> </w:t>
      </w:r>
      <w:r w:rsidR="001F6BFB">
        <w:rPr>
          <w:rFonts w:ascii="Arial" w:hAnsi="Arial" w:cs="Arial"/>
          <w:color w:val="000000" w:themeColor="text1"/>
        </w:rPr>
        <w:fldChar w:fldCharType="begin" w:fldLock="1"/>
      </w:r>
      <w:r w:rsidR="00200FF9">
        <w:rPr>
          <w:rFonts w:ascii="Arial" w:hAnsi="Arial" w:cs="Arial"/>
          <w:color w:val="000000" w:themeColor="text1"/>
        </w:rPr>
        <w:instrText>ADDIN CSL_CITATION {"citationItems":[{"id":"ITEM-1","itemData":{"DOI":"10.1080/00288233.1998.9513304","ISSN":"1175-8775","author":[{"dropping-particle":"","family":"Eerens","given":"J P J","non-dropping-particle":"","parse-names":false,"suffix":""},{"dropping-particle":"","family":"Visker","given":"M H P W","non-dropping-particle":"","parse-names":false,"suffix":""},{"dropping-particle":"","family":"Lucas","given":"R J","non-dropping-particle":"","parse-names":false,"suffix":""},{"dropping-particle":"","family":"Easton","given":"H S","non-dropping-particle":"","parse-names":false,"suffix":""},{"dropping-particle":"","family":"White","given":"J G H","non-dropping-particle":"","parse-names":false,"suffix":""}],"container-title":"New Zealand Journal of Agricultural Research","id":"ITEM-1","issue":"2","issued":{"date-parts":[["1998"]]},"page":"209-217","title":"Influence of the ryegrass endophyte (Neotyphodiumï¿¿lolii) in a cool moist environment IV. Plant parasitic nematodes","type":"article-journal","volume":"41"},"uris":["http://www.mendeley.com/documents/?uuid=7ea73acb-f1b9-357f-b840-8b4e9dbb0af2"]}],"mendeley":{"formattedCitation":"(Eerens &lt;i&gt;et al.&lt;/i&gt;, 1998)","plainTextFormattedCitation":"(Eerens et al., 1998)","previouslyFormattedCitation":"(Eerens &lt;i&gt;et al.&lt;/i&gt;, 1998)"},"properties":{"noteIndex":0},"schema":"https://github.com/citation-style-language/schema/raw/master/csl-citation.json"}</w:instrText>
      </w:r>
      <w:r w:rsidR="001F6BFB">
        <w:rPr>
          <w:rFonts w:ascii="Arial" w:hAnsi="Arial" w:cs="Arial"/>
          <w:color w:val="000000" w:themeColor="text1"/>
        </w:rPr>
        <w:fldChar w:fldCharType="separate"/>
      </w:r>
      <w:r w:rsidR="00A07F2C" w:rsidRPr="00A07F2C">
        <w:rPr>
          <w:rFonts w:ascii="Arial" w:hAnsi="Arial" w:cs="Arial"/>
          <w:noProof/>
          <w:color w:val="000000" w:themeColor="text1"/>
        </w:rPr>
        <w:t xml:space="preserve">(Eerens </w:t>
      </w:r>
      <w:r w:rsidR="00A07F2C" w:rsidRPr="00A07F2C">
        <w:rPr>
          <w:rFonts w:ascii="Arial" w:hAnsi="Arial" w:cs="Arial"/>
          <w:i/>
          <w:noProof/>
          <w:color w:val="000000" w:themeColor="text1"/>
        </w:rPr>
        <w:t>et al.</w:t>
      </w:r>
      <w:r w:rsidR="00A07F2C" w:rsidRPr="00A07F2C">
        <w:rPr>
          <w:rFonts w:ascii="Arial" w:hAnsi="Arial" w:cs="Arial"/>
          <w:noProof/>
          <w:color w:val="000000" w:themeColor="text1"/>
        </w:rPr>
        <w:t>, 1998)</w:t>
      </w:r>
      <w:r w:rsidR="001F6BFB">
        <w:rPr>
          <w:rFonts w:ascii="Arial" w:hAnsi="Arial" w:cs="Arial"/>
          <w:color w:val="000000" w:themeColor="text1"/>
        </w:rPr>
        <w:fldChar w:fldCharType="end"/>
      </w:r>
    </w:p>
    <w:p w14:paraId="20CE8948" w14:textId="66E00FBC" w:rsidR="007A5447" w:rsidRDefault="007A5447" w:rsidP="007A5447">
      <w:pPr>
        <w:pStyle w:val="paragraph"/>
        <w:spacing w:before="0" w:beforeAutospacing="0" w:after="0" w:afterAutospacing="0" w:line="360" w:lineRule="auto"/>
        <w:ind w:left="-284"/>
        <w:jc w:val="both"/>
        <w:textAlignment w:val="baseline"/>
        <w:rPr>
          <w:rFonts w:ascii="Arial" w:hAnsi="Arial" w:cs="Arial"/>
          <w:color w:val="000000" w:themeColor="text1"/>
        </w:rPr>
      </w:pPr>
    </w:p>
    <w:p w14:paraId="4B3B9FE5" w14:textId="77777777" w:rsidR="007A5447" w:rsidRDefault="007A5447" w:rsidP="00616CDC">
      <w:pPr>
        <w:pStyle w:val="paragraph"/>
        <w:spacing w:before="0" w:beforeAutospacing="0" w:after="0" w:afterAutospacing="0" w:line="360" w:lineRule="auto"/>
        <w:jc w:val="both"/>
        <w:textAlignment w:val="baseline"/>
        <w:rPr>
          <w:rFonts w:ascii="Arial" w:hAnsi="Arial" w:cs="Arial"/>
          <w:color w:val="000000" w:themeColor="text1"/>
        </w:rPr>
        <w:sectPr w:rsidR="007A5447" w:rsidSect="002572CD">
          <w:pgSz w:w="11906" w:h="16838"/>
          <w:pgMar w:top="1440" w:right="1440" w:bottom="1440" w:left="1440" w:header="708" w:footer="708" w:gutter="0"/>
          <w:cols w:space="708"/>
          <w:docGrid w:linePitch="360"/>
        </w:sectPr>
      </w:pPr>
    </w:p>
    <w:p w14:paraId="28CA585E" w14:textId="72DF3A59" w:rsidR="00755766" w:rsidRPr="002B3D8A" w:rsidRDefault="003C6C7F" w:rsidP="00616CDC">
      <w:pPr>
        <w:pStyle w:val="Heading2"/>
        <w:spacing w:line="360" w:lineRule="auto"/>
        <w:ind w:left="-284"/>
        <w:rPr>
          <w:rFonts w:ascii="Arial" w:hAnsi="Arial" w:cs="Arial"/>
          <w:b/>
          <w:color w:val="000000" w:themeColor="text1"/>
          <w:sz w:val="24"/>
          <w:szCs w:val="24"/>
        </w:rPr>
      </w:pPr>
      <w:bookmarkStart w:id="38" w:name="_Toc110341287"/>
      <w:r w:rsidRPr="002B3D8A">
        <w:rPr>
          <w:rFonts w:ascii="Arial" w:hAnsi="Arial" w:cs="Arial"/>
          <w:b/>
          <w:color w:val="000000" w:themeColor="text1"/>
          <w:sz w:val="24"/>
          <w:szCs w:val="24"/>
        </w:rPr>
        <w:lastRenderedPageBreak/>
        <w:t>1.4</w:t>
      </w:r>
      <w:r w:rsidR="002E4CF3" w:rsidRPr="002B3D8A">
        <w:rPr>
          <w:rFonts w:ascii="Arial" w:hAnsi="Arial" w:cs="Arial"/>
          <w:b/>
          <w:color w:val="000000" w:themeColor="text1"/>
          <w:sz w:val="24"/>
          <w:szCs w:val="24"/>
        </w:rPr>
        <w:t xml:space="preserve"> </w:t>
      </w:r>
      <w:r w:rsidR="001B7D1E" w:rsidRPr="002B3D8A">
        <w:rPr>
          <w:rFonts w:ascii="Arial" w:hAnsi="Arial" w:cs="Arial"/>
          <w:b/>
          <w:color w:val="000000" w:themeColor="text1"/>
          <w:sz w:val="24"/>
          <w:szCs w:val="24"/>
        </w:rPr>
        <w:t>Conclusion</w:t>
      </w:r>
      <w:bookmarkEnd w:id="38"/>
      <w:r w:rsidR="001B7D1E" w:rsidRPr="002B3D8A">
        <w:rPr>
          <w:rFonts w:ascii="Arial" w:hAnsi="Arial" w:cs="Arial"/>
          <w:b/>
          <w:color w:val="000000" w:themeColor="text1"/>
          <w:sz w:val="24"/>
          <w:szCs w:val="24"/>
        </w:rPr>
        <w:t xml:space="preserve"> </w:t>
      </w:r>
    </w:p>
    <w:p w14:paraId="6C4B4514" w14:textId="0E818E7C" w:rsidR="006E310F" w:rsidRPr="002B3D8A" w:rsidRDefault="006E310F" w:rsidP="00616CDC">
      <w:pPr>
        <w:spacing w:line="360" w:lineRule="auto"/>
        <w:ind w:left="-426"/>
        <w:jc w:val="both"/>
        <w:rPr>
          <w:rFonts w:ascii="Arial" w:hAnsi="Arial" w:cs="Arial"/>
          <w:color w:val="000000" w:themeColor="text1"/>
          <w:sz w:val="24"/>
          <w:szCs w:val="24"/>
        </w:rPr>
      </w:pPr>
      <w:r w:rsidRPr="002B3D8A">
        <w:rPr>
          <w:rFonts w:ascii="Arial" w:hAnsi="Arial" w:cs="Arial"/>
          <w:color w:val="000000" w:themeColor="text1"/>
          <w:sz w:val="24"/>
          <w:szCs w:val="24"/>
        </w:rPr>
        <w:t xml:space="preserve">From the literature </w:t>
      </w:r>
      <w:r w:rsidR="00990E49">
        <w:rPr>
          <w:rFonts w:ascii="Arial" w:hAnsi="Arial" w:cs="Arial"/>
          <w:color w:val="000000" w:themeColor="text1"/>
          <w:sz w:val="24"/>
          <w:szCs w:val="24"/>
        </w:rPr>
        <w:t>discussed</w:t>
      </w:r>
      <w:r w:rsidRPr="002B3D8A">
        <w:rPr>
          <w:rFonts w:ascii="Arial" w:hAnsi="Arial" w:cs="Arial"/>
          <w:color w:val="000000" w:themeColor="text1"/>
          <w:sz w:val="24"/>
          <w:szCs w:val="24"/>
        </w:rPr>
        <w:t xml:space="preserve">, cover crops obtained from diverse plant families have been shown to be </w:t>
      </w:r>
      <w:r w:rsidR="00610375">
        <w:rPr>
          <w:rFonts w:ascii="Arial" w:hAnsi="Arial" w:cs="Arial"/>
          <w:color w:val="000000" w:themeColor="text1"/>
          <w:sz w:val="24"/>
          <w:szCs w:val="24"/>
        </w:rPr>
        <w:t xml:space="preserve">potential in management of </w:t>
      </w:r>
      <w:r w:rsidRPr="002B3D8A">
        <w:rPr>
          <w:rFonts w:ascii="Arial" w:hAnsi="Arial" w:cs="Arial"/>
          <w:color w:val="000000" w:themeColor="text1"/>
          <w:sz w:val="24"/>
          <w:szCs w:val="24"/>
        </w:rPr>
        <w:t xml:space="preserve">different nematode species. Most of the knowledge covers endoparasitic </w:t>
      </w:r>
      <w:r w:rsidR="005634C2" w:rsidRPr="002B3D8A">
        <w:rPr>
          <w:rFonts w:ascii="Arial" w:hAnsi="Arial" w:cs="Arial"/>
          <w:color w:val="000000" w:themeColor="text1"/>
          <w:sz w:val="24"/>
          <w:szCs w:val="24"/>
        </w:rPr>
        <w:t xml:space="preserve">and migratory endoparasitic nematodes e.g. root knot nematodes </w:t>
      </w:r>
      <w:r w:rsidR="006E49E2">
        <w:rPr>
          <w:rFonts w:ascii="Arial" w:hAnsi="Arial" w:cs="Arial"/>
          <w:color w:val="000000" w:themeColor="text1"/>
          <w:sz w:val="24"/>
          <w:szCs w:val="24"/>
        </w:rPr>
        <w:t>(</w:t>
      </w:r>
      <w:r w:rsidR="004A7DDE" w:rsidRPr="006E49E2">
        <w:rPr>
          <w:rFonts w:ascii="Arial" w:hAnsi="Arial" w:cs="Arial"/>
          <w:i/>
          <w:color w:val="000000" w:themeColor="text1"/>
          <w:sz w:val="24"/>
          <w:szCs w:val="24"/>
        </w:rPr>
        <w:t>Meloidogyne</w:t>
      </w:r>
      <w:r w:rsidR="005634C2" w:rsidRPr="002B3D8A">
        <w:rPr>
          <w:rFonts w:ascii="Arial" w:hAnsi="Arial" w:cs="Arial"/>
          <w:color w:val="000000" w:themeColor="text1"/>
          <w:sz w:val="24"/>
          <w:szCs w:val="24"/>
        </w:rPr>
        <w:t xml:space="preserve"> </w:t>
      </w:r>
      <w:r w:rsidR="004A7DDE" w:rsidRPr="002B3D8A">
        <w:rPr>
          <w:rFonts w:ascii="Arial" w:hAnsi="Arial" w:cs="Arial"/>
          <w:color w:val="000000" w:themeColor="text1"/>
          <w:sz w:val="24"/>
          <w:szCs w:val="24"/>
        </w:rPr>
        <w:t>spp</w:t>
      </w:r>
      <w:r w:rsidR="006E49E2">
        <w:rPr>
          <w:rFonts w:ascii="Arial" w:hAnsi="Arial" w:cs="Arial"/>
          <w:color w:val="000000" w:themeColor="text1"/>
          <w:sz w:val="24"/>
          <w:szCs w:val="24"/>
        </w:rPr>
        <w:t>),</w:t>
      </w:r>
      <w:r w:rsidR="005634C2" w:rsidRPr="002B3D8A">
        <w:rPr>
          <w:rFonts w:ascii="Arial" w:hAnsi="Arial" w:cs="Arial"/>
          <w:color w:val="000000" w:themeColor="text1"/>
          <w:sz w:val="24"/>
          <w:szCs w:val="24"/>
        </w:rPr>
        <w:t xml:space="preserve"> cyst nematodes </w:t>
      </w:r>
      <w:r w:rsidR="006E49E2" w:rsidRPr="002B3D8A">
        <w:rPr>
          <w:rFonts w:ascii="Arial" w:hAnsi="Arial" w:cs="Arial"/>
          <w:color w:val="000000" w:themeColor="text1"/>
          <w:sz w:val="24"/>
          <w:szCs w:val="24"/>
        </w:rPr>
        <w:t>(</w:t>
      </w:r>
      <w:r w:rsidR="006E49E2" w:rsidRPr="006E49E2">
        <w:rPr>
          <w:rFonts w:ascii="Arial" w:hAnsi="Arial" w:cs="Arial"/>
          <w:i/>
          <w:color w:val="000000" w:themeColor="text1"/>
          <w:sz w:val="24"/>
          <w:szCs w:val="24"/>
        </w:rPr>
        <w:t>Globodera</w:t>
      </w:r>
      <w:r w:rsidR="005634C2" w:rsidRPr="002B3D8A">
        <w:rPr>
          <w:rFonts w:ascii="Arial" w:hAnsi="Arial" w:cs="Arial"/>
          <w:i/>
          <w:color w:val="000000" w:themeColor="text1"/>
          <w:sz w:val="24"/>
          <w:szCs w:val="24"/>
        </w:rPr>
        <w:t xml:space="preserve"> </w:t>
      </w:r>
      <w:r w:rsidR="005634C2" w:rsidRPr="002B3D8A">
        <w:rPr>
          <w:rFonts w:ascii="Arial" w:hAnsi="Arial" w:cs="Arial"/>
          <w:color w:val="000000" w:themeColor="text1"/>
          <w:sz w:val="24"/>
          <w:szCs w:val="24"/>
        </w:rPr>
        <w:t xml:space="preserve">and </w:t>
      </w:r>
      <w:r w:rsidR="005634C2" w:rsidRPr="002B3D8A">
        <w:rPr>
          <w:rFonts w:ascii="Arial" w:hAnsi="Arial" w:cs="Arial"/>
          <w:i/>
          <w:color w:val="000000" w:themeColor="text1"/>
          <w:sz w:val="24"/>
          <w:szCs w:val="24"/>
        </w:rPr>
        <w:t>Heterodera</w:t>
      </w:r>
      <w:r w:rsidR="005634C2" w:rsidRPr="002B3D8A">
        <w:rPr>
          <w:rFonts w:ascii="Arial" w:hAnsi="Arial" w:cs="Arial"/>
          <w:color w:val="000000" w:themeColor="text1"/>
          <w:sz w:val="24"/>
          <w:szCs w:val="24"/>
        </w:rPr>
        <w:t xml:space="preserve"> spp) and </w:t>
      </w:r>
      <w:r w:rsidR="008E5878">
        <w:rPr>
          <w:rFonts w:ascii="Arial" w:hAnsi="Arial" w:cs="Arial"/>
          <w:color w:val="000000" w:themeColor="text1"/>
          <w:sz w:val="24"/>
          <w:szCs w:val="24"/>
        </w:rPr>
        <w:t xml:space="preserve">root lesion nematodes </w:t>
      </w:r>
      <w:r w:rsidR="004F14E8" w:rsidRPr="002B3D8A">
        <w:rPr>
          <w:rFonts w:ascii="Arial" w:hAnsi="Arial" w:cs="Arial"/>
          <w:color w:val="000000" w:themeColor="text1"/>
          <w:sz w:val="24"/>
          <w:szCs w:val="24"/>
        </w:rPr>
        <w:t>(</w:t>
      </w:r>
      <w:r w:rsidR="004F14E8" w:rsidRPr="002B3D8A">
        <w:rPr>
          <w:rFonts w:ascii="Arial" w:hAnsi="Arial" w:cs="Arial"/>
          <w:i/>
          <w:color w:val="000000" w:themeColor="text1"/>
          <w:sz w:val="24"/>
          <w:szCs w:val="24"/>
        </w:rPr>
        <w:t>Pratylenchus</w:t>
      </w:r>
      <w:r w:rsidR="004F14E8" w:rsidRPr="002B3D8A">
        <w:rPr>
          <w:rFonts w:ascii="Arial" w:hAnsi="Arial" w:cs="Arial"/>
          <w:color w:val="000000" w:themeColor="text1"/>
          <w:sz w:val="24"/>
          <w:szCs w:val="24"/>
        </w:rPr>
        <w:t xml:space="preserve"> spp)</w:t>
      </w:r>
      <w:r w:rsidRPr="002B3D8A">
        <w:rPr>
          <w:rFonts w:ascii="Arial" w:hAnsi="Arial" w:cs="Arial"/>
          <w:color w:val="000000" w:themeColor="text1"/>
          <w:sz w:val="24"/>
          <w:szCs w:val="24"/>
        </w:rPr>
        <w:t>. Limited</w:t>
      </w:r>
      <w:r w:rsidR="001B7D1E" w:rsidRPr="002B3D8A">
        <w:rPr>
          <w:rFonts w:ascii="Arial" w:hAnsi="Arial" w:cs="Arial"/>
          <w:color w:val="000000" w:themeColor="text1"/>
          <w:sz w:val="24"/>
          <w:szCs w:val="24"/>
        </w:rPr>
        <w:t xml:space="preserve"> information exists </w:t>
      </w:r>
      <w:r w:rsidRPr="002B3D8A">
        <w:rPr>
          <w:rFonts w:ascii="Arial" w:hAnsi="Arial" w:cs="Arial"/>
          <w:color w:val="000000" w:themeColor="text1"/>
          <w:sz w:val="24"/>
          <w:szCs w:val="24"/>
        </w:rPr>
        <w:t xml:space="preserve">on use of cover crops in management of free living ectoparasitic nematodes, despite their huge contribution to yield loss. </w:t>
      </w:r>
      <w:r w:rsidR="002E4CF3" w:rsidRPr="002B3D8A">
        <w:rPr>
          <w:rFonts w:ascii="Arial" w:hAnsi="Arial" w:cs="Arial"/>
          <w:color w:val="000000" w:themeColor="text1"/>
          <w:sz w:val="24"/>
          <w:szCs w:val="24"/>
        </w:rPr>
        <w:t>C</w:t>
      </w:r>
      <w:r w:rsidR="001B7D1E" w:rsidRPr="002B3D8A">
        <w:rPr>
          <w:rFonts w:ascii="Arial" w:hAnsi="Arial" w:cs="Arial"/>
          <w:color w:val="000000" w:themeColor="text1"/>
          <w:sz w:val="24"/>
          <w:szCs w:val="24"/>
        </w:rPr>
        <w:t>urrently, there is much speculation over the impact of cover cropping on free-living PPN species. Several seed suppliers claim that their cultivars will reduce nematodes, but there is also some anecdotal feedback to suggest the contrary. It is possible that the confusion is due to generalisation and a lack of knowledge about specific nematode-plant interactions. However, there is little, if any, research conducted with UK sugar beet crops to support appropriate use of cover crops for this purpose. The stubby root nematodes (</w:t>
      </w:r>
      <w:r w:rsidR="001B7D1E" w:rsidRPr="002B3D8A">
        <w:rPr>
          <w:rFonts w:ascii="Arial" w:hAnsi="Arial" w:cs="Arial"/>
          <w:i/>
          <w:color w:val="000000" w:themeColor="text1"/>
          <w:sz w:val="24"/>
          <w:szCs w:val="24"/>
        </w:rPr>
        <w:t>Trichodorus</w:t>
      </w:r>
      <w:r w:rsidR="001B7D1E" w:rsidRPr="002B3D8A">
        <w:rPr>
          <w:rFonts w:ascii="Arial" w:hAnsi="Arial" w:cs="Arial"/>
          <w:color w:val="000000" w:themeColor="text1"/>
          <w:sz w:val="24"/>
          <w:szCs w:val="24"/>
        </w:rPr>
        <w:t xml:space="preserve"> and </w:t>
      </w:r>
      <w:r w:rsidR="001B7D1E" w:rsidRPr="002B3D8A">
        <w:rPr>
          <w:rFonts w:ascii="Arial" w:hAnsi="Arial" w:cs="Arial"/>
          <w:i/>
          <w:color w:val="000000" w:themeColor="text1"/>
          <w:sz w:val="24"/>
          <w:szCs w:val="24"/>
        </w:rPr>
        <w:t>Paratrichodorus</w:t>
      </w:r>
      <w:r w:rsidR="001B7D1E" w:rsidRPr="002B3D8A">
        <w:rPr>
          <w:rFonts w:ascii="Arial" w:hAnsi="Arial" w:cs="Arial"/>
          <w:color w:val="000000" w:themeColor="text1"/>
          <w:sz w:val="24"/>
          <w:szCs w:val="24"/>
        </w:rPr>
        <w:t xml:space="preserve"> spp) have a wide host range</w:t>
      </w:r>
      <w:r w:rsidR="00E61D4E" w:rsidRPr="002B3D8A">
        <w:rPr>
          <w:rFonts w:ascii="Arial" w:hAnsi="Arial" w:cs="Arial"/>
          <w:color w:val="000000" w:themeColor="text1"/>
          <w:sz w:val="24"/>
          <w:szCs w:val="24"/>
        </w:rPr>
        <w:t>. The</w:t>
      </w:r>
      <w:r w:rsidR="001B7D1E" w:rsidRPr="002B3D8A">
        <w:rPr>
          <w:rFonts w:ascii="Arial" w:hAnsi="Arial" w:cs="Arial"/>
          <w:color w:val="000000" w:themeColor="text1"/>
          <w:sz w:val="24"/>
          <w:szCs w:val="24"/>
        </w:rPr>
        <w:t xml:space="preserve"> research will focus on development of multiple nematode management strategies that can be recommended in an integrated nematode management programme to sugar beet growers. The research will explore the use of cover crop species and</w:t>
      </w:r>
      <w:r w:rsidR="00E61D4E" w:rsidRPr="002B3D8A">
        <w:rPr>
          <w:rFonts w:ascii="Arial" w:hAnsi="Arial" w:cs="Arial"/>
          <w:color w:val="000000" w:themeColor="text1"/>
          <w:sz w:val="24"/>
          <w:szCs w:val="24"/>
        </w:rPr>
        <w:t xml:space="preserve"> fungal endophytes in suppression </w:t>
      </w:r>
      <w:r w:rsidR="001B7D1E" w:rsidRPr="002B3D8A">
        <w:rPr>
          <w:rFonts w:ascii="Arial" w:hAnsi="Arial" w:cs="Arial"/>
          <w:color w:val="000000" w:themeColor="text1"/>
          <w:sz w:val="24"/>
          <w:szCs w:val="24"/>
        </w:rPr>
        <w:t>of</w:t>
      </w:r>
      <w:r w:rsidR="00E61D4E" w:rsidRPr="002B3D8A">
        <w:rPr>
          <w:rFonts w:ascii="Arial" w:hAnsi="Arial" w:cs="Arial"/>
          <w:color w:val="000000" w:themeColor="text1"/>
          <w:sz w:val="24"/>
          <w:szCs w:val="24"/>
        </w:rPr>
        <w:t xml:space="preserve"> SRN</w:t>
      </w:r>
      <w:r w:rsidR="001B7D1E" w:rsidRPr="002B3D8A">
        <w:rPr>
          <w:rFonts w:ascii="Arial" w:hAnsi="Arial" w:cs="Arial"/>
          <w:color w:val="000000" w:themeColor="text1"/>
          <w:sz w:val="24"/>
          <w:szCs w:val="24"/>
        </w:rPr>
        <w:t>. Cover crops may reduce nematode population densities through being poor hosts (trap crops), biofumigants (certain brassica species) or releasing toxic compounds from their roots (allelopathy) (Ntalli &amp; Caboni, 2017). Such mechanisms of suppression require thorough investigation. Integrating endophytes with cover crop species will also be investigated. Exploration of integrated management of cover crops and endophytes will be key in development of a strategy that has multiple mode of actions against mixed populations of free-living parasitic nematodes occurring in sugar beet fiel</w:t>
      </w:r>
      <w:r w:rsidR="00E61D4E" w:rsidRPr="002B3D8A">
        <w:rPr>
          <w:rFonts w:ascii="Arial" w:hAnsi="Arial" w:cs="Arial"/>
          <w:color w:val="000000" w:themeColor="text1"/>
          <w:sz w:val="24"/>
          <w:szCs w:val="24"/>
        </w:rPr>
        <w:t>ds</w:t>
      </w:r>
      <w:r w:rsidR="005A4A01" w:rsidRPr="002B3D8A">
        <w:rPr>
          <w:rFonts w:ascii="Arial" w:hAnsi="Arial" w:cs="Arial"/>
          <w:color w:val="000000" w:themeColor="text1"/>
          <w:sz w:val="24"/>
          <w:szCs w:val="24"/>
        </w:rPr>
        <w:t>. Study objectives of the research will include:</w:t>
      </w:r>
    </w:p>
    <w:p w14:paraId="115C940A" w14:textId="453B09F6" w:rsidR="005A4A01" w:rsidRPr="002B3D8A" w:rsidRDefault="005A4A01" w:rsidP="003C629E">
      <w:pPr>
        <w:pStyle w:val="ListParagraph"/>
        <w:numPr>
          <w:ilvl w:val="0"/>
          <w:numId w:val="31"/>
        </w:numPr>
        <w:spacing w:after="0" w:line="360" w:lineRule="auto"/>
        <w:jc w:val="both"/>
        <w:rPr>
          <w:rFonts w:ascii="Arial" w:hAnsi="Arial" w:cs="Arial"/>
          <w:color w:val="000000" w:themeColor="text1"/>
          <w:sz w:val="24"/>
          <w:szCs w:val="24"/>
        </w:rPr>
      </w:pPr>
      <w:r w:rsidRPr="002B3D8A">
        <w:rPr>
          <w:rFonts w:ascii="Arial" w:hAnsi="Arial" w:cs="Arial"/>
          <w:color w:val="000000" w:themeColor="text1"/>
          <w:sz w:val="24"/>
          <w:szCs w:val="24"/>
        </w:rPr>
        <w:t xml:space="preserve">Formulation of a list of </w:t>
      </w:r>
      <w:r w:rsidR="00021EF8" w:rsidRPr="002B3D8A">
        <w:rPr>
          <w:rFonts w:ascii="Arial" w:hAnsi="Arial" w:cs="Arial"/>
          <w:color w:val="000000" w:themeColor="text1"/>
          <w:sz w:val="24"/>
          <w:szCs w:val="24"/>
        </w:rPr>
        <w:t>candidates</w:t>
      </w:r>
      <w:r w:rsidRPr="002B3D8A">
        <w:rPr>
          <w:rFonts w:ascii="Arial" w:hAnsi="Arial" w:cs="Arial"/>
          <w:color w:val="000000" w:themeColor="text1"/>
          <w:sz w:val="24"/>
          <w:szCs w:val="24"/>
        </w:rPr>
        <w:t xml:space="preserve"> cover crop species, based on commercially available cover crops and</w:t>
      </w:r>
      <w:r w:rsidR="00021EF8" w:rsidRPr="002B3D8A">
        <w:rPr>
          <w:rFonts w:ascii="Arial" w:hAnsi="Arial" w:cs="Arial"/>
          <w:color w:val="000000" w:themeColor="text1"/>
          <w:sz w:val="24"/>
          <w:szCs w:val="24"/>
        </w:rPr>
        <w:t xml:space="preserve"> host status of the cover crop</w:t>
      </w:r>
      <w:r w:rsidRPr="002B3D8A">
        <w:rPr>
          <w:rFonts w:ascii="Arial" w:hAnsi="Arial" w:cs="Arial"/>
          <w:color w:val="000000" w:themeColor="text1"/>
          <w:sz w:val="24"/>
          <w:szCs w:val="24"/>
        </w:rPr>
        <w:t xml:space="preserve"> the literature.</w:t>
      </w:r>
    </w:p>
    <w:p w14:paraId="0C7F71C1" w14:textId="1B43ECC3" w:rsidR="005A4A01" w:rsidRPr="002B3D8A" w:rsidRDefault="005A4A01" w:rsidP="003C629E">
      <w:pPr>
        <w:pStyle w:val="ListParagraph"/>
        <w:numPr>
          <w:ilvl w:val="0"/>
          <w:numId w:val="31"/>
        </w:numPr>
        <w:spacing w:after="0" w:line="360" w:lineRule="auto"/>
        <w:jc w:val="both"/>
        <w:rPr>
          <w:rFonts w:ascii="Arial" w:hAnsi="Arial" w:cs="Arial"/>
          <w:color w:val="000000" w:themeColor="text1"/>
          <w:sz w:val="24"/>
          <w:szCs w:val="24"/>
        </w:rPr>
      </w:pPr>
      <w:r w:rsidRPr="002B3D8A">
        <w:rPr>
          <w:rFonts w:ascii="Arial" w:hAnsi="Arial" w:cs="Arial"/>
          <w:color w:val="000000" w:themeColor="text1"/>
          <w:sz w:val="24"/>
          <w:szCs w:val="24"/>
        </w:rPr>
        <w:t xml:space="preserve">Conduct glasshouse experiments on hosts status of the candidate cover crop species </w:t>
      </w:r>
      <w:r w:rsidR="003C629E" w:rsidRPr="002B3D8A">
        <w:rPr>
          <w:rFonts w:ascii="Arial" w:hAnsi="Arial" w:cs="Arial"/>
          <w:color w:val="000000" w:themeColor="text1"/>
          <w:sz w:val="24"/>
          <w:szCs w:val="24"/>
        </w:rPr>
        <w:t xml:space="preserve">by assessing nematode reproduction before and after planting of the cover crops </w:t>
      </w:r>
    </w:p>
    <w:p w14:paraId="5012EDA8" w14:textId="77777777" w:rsidR="00F52458" w:rsidRDefault="003C629E" w:rsidP="00C13E47">
      <w:pPr>
        <w:pStyle w:val="ListParagraph"/>
        <w:numPr>
          <w:ilvl w:val="0"/>
          <w:numId w:val="31"/>
        </w:numPr>
        <w:spacing w:after="0" w:line="360" w:lineRule="auto"/>
        <w:jc w:val="both"/>
        <w:rPr>
          <w:rFonts w:ascii="Arial" w:eastAsia="Calibri" w:hAnsi="Arial" w:cs="Arial"/>
          <w:color w:val="000000" w:themeColor="text1"/>
          <w:sz w:val="24"/>
          <w:szCs w:val="24"/>
        </w:rPr>
        <w:sectPr w:rsidR="00F52458" w:rsidSect="002572CD">
          <w:pgSz w:w="11906" w:h="16838"/>
          <w:pgMar w:top="1440" w:right="1440" w:bottom="1440" w:left="1440" w:header="708" w:footer="708" w:gutter="0"/>
          <w:cols w:space="708"/>
          <w:docGrid w:linePitch="360"/>
        </w:sectPr>
      </w:pPr>
      <w:r w:rsidRPr="002B3D8A">
        <w:rPr>
          <w:rFonts w:ascii="Arial" w:hAnsi="Arial" w:cs="Arial"/>
          <w:color w:val="000000" w:themeColor="text1"/>
          <w:sz w:val="24"/>
          <w:szCs w:val="24"/>
        </w:rPr>
        <w:t xml:space="preserve">Conduct field experiments to assess the performance of cover crop species in suppression of stubby root by </w:t>
      </w:r>
      <w:r w:rsidRPr="002B3D8A">
        <w:rPr>
          <w:rFonts w:ascii="Arial" w:eastAsia="Calibri" w:hAnsi="Arial" w:cs="Arial"/>
          <w:color w:val="000000" w:themeColor="text1"/>
          <w:sz w:val="24"/>
          <w:szCs w:val="24"/>
        </w:rPr>
        <w:t xml:space="preserve">comparing population dynamics of the nematodes before, during and after cover crop </w:t>
      </w:r>
      <w:r w:rsidR="00CC659C" w:rsidRPr="002B3D8A">
        <w:rPr>
          <w:rFonts w:ascii="Arial" w:eastAsia="Calibri" w:hAnsi="Arial" w:cs="Arial"/>
          <w:color w:val="000000" w:themeColor="text1"/>
          <w:sz w:val="24"/>
          <w:szCs w:val="24"/>
        </w:rPr>
        <w:t xml:space="preserve">maceration and incorporation. </w:t>
      </w:r>
    </w:p>
    <w:p w14:paraId="656C3BE3" w14:textId="3AD350C6" w:rsidR="00D51EF9" w:rsidRPr="002B3D8A" w:rsidRDefault="003C6C7F" w:rsidP="006E49E2">
      <w:pPr>
        <w:pStyle w:val="Heading1"/>
        <w:spacing w:line="360" w:lineRule="auto"/>
        <w:rPr>
          <w:rFonts w:ascii="Arial" w:hAnsi="Arial" w:cs="Arial"/>
          <w:b/>
          <w:color w:val="000000" w:themeColor="text1"/>
          <w:sz w:val="24"/>
          <w:szCs w:val="24"/>
        </w:rPr>
      </w:pPr>
      <w:bookmarkStart w:id="39" w:name="_Toc110341288"/>
      <w:r w:rsidRPr="002B3D8A">
        <w:rPr>
          <w:rFonts w:ascii="Arial" w:hAnsi="Arial" w:cs="Arial"/>
          <w:b/>
          <w:color w:val="000000" w:themeColor="text1"/>
          <w:sz w:val="24"/>
          <w:szCs w:val="24"/>
        </w:rPr>
        <w:lastRenderedPageBreak/>
        <w:t xml:space="preserve">2. </w:t>
      </w:r>
      <w:r w:rsidR="00D51EF9" w:rsidRPr="002B3D8A">
        <w:rPr>
          <w:rFonts w:ascii="Arial" w:hAnsi="Arial" w:cs="Arial"/>
          <w:b/>
          <w:color w:val="000000" w:themeColor="text1"/>
          <w:sz w:val="24"/>
          <w:szCs w:val="24"/>
        </w:rPr>
        <w:t>Data and methods</w:t>
      </w:r>
      <w:bookmarkEnd w:id="39"/>
      <w:r w:rsidR="00D51EF9" w:rsidRPr="002B3D8A">
        <w:rPr>
          <w:rFonts w:ascii="Arial" w:hAnsi="Arial" w:cs="Arial"/>
          <w:b/>
          <w:color w:val="000000" w:themeColor="text1"/>
          <w:sz w:val="24"/>
          <w:szCs w:val="24"/>
        </w:rPr>
        <w:t xml:space="preserve"> </w:t>
      </w:r>
    </w:p>
    <w:p w14:paraId="3A743364" w14:textId="1746F557" w:rsidR="009E2583" w:rsidRPr="0040026F" w:rsidRDefault="00DC6A48" w:rsidP="0040026F">
      <w:pPr>
        <w:pStyle w:val="Heading2"/>
        <w:spacing w:line="360" w:lineRule="auto"/>
        <w:rPr>
          <w:rFonts w:ascii="Arial" w:hAnsi="Arial" w:cs="Arial"/>
          <w:b/>
          <w:color w:val="000000" w:themeColor="text1"/>
          <w:sz w:val="24"/>
          <w:szCs w:val="24"/>
        </w:rPr>
      </w:pPr>
      <w:r w:rsidRPr="0040026F">
        <w:rPr>
          <w:rFonts w:ascii="Arial" w:hAnsi="Arial" w:cs="Arial"/>
          <w:color w:val="000000" w:themeColor="text1"/>
          <w:sz w:val="24"/>
          <w:szCs w:val="24"/>
        </w:rPr>
        <w:t xml:space="preserve"> </w:t>
      </w:r>
      <w:bookmarkStart w:id="40" w:name="_Toc110341289"/>
      <w:r w:rsidR="003C6C7F" w:rsidRPr="0040026F">
        <w:rPr>
          <w:rFonts w:ascii="Arial" w:hAnsi="Arial" w:cs="Arial"/>
          <w:b/>
          <w:color w:val="000000" w:themeColor="text1"/>
          <w:sz w:val="24"/>
          <w:szCs w:val="24"/>
        </w:rPr>
        <w:t>2</w:t>
      </w:r>
      <w:r w:rsidRPr="0040026F">
        <w:rPr>
          <w:rFonts w:ascii="Arial" w:hAnsi="Arial" w:cs="Arial"/>
          <w:b/>
          <w:color w:val="000000" w:themeColor="text1"/>
          <w:sz w:val="24"/>
          <w:szCs w:val="24"/>
        </w:rPr>
        <w:t>.0 Introduction to data and methods</w:t>
      </w:r>
      <w:bookmarkEnd w:id="40"/>
      <w:r w:rsidRPr="0040026F">
        <w:rPr>
          <w:rFonts w:ascii="Arial" w:hAnsi="Arial" w:cs="Arial"/>
          <w:b/>
          <w:color w:val="000000" w:themeColor="text1"/>
          <w:sz w:val="24"/>
          <w:szCs w:val="24"/>
        </w:rPr>
        <w:t xml:space="preserve"> </w:t>
      </w:r>
    </w:p>
    <w:p w14:paraId="5733802D" w14:textId="0AA763A0" w:rsidR="007A5447" w:rsidRPr="00616CDC" w:rsidRDefault="009F1CB5" w:rsidP="0040026F">
      <w:pPr>
        <w:spacing w:line="360" w:lineRule="auto"/>
        <w:ind w:left="-426"/>
        <w:jc w:val="both"/>
        <w:rPr>
          <w:rFonts w:ascii="Arial" w:hAnsi="Arial" w:cs="Arial"/>
          <w:sz w:val="24"/>
          <w:szCs w:val="24"/>
        </w:rPr>
      </w:pPr>
      <w:r w:rsidRPr="00616CDC">
        <w:rPr>
          <w:rFonts w:ascii="Arial" w:hAnsi="Arial" w:cs="Arial"/>
          <w:sz w:val="24"/>
          <w:szCs w:val="24"/>
        </w:rPr>
        <w:t>To investigate the</w:t>
      </w:r>
      <w:r w:rsidR="00392241" w:rsidRPr="00616CDC">
        <w:rPr>
          <w:rFonts w:ascii="Arial" w:hAnsi="Arial" w:cs="Arial"/>
          <w:sz w:val="24"/>
          <w:szCs w:val="24"/>
        </w:rPr>
        <w:t xml:space="preserve"> </w:t>
      </w:r>
      <w:r w:rsidRPr="00616CDC">
        <w:rPr>
          <w:rFonts w:ascii="Arial" w:hAnsi="Arial" w:cs="Arial"/>
          <w:sz w:val="24"/>
          <w:szCs w:val="24"/>
        </w:rPr>
        <w:t>objectives, two experiments were carried out. A glasshouse experiment was conducted to screen</w:t>
      </w:r>
      <w:r w:rsidR="00AE3673" w:rsidRPr="00616CDC">
        <w:rPr>
          <w:rFonts w:ascii="Arial" w:hAnsi="Arial" w:cs="Arial"/>
          <w:sz w:val="24"/>
          <w:szCs w:val="24"/>
        </w:rPr>
        <w:t xml:space="preserve"> the host status of</w:t>
      </w:r>
      <w:r w:rsidRPr="00616CDC">
        <w:rPr>
          <w:rFonts w:ascii="Arial" w:hAnsi="Arial" w:cs="Arial"/>
          <w:sz w:val="24"/>
          <w:szCs w:val="24"/>
        </w:rPr>
        <w:t xml:space="preserve"> sixteen cover crop species from diverse plant families. The cover crops were selected based on literature review search on their host status to </w:t>
      </w:r>
      <w:r w:rsidRPr="00616CDC">
        <w:rPr>
          <w:rFonts w:ascii="Arial" w:hAnsi="Arial" w:cs="Arial"/>
          <w:i/>
          <w:sz w:val="24"/>
          <w:szCs w:val="24"/>
        </w:rPr>
        <w:t>Trichodorus</w:t>
      </w:r>
      <w:r w:rsidRPr="00616CDC">
        <w:rPr>
          <w:rFonts w:ascii="Arial" w:hAnsi="Arial" w:cs="Arial"/>
          <w:sz w:val="24"/>
          <w:szCs w:val="24"/>
        </w:rPr>
        <w:t xml:space="preserve"> and </w:t>
      </w:r>
      <w:r w:rsidRPr="00616CDC">
        <w:rPr>
          <w:rFonts w:ascii="Arial" w:hAnsi="Arial" w:cs="Arial"/>
          <w:i/>
          <w:sz w:val="24"/>
          <w:szCs w:val="24"/>
        </w:rPr>
        <w:t>Paratrichodorus</w:t>
      </w:r>
      <w:r w:rsidRPr="00616CDC">
        <w:rPr>
          <w:rFonts w:ascii="Arial" w:hAnsi="Arial" w:cs="Arial"/>
          <w:sz w:val="24"/>
          <w:szCs w:val="24"/>
        </w:rPr>
        <w:t xml:space="preserve"> spp</w:t>
      </w:r>
      <w:r w:rsidR="00392241" w:rsidRPr="00616CDC">
        <w:rPr>
          <w:rFonts w:ascii="Arial" w:hAnsi="Arial" w:cs="Arial"/>
          <w:sz w:val="24"/>
          <w:szCs w:val="24"/>
        </w:rPr>
        <w:t>.</w:t>
      </w:r>
      <w:r w:rsidR="00951187" w:rsidRPr="00616CDC">
        <w:rPr>
          <w:rFonts w:ascii="Arial" w:hAnsi="Arial" w:cs="Arial"/>
          <w:sz w:val="24"/>
          <w:szCs w:val="24"/>
        </w:rPr>
        <w:t xml:space="preserve"> as well as their commercial availability.</w:t>
      </w:r>
      <w:r w:rsidRPr="00616CDC">
        <w:rPr>
          <w:rFonts w:ascii="Arial" w:hAnsi="Arial" w:cs="Arial"/>
          <w:sz w:val="24"/>
          <w:szCs w:val="24"/>
        </w:rPr>
        <w:t xml:space="preserve"> </w:t>
      </w:r>
      <w:r w:rsidR="00392241" w:rsidRPr="00616CDC">
        <w:rPr>
          <w:rFonts w:ascii="Arial" w:hAnsi="Arial" w:cs="Arial"/>
          <w:sz w:val="24"/>
          <w:szCs w:val="24"/>
        </w:rPr>
        <w:t>For m</w:t>
      </w:r>
      <w:r w:rsidRPr="00616CDC">
        <w:rPr>
          <w:rFonts w:ascii="Arial" w:hAnsi="Arial" w:cs="Arial"/>
          <w:sz w:val="24"/>
          <w:szCs w:val="24"/>
        </w:rPr>
        <w:t>ost of the cover crops</w:t>
      </w:r>
      <w:r w:rsidR="00392241" w:rsidRPr="00616CDC">
        <w:rPr>
          <w:rFonts w:ascii="Arial" w:hAnsi="Arial" w:cs="Arial"/>
          <w:sz w:val="24"/>
          <w:szCs w:val="24"/>
        </w:rPr>
        <w:t>, the</w:t>
      </w:r>
      <w:r w:rsidRPr="00616CDC">
        <w:rPr>
          <w:rFonts w:ascii="Arial" w:hAnsi="Arial" w:cs="Arial"/>
          <w:sz w:val="24"/>
          <w:szCs w:val="24"/>
        </w:rPr>
        <w:t xml:space="preserve"> host status was u</w:t>
      </w:r>
      <w:r w:rsidR="007438BE" w:rsidRPr="00616CDC">
        <w:rPr>
          <w:rFonts w:ascii="Arial" w:hAnsi="Arial" w:cs="Arial"/>
          <w:sz w:val="24"/>
          <w:szCs w:val="24"/>
        </w:rPr>
        <w:t>n</w:t>
      </w:r>
      <w:r w:rsidRPr="00616CDC">
        <w:rPr>
          <w:rFonts w:ascii="Arial" w:hAnsi="Arial" w:cs="Arial"/>
          <w:sz w:val="24"/>
          <w:szCs w:val="24"/>
        </w:rPr>
        <w:t>known</w:t>
      </w:r>
      <w:r w:rsidR="00392241" w:rsidRPr="00616CDC">
        <w:rPr>
          <w:rFonts w:ascii="Arial" w:hAnsi="Arial" w:cs="Arial"/>
          <w:sz w:val="24"/>
          <w:szCs w:val="24"/>
        </w:rPr>
        <w:t>,</w:t>
      </w:r>
      <w:r w:rsidRPr="00616CDC">
        <w:rPr>
          <w:rFonts w:ascii="Arial" w:hAnsi="Arial" w:cs="Arial"/>
          <w:sz w:val="24"/>
          <w:szCs w:val="24"/>
        </w:rPr>
        <w:t xml:space="preserve"> as very limited research </w:t>
      </w:r>
      <w:r w:rsidR="00392241" w:rsidRPr="00616CDC">
        <w:rPr>
          <w:rFonts w:ascii="Arial" w:hAnsi="Arial" w:cs="Arial"/>
          <w:sz w:val="24"/>
          <w:szCs w:val="24"/>
        </w:rPr>
        <w:t>has been undertaken</w:t>
      </w:r>
      <w:r w:rsidRPr="00616CDC">
        <w:rPr>
          <w:rFonts w:ascii="Arial" w:hAnsi="Arial" w:cs="Arial"/>
          <w:sz w:val="24"/>
          <w:szCs w:val="24"/>
        </w:rPr>
        <w:t xml:space="preserve"> on the host status of different cover crops</w:t>
      </w:r>
      <w:r w:rsidR="005634C2" w:rsidRPr="00616CDC">
        <w:rPr>
          <w:rFonts w:ascii="Arial" w:hAnsi="Arial" w:cs="Arial"/>
          <w:sz w:val="24"/>
          <w:szCs w:val="24"/>
        </w:rPr>
        <w:t xml:space="preserve"> to SRN</w:t>
      </w:r>
      <w:r w:rsidRPr="00616CDC">
        <w:rPr>
          <w:rFonts w:ascii="Arial" w:hAnsi="Arial" w:cs="Arial"/>
          <w:sz w:val="24"/>
          <w:szCs w:val="24"/>
        </w:rPr>
        <w:t>. A field experiment was also conducted in Suffolk, Bury St</w:t>
      </w:r>
      <w:r w:rsidR="00392241" w:rsidRPr="00616CDC">
        <w:rPr>
          <w:rFonts w:ascii="Arial" w:hAnsi="Arial" w:cs="Arial"/>
          <w:sz w:val="24"/>
          <w:szCs w:val="24"/>
        </w:rPr>
        <w:t>.</w:t>
      </w:r>
      <w:r w:rsidRPr="00616CDC">
        <w:rPr>
          <w:rFonts w:ascii="Arial" w:hAnsi="Arial" w:cs="Arial"/>
          <w:sz w:val="24"/>
          <w:szCs w:val="24"/>
        </w:rPr>
        <w:t xml:space="preserve"> Edmunds to evaluate the potential of</w:t>
      </w:r>
      <w:r w:rsidR="00392241" w:rsidRPr="00616CDC">
        <w:rPr>
          <w:rFonts w:ascii="Arial" w:hAnsi="Arial" w:cs="Arial"/>
          <w:sz w:val="24"/>
          <w:szCs w:val="24"/>
        </w:rPr>
        <w:t xml:space="preserve"> biofumigant</w:t>
      </w:r>
      <w:r w:rsidRPr="00616CDC">
        <w:rPr>
          <w:rFonts w:ascii="Arial" w:hAnsi="Arial" w:cs="Arial"/>
          <w:sz w:val="24"/>
          <w:szCs w:val="24"/>
        </w:rPr>
        <w:t xml:space="preserve"> brassica cover crops in suppression of SRN</w:t>
      </w:r>
      <w:r w:rsidR="00392241" w:rsidRPr="00616CDC">
        <w:rPr>
          <w:rFonts w:ascii="Arial" w:hAnsi="Arial" w:cs="Arial"/>
          <w:sz w:val="24"/>
          <w:szCs w:val="24"/>
        </w:rPr>
        <w:t>, when grown</w:t>
      </w:r>
      <w:r w:rsidRPr="00616CDC">
        <w:rPr>
          <w:rFonts w:ascii="Arial" w:hAnsi="Arial" w:cs="Arial"/>
          <w:sz w:val="24"/>
          <w:szCs w:val="24"/>
        </w:rPr>
        <w:t xml:space="preserve"> as</w:t>
      </w:r>
      <w:r w:rsidR="00392241" w:rsidRPr="00616CDC">
        <w:rPr>
          <w:rFonts w:ascii="Arial" w:hAnsi="Arial" w:cs="Arial"/>
          <w:sz w:val="24"/>
          <w:szCs w:val="24"/>
        </w:rPr>
        <w:t xml:space="preserve"> a</w:t>
      </w:r>
      <w:r w:rsidRPr="00616CDC">
        <w:rPr>
          <w:rFonts w:ascii="Arial" w:hAnsi="Arial" w:cs="Arial"/>
          <w:sz w:val="24"/>
          <w:szCs w:val="24"/>
        </w:rPr>
        <w:t xml:space="preserve"> green manure. The site was selected based on previous history of occurrence of SRN. Data on initial nematode densities was collected by soil</w:t>
      </w:r>
      <w:r w:rsidR="007438BE" w:rsidRPr="00616CDC">
        <w:rPr>
          <w:rFonts w:ascii="Arial" w:hAnsi="Arial" w:cs="Arial"/>
          <w:sz w:val="24"/>
          <w:szCs w:val="24"/>
        </w:rPr>
        <w:t xml:space="preserve"> </w:t>
      </w:r>
      <w:r w:rsidRPr="00616CDC">
        <w:rPr>
          <w:rFonts w:ascii="Arial" w:hAnsi="Arial" w:cs="Arial"/>
          <w:sz w:val="24"/>
          <w:szCs w:val="24"/>
        </w:rPr>
        <w:t xml:space="preserve">sampling prior to drilling of the biofumigants. </w:t>
      </w:r>
      <w:r w:rsidR="007438BE" w:rsidRPr="00616CDC">
        <w:rPr>
          <w:rFonts w:ascii="Arial" w:hAnsi="Arial" w:cs="Arial"/>
          <w:sz w:val="24"/>
          <w:szCs w:val="24"/>
        </w:rPr>
        <w:t xml:space="preserve">Evidence of attraction/repulsion of the biofumigant cover crops was also of interest in the field study, and therefore soil samples were also collected 4 weeks after drilling of the cover crops. </w:t>
      </w:r>
      <w:r w:rsidR="6AC1B2C3" w:rsidRPr="00616CDC">
        <w:rPr>
          <w:rFonts w:ascii="Arial" w:hAnsi="Arial" w:cs="Arial"/>
          <w:sz w:val="24"/>
          <w:szCs w:val="24"/>
        </w:rPr>
        <w:t>To validate the methods used in extraction of SRN, two extraction methods, namely centrifugal floatation and</w:t>
      </w:r>
      <w:r w:rsidR="6AC1B2C3" w:rsidRPr="6AC1B2C3">
        <w:rPr>
          <w:rFonts w:ascii="Arial" w:hAnsi="Arial" w:cs="Arial"/>
          <w:sz w:val="24"/>
          <w:szCs w:val="24"/>
        </w:rPr>
        <w:t xml:space="preserve"> the Seinhorst</w:t>
      </w:r>
      <w:r w:rsidR="6AC1B2C3" w:rsidRPr="00616CDC">
        <w:rPr>
          <w:rFonts w:ascii="Arial" w:hAnsi="Arial" w:cs="Arial"/>
          <w:sz w:val="24"/>
          <w:szCs w:val="24"/>
        </w:rPr>
        <w:t xml:space="preserve"> two flask method </w:t>
      </w:r>
      <w:r w:rsidR="007438BE" w:rsidRPr="6AC1B2C3">
        <w:rPr>
          <w:rFonts w:ascii="Arial" w:hAnsi="Arial" w:cs="Arial"/>
          <w:sz w:val="24"/>
          <w:szCs w:val="24"/>
        </w:rPr>
        <w:fldChar w:fldCharType="begin" w:fldLock="1"/>
      </w:r>
      <w:r w:rsidR="007438BE" w:rsidRPr="6AC1B2C3">
        <w:rPr>
          <w:rFonts w:ascii="Arial" w:hAnsi="Arial" w:cs="Arial"/>
          <w:sz w:val="24"/>
          <w:szCs w:val="24"/>
        </w:rPr>
        <w:instrText>ADDIN CSL_CITATION {"citationItems":[{"id":"ITEM-1","itemData":{"author":[{"dropping-particle":"Van","family":"Bezooijen","given":"J","non-dropping-particle":"","parse-names":false,"suffix":""}],"id":"ITEM-1","issued":{"date-parts":[["2006"]]},"title":"Methods and techniques for nematology.","type":"article-journal"},"uris":["http://www.mendeley.com/documents/?uuid=de9fc943-9c01-40f7-82df-718b11498542"]}],"mendeley":{"formattedCitation":"(Bezooijen, 2006)","plainTextFormattedCitation":"(Bezooijen, 2006)","previouslyFormattedCitation":"(Bezooijen, 2006)"},"properties":{"noteIndex":0},"schema":"https://github.com/citation-style-language/schema/raw/master/csl-citation.json"}</w:instrText>
      </w:r>
      <w:r w:rsidR="007438BE" w:rsidRPr="6AC1B2C3">
        <w:rPr>
          <w:rFonts w:ascii="Arial" w:hAnsi="Arial" w:cs="Arial"/>
          <w:sz w:val="24"/>
          <w:szCs w:val="24"/>
        </w:rPr>
        <w:fldChar w:fldCharType="separate"/>
      </w:r>
      <w:r w:rsidR="6AC1B2C3" w:rsidRPr="00616CDC">
        <w:rPr>
          <w:rFonts w:ascii="Arial" w:hAnsi="Arial" w:cs="Arial"/>
          <w:noProof/>
          <w:sz w:val="24"/>
          <w:szCs w:val="24"/>
        </w:rPr>
        <w:t>(Bezooijen, 2006)</w:t>
      </w:r>
      <w:r w:rsidR="007438BE" w:rsidRPr="6AC1B2C3">
        <w:rPr>
          <w:rFonts w:ascii="Arial" w:hAnsi="Arial" w:cs="Arial"/>
          <w:sz w:val="24"/>
          <w:szCs w:val="24"/>
        </w:rPr>
        <w:fldChar w:fldCharType="end"/>
      </w:r>
      <w:r w:rsidR="6AC1B2C3" w:rsidRPr="00616CDC">
        <w:rPr>
          <w:rFonts w:ascii="Arial" w:hAnsi="Arial" w:cs="Arial"/>
          <w:sz w:val="24"/>
          <w:szCs w:val="24"/>
        </w:rPr>
        <w:t>, were compared, to assess extraction efficiency (nematode yield), time per sample and ease of use. This allowed selection of an extraction method and</w:t>
      </w:r>
      <w:r w:rsidR="6AC1B2C3" w:rsidRPr="6AC1B2C3">
        <w:rPr>
          <w:rFonts w:ascii="Arial" w:hAnsi="Arial" w:cs="Arial"/>
          <w:sz w:val="24"/>
          <w:szCs w:val="24"/>
        </w:rPr>
        <w:t xml:space="preserve"> extraction</w:t>
      </w:r>
      <w:r w:rsidR="6AC1B2C3" w:rsidRPr="00616CDC">
        <w:rPr>
          <w:rFonts w:ascii="Arial" w:hAnsi="Arial" w:cs="Arial"/>
          <w:sz w:val="24"/>
          <w:szCs w:val="24"/>
        </w:rPr>
        <w:t xml:space="preserve"> fluid for use in subsequent extractions in the experiments. </w:t>
      </w:r>
    </w:p>
    <w:p w14:paraId="37D2EC9F" w14:textId="129E1FB8" w:rsidR="00BD026E" w:rsidRPr="002B3D8A" w:rsidRDefault="003C6C7F" w:rsidP="00616CDC">
      <w:pPr>
        <w:pStyle w:val="Heading2"/>
        <w:spacing w:line="360" w:lineRule="auto"/>
        <w:ind w:left="-284"/>
        <w:rPr>
          <w:rFonts w:ascii="Arial" w:hAnsi="Arial" w:cs="Arial"/>
          <w:b/>
          <w:color w:val="000000" w:themeColor="text1"/>
          <w:sz w:val="24"/>
          <w:szCs w:val="24"/>
        </w:rPr>
      </w:pPr>
      <w:bookmarkStart w:id="41" w:name="_Toc110341290"/>
      <w:r w:rsidRPr="002B3D8A">
        <w:rPr>
          <w:rFonts w:ascii="Arial" w:hAnsi="Arial" w:cs="Arial"/>
          <w:b/>
          <w:color w:val="000000" w:themeColor="text1"/>
          <w:sz w:val="24"/>
          <w:szCs w:val="24"/>
        </w:rPr>
        <w:t xml:space="preserve">2.1 </w:t>
      </w:r>
      <w:r w:rsidR="003C629E" w:rsidRPr="002B3D8A">
        <w:rPr>
          <w:rFonts w:ascii="Arial" w:hAnsi="Arial" w:cs="Arial"/>
          <w:b/>
          <w:color w:val="000000" w:themeColor="text1"/>
          <w:sz w:val="24"/>
          <w:szCs w:val="24"/>
        </w:rPr>
        <w:t xml:space="preserve">Experiment 1: </w:t>
      </w:r>
      <w:r w:rsidR="00BD026E" w:rsidRPr="002B3D8A">
        <w:rPr>
          <w:rFonts w:ascii="Arial" w:eastAsia="Times New Roman" w:hAnsi="Arial" w:cs="Arial"/>
          <w:b/>
          <w:color w:val="000000" w:themeColor="text1"/>
          <w:sz w:val="24"/>
          <w:szCs w:val="24"/>
        </w:rPr>
        <w:t>Selection of nematode extraction method</w:t>
      </w:r>
      <w:bookmarkEnd w:id="41"/>
      <w:r w:rsidR="00BD026E" w:rsidRPr="002B3D8A">
        <w:rPr>
          <w:rFonts w:ascii="Arial" w:eastAsia="Times New Roman" w:hAnsi="Arial" w:cs="Arial"/>
          <w:b/>
          <w:color w:val="000000" w:themeColor="text1"/>
          <w:sz w:val="24"/>
          <w:szCs w:val="24"/>
        </w:rPr>
        <w:t xml:space="preserve"> </w:t>
      </w:r>
    </w:p>
    <w:p w14:paraId="1D090BAB" w14:textId="77777777" w:rsidR="0040026F" w:rsidRDefault="00BD026E" w:rsidP="0040026F">
      <w:pPr>
        <w:spacing w:line="360" w:lineRule="auto"/>
        <w:ind w:left="-567"/>
        <w:jc w:val="both"/>
        <w:rPr>
          <w:rFonts w:ascii="Arial" w:eastAsia="Times New Roman" w:hAnsi="Arial" w:cs="Arial"/>
          <w:color w:val="000000" w:themeColor="text1"/>
          <w:sz w:val="24"/>
          <w:szCs w:val="24"/>
        </w:rPr>
      </w:pPr>
      <w:r w:rsidRPr="002B3D8A">
        <w:rPr>
          <w:rFonts w:ascii="Arial" w:eastAsia="Times New Roman" w:hAnsi="Arial" w:cs="Arial"/>
          <w:color w:val="000000" w:themeColor="text1"/>
          <w:sz w:val="24"/>
          <w:szCs w:val="24"/>
        </w:rPr>
        <w:t>Two nematode extraction methods</w:t>
      </w:r>
      <w:r w:rsidR="00392241">
        <w:rPr>
          <w:rFonts w:ascii="Arial" w:eastAsia="Times New Roman" w:hAnsi="Arial" w:cs="Arial"/>
          <w:color w:val="000000" w:themeColor="text1"/>
          <w:sz w:val="24"/>
          <w:szCs w:val="24"/>
        </w:rPr>
        <w:t>,</w:t>
      </w:r>
      <w:r w:rsidRPr="002B3D8A">
        <w:rPr>
          <w:rFonts w:ascii="Arial" w:eastAsia="Times New Roman" w:hAnsi="Arial" w:cs="Arial"/>
          <w:color w:val="000000" w:themeColor="text1"/>
          <w:sz w:val="24"/>
          <w:szCs w:val="24"/>
        </w:rPr>
        <w:t xml:space="preserve"> i.e. Seinhorst two flask method </w:t>
      </w:r>
      <w:r w:rsidR="00E02BDB">
        <w:rPr>
          <w:rFonts w:ascii="Arial" w:eastAsia="Times New Roman" w:hAnsi="Arial" w:cs="Arial"/>
          <w:color w:val="000000" w:themeColor="text1"/>
          <w:sz w:val="24"/>
          <w:szCs w:val="24"/>
        </w:rPr>
        <w:fldChar w:fldCharType="begin" w:fldLock="1"/>
      </w:r>
      <w:r w:rsidR="00BA70A7">
        <w:rPr>
          <w:rFonts w:ascii="Arial" w:eastAsia="Times New Roman" w:hAnsi="Arial" w:cs="Arial"/>
          <w:color w:val="000000" w:themeColor="text1"/>
          <w:sz w:val="24"/>
          <w:szCs w:val="24"/>
        </w:rPr>
        <w:instrText>ADDIN CSL_CITATION {"citationItems":[{"id":"ITEM-1","itemData":{"author":[{"dropping-particle":"Van","family":"Bezooijen","given":"J","non-dropping-particle":"","parse-names":false,"suffix":""}],"id":"ITEM-1","issued":{"date-parts":[["2006"]]},"title":"Methods and techniques for nematology.","type":"article-journal"},"uris":["http://www.mendeley.com/documents/?uuid=de9fc943-9c01-40f7-82df-718b11498542"]}],"mendeley":{"formattedCitation":"(Bezooijen, 2006)","plainTextFormattedCitation":"(Bezooijen, 2006)","previouslyFormattedCitation":"(Bezooijen, 2006)"},"properties":{"noteIndex":0},"schema":"https://github.com/citation-style-language/schema/raw/master/csl-citation.json"}</w:instrText>
      </w:r>
      <w:r w:rsidR="00E02BDB">
        <w:rPr>
          <w:rFonts w:ascii="Arial" w:eastAsia="Times New Roman" w:hAnsi="Arial" w:cs="Arial"/>
          <w:color w:val="000000" w:themeColor="text1"/>
          <w:sz w:val="24"/>
          <w:szCs w:val="24"/>
        </w:rPr>
        <w:fldChar w:fldCharType="separate"/>
      </w:r>
      <w:r w:rsidR="00E02BDB" w:rsidRPr="00E02BDB">
        <w:rPr>
          <w:rFonts w:ascii="Arial" w:eastAsia="Times New Roman" w:hAnsi="Arial" w:cs="Arial"/>
          <w:noProof/>
          <w:color w:val="000000" w:themeColor="text1"/>
          <w:sz w:val="24"/>
          <w:szCs w:val="24"/>
        </w:rPr>
        <w:t>(Bezooijen, 2006)</w:t>
      </w:r>
      <w:r w:rsidR="00E02BDB">
        <w:rPr>
          <w:rFonts w:ascii="Arial" w:eastAsia="Times New Roman" w:hAnsi="Arial" w:cs="Arial"/>
          <w:color w:val="000000" w:themeColor="text1"/>
          <w:sz w:val="24"/>
          <w:szCs w:val="24"/>
        </w:rPr>
        <w:fldChar w:fldCharType="end"/>
      </w:r>
      <w:r w:rsidR="00E02BDB">
        <w:rPr>
          <w:rFonts w:ascii="Arial" w:eastAsia="Times New Roman" w:hAnsi="Arial" w:cs="Arial"/>
          <w:color w:val="000000" w:themeColor="text1"/>
          <w:sz w:val="24"/>
          <w:szCs w:val="24"/>
        </w:rPr>
        <w:t xml:space="preserve"> </w:t>
      </w:r>
      <w:r w:rsidRPr="002B3D8A">
        <w:rPr>
          <w:rFonts w:ascii="Arial" w:eastAsia="Times New Roman" w:hAnsi="Arial" w:cs="Arial"/>
          <w:color w:val="000000" w:themeColor="text1"/>
          <w:sz w:val="24"/>
          <w:szCs w:val="24"/>
        </w:rPr>
        <w:t>and</w:t>
      </w:r>
      <w:r w:rsidRPr="002B3D8A">
        <w:rPr>
          <w:rFonts w:ascii="Arial" w:hAnsi="Arial" w:cs="Arial"/>
          <w:color w:val="000000" w:themeColor="text1"/>
          <w:sz w:val="24"/>
          <w:szCs w:val="24"/>
        </w:rPr>
        <w:t xml:space="preserve"> centrifugal floatation method</w:t>
      </w:r>
      <w:r w:rsidR="00E02BDB">
        <w:rPr>
          <w:rFonts w:ascii="Arial" w:hAnsi="Arial" w:cs="Arial"/>
          <w:color w:val="000000" w:themeColor="text1"/>
          <w:sz w:val="24"/>
          <w:szCs w:val="24"/>
        </w:rPr>
        <w:t xml:space="preserve"> </w:t>
      </w:r>
      <w:r w:rsidR="00E02BDB">
        <w:rPr>
          <w:rFonts w:ascii="Arial" w:hAnsi="Arial" w:cs="Arial"/>
          <w:color w:val="000000" w:themeColor="text1"/>
          <w:sz w:val="24"/>
          <w:szCs w:val="24"/>
        </w:rPr>
        <w:fldChar w:fldCharType="begin" w:fldLock="1"/>
      </w:r>
      <w:r w:rsidR="00E13293">
        <w:rPr>
          <w:rFonts w:ascii="Arial" w:hAnsi="Arial" w:cs="Arial"/>
          <w:color w:val="000000" w:themeColor="text1"/>
          <w:sz w:val="24"/>
          <w:szCs w:val="24"/>
        </w:rPr>
        <w:instrText>ADDIN CSL_CITATION {"citationItems":[{"id":"ITEM-1","itemData":{"abstract":"The extraction of many genera of nematodes from four different soil types by sedimentation, mobility, sieving and centrifuging was compared. All methods were found to extract similar numbers of nematodes. Centrifuging was the most versatile technique and the best for clay soils. Baerman sieving was generally poor and particularly so for sands and for the genus Tylen-chorhynchus. Rotylenchus was the only genus of those identified that was extracted equalIy well by all techniques. Centrifugal extraction was selected as the routine method for surveys as it was effective on all soil types, was less likely to be subject to variation and, although poor for Longidmus, extracted a wider spectrum of nematodes.","author":[{"dropping-particle":"","family":"Harrison","given":"Judith M","non-dropping-particle":"","parse-names":false,"suffix":""},{"dropping-particle":"","family":"Green","given":"C D","non-dropping-particle":"","parse-names":false,"suffix":""}],"container-title":"Am. appl. Biol","id":"ITEM-1","issued":{"date-parts":[["1975"]]},"page":"299-308","title":"Comparison of centrifugal and other methods for standardization of extraction of nematodes from soil","type":"article-journal","volume":"82"},"uris":["http://www.mendeley.com/documents/?uuid=f3c423a2-fec9-337f-a179-f42664d521a5"]}],"mendeley":{"formattedCitation":"(Harrison and Green, 1975)","plainTextFormattedCitation":"(Harrison and Green, 1975)","previouslyFormattedCitation":"(Harrison and Green, 1975)"},"properties":{"noteIndex":0},"schema":"https://github.com/citation-style-language/schema/raw/master/csl-citation.json"}</w:instrText>
      </w:r>
      <w:r w:rsidR="00E02BDB">
        <w:rPr>
          <w:rFonts w:ascii="Arial" w:hAnsi="Arial" w:cs="Arial"/>
          <w:color w:val="000000" w:themeColor="text1"/>
          <w:sz w:val="24"/>
          <w:szCs w:val="24"/>
        </w:rPr>
        <w:fldChar w:fldCharType="separate"/>
      </w:r>
      <w:r w:rsidR="00E13293" w:rsidRPr="00E13293">
        <w:rPr>
          <w:rFonts w:ascii="Arial" w:hAnsi="Arial" w:cs="Arial"/>
          <w:noProof/>
          <w:color w:val="000000" w:themeColor="text1"/>
          <w:sz w:val="24"/>
          <w:szCs w:val="24"/>
        </w:rPr>
        <w:t>(Harrison and Green, 1975)</w:t>
      </w:r>
      <w:r w:rsidR="00E02BDB">
        <w:rPr>
          <w:rFonts w:ascii="Arial" w:hAnsi="Arial" w:cs="Arial"/>
          <w:color w:val="000000" w:themeColor="text1"/>
          <w:sz w:val="24"/>
          <w:szCs w:val="24"/>
        </w:rPr>
        <w:fldChar w:fldCharType="end"/>
      </w:r>
      <w:r w:rsidR="00392241">
        <w:rPr>
          <w:rFonts w:ascii="Arial" w:hAnsi="Arial" w:cs="Arial"/>
          <w:color w:val="000000" w:themeColor="text1"/>
          <w:sz w:val="24"/>
          <w:szCs w:val="24"/>
        </w:rPr>
        <w:t>,</w:t>
      </w:r>
      <w:r w:rsidRPr="002B3D8A">
        <w:rPr>
          <w:rFonts w:ascii="Arial" w:hAnsi="Arial" w:cs="Arial"/>
          <w:color w:val="000000" w:themeColor="text1"/>
          <w:sz w:val="24"/>
          <w:szCs w:val="24"/>
        </w:rPr>
        <w:t xml:space="preserve"> </w:t>
      </w:r>
      <w:r w:rsidRPr="002B3D8A">
        <w:rPr>
          <w:rFonts w:ascii="Arial" w:eastAsia="Times New Roman" w:hAnsi="Arial" w:cs="Arial"/>
          <w:color w:val="000000" w:themeColor="text1"/>
          <w:sz w:val="24"/>
          <w:szCs w:val="24"/>
        </w:rPr>
        <w:t xml:space="preserve">were compared for their efficiency in extraction of stubby root nematodes. The </w:t>
      </w:r>
      <w:r w:rsidR="00D34732">
        <w:rPr>
          <w:rFonts w:ascii="Arial" w:eastAsia="Times New Roman" w:hAnsi="Arial" w:cs="Arial"/>
          <w:color w:val="000000" w:themeColor="text1"/>
          <w:sz w:val="24"/>
          <w:szCs w:val="24"/>
        </w:rPr>
        <w:t xml:space="preserve">principal behind the </w:t>
      </w:r>
      <w:r w:rsidRPr="002B3D8A">
        <w:rPr>
          <w:rFonts w:ascii="Arial" w:eastAsia="Times New Roman" w:hAnsi="Arial" w:cs="Arial"/>
          <w:color w:val="000000" w:themeColor="text1"/>
          <w:sz w:val="24"/>
          <w:szCs w:val="24"/>
        </w:rPr>
        <w:t xml:space="preserve">Seinhorst two flask method </w:t>
      </w:r>
      <w:r w:rsidR="00D34732">
        <w:rPr>
          <w:rFonts w:ascii="Arial" w:eastAsia="Times New Roman" w:hAnsi="Arial" w:cs="Arial"/>
          <w:color w:val="000000" w:themeColor="text1"/>
          <w:sz w:val="24"/>
          <w:szCs w:val="24"/>
        </w:rPr>
        <w:t>is the</w:t>
      </w:r>
      <w:r w:rsidR="00474F68">
        <w:rPr>
          <w:rFonts w:ascii="Arial" w:eastAsia="Times New Roman" w:hAnsi="Arial" w:cs="Arial"/>
          <w:color w:val="000000" w:themeColor="text1"/>
          <w:sz w:val="24"/>
          <w:szCs w:val="24"/>
        </w:rPr>
        <w:t xml:space="preserve"> </w:t>
      </w:r>
      <w:r w:rsidRPr="002B3D8A">
        <w:rPr>
          <w:rFonts w:ascii="Arial" w:eastAsia="Times New Roman" w:hAnsi="Arial" w:cs="Arial"/>
          <w:color w:val="000000" w:themeColor="text1"/>
          <w:sz w:val="24"/>
          <w:szCs w:val="24"/>
        </w:rPr>
        <w:t xml:space="preserve">difference in size, shape, and sedimentation rate between nematodes and soil </w:t>
      </w:r>
      <w:r w:rsidR="0083419B" w:rsidRPr="002B3D8A">
        <w:rPr>
          <w:rFonts w:ascii="Arial" w:eastAsia="Times New Roman" w:hAnsi="Arial" w:cs="Arial"/>
          <w:color w:val="000000" w:themeColor="text1"/>
          <w:sz w:val="24"/>
          <w:szCs w:val="24"/>
        </w:rPr>
        <w:t>particles.</w:t>
      </w:r>
      <w:r w:rsidRPr="002B3D8A">
        <w:rPr>
          <w:rFonts w:ascii="Arial" w:eastAsia="Times New Roman" w:hAnsi="Arial" w:cs="Arial"/>
          <w:color w:val="000000" w:themeColor="text1"/>
          <w:sz w:val="24"/>
          <w:szCs w:val="24"/>
        </w:rPr>
        <w:t xml:space="preserve"> Soil is first passed through a 2mm sieve to remove debris and large stones. The soil is then washed into a 2L flask filled with water and placed upside down in another 2L flask containing water</w:t>
      </w:r>
      <w:r w:rsidR="00392241">
        <w:rPr>
          <w:rFonts w:ascii="Arial" w:eastAsia="Times New Roman" w:hAnsi="Arial" w:cs="Arial"/>
          <w:color w:val="000000" w:themeColor="text1"/>
          <w:sz w:val="24"/>
          <w:szCs w:val="24"/>
        </w:rPr>
        <w:t xml:space="preserve"> for a period of</w:t>
      </w:r>
      <w:r w:rsidRPr="002B3D8A">
        <w:rPr>
          <w:rFonts w:ascii="Arial" w:eastAsia="Times New Roman" w:hAnsi="Arial" w:cs="Arial"/>
          <w:color w:val="000000" w:themeColor="text1"/>
          <w:sz w:val="24"/>
          <w:szCs w:val="24"/>
        </w:rPr>
        <w:t xml:space="preserve"> 10 mins</w:t>
      </w:r>
      <w:r w:rsidR="00392241">
        <w:rPr>
          <w:rFonts w:ascii="Arial" w:eastAsia="Times New Roman" w:hAnsi="Arial" w:cs="Arial"/>
          <w:color w:val="000000" w:themeColor="text1"/>
          <w:sz w:val="24"/>
          <w:szCs w:val="24"/>
        </w:rPr>
        <w:t>.</w:t>
      </w:r>
      <w:r w:rsidRPr="002B3D8A">
        <w:rPr>
          <w:rFonts w:ascii="Arial" w:eastAsia="Times New Roman" w:hAnsi="Arial" w:cs="Arial"/>
          <w:color w:val="000000" w:themeColor="text1"/>
          <w:sz w:val="24"/>
          <w:szCs w:val="24"/>
        </w:rPr>
        <w:t xml:space="preserve"> </w:t>
      </w:r>
      <w:r w:rsidR="003B7075">
        <w:rPr>
          <w:rFonts w:ascii="Arial" w:eastAsia="Times New Roman" w:hAnsi="Arial" w:cs="Arial"/>
          <w:color w:val="000000" w:themeColor="text1"/>
          <w:sz w:val="24"/>
          <w:szCs w:val="24"/>
        </w:rPr>
        <w:t>N</w:t>
      </w:r>
      <w:r w:rsidRPr="002B3D8A">
        <w:rPr>
          <w:rFonts w:ascii="Arial" w:eastAsia="Times New Roman" w:hAnsi="Arial" w:cs="Arial"/>
          <w:color w:val="000000" w:themeColor="text1"/>
          <w:sz w:val="24"/>
          <w:szCs w:val="24"/>
        </w:rPr>
        <w:t xml:space="preserve">ematodes are collected in a clean suspension and placed in sample bottles for identification and quantification. On the other hand, </w:t>
      </w:r>
      <w:r w:rsidRPr="002B3D8A">
        <w:rPr>
          <w:rFonts w:ascii="Arial" w:hAnsi="Arial" w:cs="Arial"/>
          <w:color w:val="000000" w:themeColor="text1"/>
          <w:sz w:val="24"/>
          <w:szCs w:val="24"/>
        </w:rPr>
        <w:t xml:space="preserve">centrifugal floatation method, uses difference in specific gravity between the nematodes and other particles in a soil sample. The extraction liquid usually has a higher specific gravity than the nematode, hence the nematodes keep afloat and are decanted into sieves at the end of the extraction </w:t>
      </w:r>
      <w:r w:rsidRPr="002B3D8A">
        <w:rPr>
          <w:rFonts w:ascii="Arial" w:hAnsi="Arial" w:cs="Arial"/>
          <w:color w:val="000000" w:themeColor="text1"/>
          <w:sz w:val="24"/>
          <w:szCs w:val="24"/>
        </w:rPr>
        <w:fldChar w:fldCharType="begin" w:fldLock="1"/>
      </w:r>
      <w:r w:rsidR="00200FF9">
        <w:rPr>
          <w:rFonts w:ascii="Arial" w:hAnsi="Arial" w:cs="Arial"/>
          <w:color w:val="000000" w:themeColor="text1"/>
          <w:sz w:val="24"/>
          <w:szCs w:val="24"/>
        </w:rPr>
        <w:instrText>ADDIN CSL_CITATION {"citationItems":[{"id":"ITEM-1","itemData":{"author":[{"dropping-particle":"Van","family":"Bezooijen","given":"J","non-dropping-particle":"","parse-names":false,"suffix":""}],"id":"ITEM-1","issued":{"date-parts":[["2006"]]},"title":"Methods and techniques for nematology.","type":"article-journal"},"uris":["http://www.mendeley.com/documents/?uuid=de9fc943-9c01-40f7-82df-718b11498542"]},{"id":"ITEM-2","itemData":{"author":[{"dropping-particle":"","family":"Decraemer","given":"W.","non-dropping-particle":"","parse-names":false,"suffix":""},{"dropping-particle":"","family":"Coolen","given":"W. A.","non-dropping-particle":"","parse-names":false,"suffix":""},{"dropping-particle":"","family":"Hendrickx","given":"G. J.","non-dropping-particle":"","parse-names":false,"suffix":""}],"container-title":"Nematologica","id":"ITEM-2","issued":{"date-parts":[["1979"]]},"title":"Evaluation of extraction methods for a survey of Trichodoridae in fields of seed potatoes.","type":"article-journal","volume":"25"},"uris":["http://www.mendeley.com/documents/?uuid=ecb6bbc0-76ab-3f81-993d-bc2583403399"]}],"mendeley":{"formattedCitation":"(Decraemer, Coolen and Hendrickx, 1979; Bezooijen, 2006)","plainTextFormattedCitation":"(Decraemer, Coolen and Hendrickx, 1979; Bezooijen, 2006)","previouslyFormattedCitation":"(Decraemer, Coolen and Hendrickx, 1979; Bezooijen, 2006)"},"properties":{"noteIndex":0},"schema":"https://github.com/citation-style-language/schema/raw/master/csl-citation.json"}</w:instrText>
      </w:r>
      <w:r w:rsidRPr="002B3D8A">
        <w:rPr>
          <w:rFonts w:ascii="Arial" w:hAnsi="Arial" w:cs="Arial"/>
          <w:color w:val="000000" w:themeColor="text1"/>
          <w:sz w:val="24"/>
          <w:szCs w:val="24"/>
        </w:rPr>
        <w:fldChar w:fldCharType="separate"/>
      </w:r>
      <w:r w:rsidR="00A07F2C" w:rsidRPr="00A07F2C">
        <w:rPr>
          <w:rFonts w:ascii="Arial" w:hAnsi="Arial" w:cs="Arial"/>
          <w:noProof/>
          <w:color w:val="000000" w:themeColor="text1"/>
          <w:sz w:val="24"/>
          <w:szCs w:val="24"/>
        </w:rPr>
        <w:t xml:space="preserve">(Decraemer, Coolen and Hendrickx, 1979; Bezooijen, </w:t>
      </w:r>
      <w:r w:rsidR="00A07F2C" w:rsidRPr="00A07F2C">
        <w:rPr>
          <w:rFonts w:ascii="Arial" w:hAnsi="Arial" w:cs="Arial"/>
          <w:noProof/>
          <w:color w:val="000000" w:themeColor="text1"/>
          <w:sz w:val="24"/>
          <w:szCs w:val="24"/>
        </w:rPr>
        <w:lastRenderedPageBreak/>
        <w:t>2006)</w:t>
      </w:r>
      <w:r w:rsidRPr="002B3D8A">
        <w:rPr>
          <w:rFonts w:ascii="Arial" w:hAnsi="Arial" w:cs="Arial"/>
          <w:color w:val="000000" w:themeColor="text1"/>
          <w:sz w:val="24"/>
          <w:szCs w:val="24"/>
        </w:rPr>
        <w:fldChar w:fldCharType="end"/>
      </w:r>
      <w:r w:rsidRPr="002B3D8A">
        <w:rPr>
          <w:rFonts w:ascii="Arial" w:hAnsi="Arial" w:cs="Arial"/>
          <w:color w:val="000000" w:themeColor="text1"/>
          <w:sz w:val="24"/>
          <w:szCs w:val="24"/>
        </w:rPr>
        <w:t>. In the first experiment two extraction fluids</w:t>
      </w:r>
      <w:r w:rsidR="003B7075">
        <w:rPr>
          <w:rFonts w:ascii="Arial" w:hAnsi="Arial" w:cs="Arial"/>
          <w:color w:val="000000" w:themeColor="text1"/>
          <w:sz w:val="24"/>
          <w:szCs w:val="24"/>
        </w:rPr>
        <w:t>,</w:t>
      </w:r>
      <w:r w:rsidRPr="002B3D8A">
        <w:rPr>
          <w:rFonts w:ascii="Arial" w:hAnsi="Arial" w:cs="Arial"/>
          <w:color w:val="000000" w:themeColor="text1"/>
          <w:sz w:val="24"/>
          <w:szCs w:val="24"/>
        </w:rPr>
        <w:t xml:space="preserve"> magnesium sulphate heptahydrate (MgS0</w:t>
      </w:r>
      <w:r w:rsidRPr="002B3D8A">
        <w:rPr>
          <w:rFonts w:ascii="Arial" w:hAnsi="Arial" w:cs="Arial"/>
          <w:color w:val="000000" w:themeColor="text1"/>
          <w:sz w:val="24"/>
          <w:szCs w:val="24"/>
          <w:vertAlign w:val="subscript"/>
        </w:rPr>
        <w:t>4</w:t>
      </w:r>
      <w:r w:rsidRPr="002B3D8A">
        <w:rPr>
          <w:rFonts w:ascii="Arial" w:hAnsi="Arial" w:cs="Arial"/>
          <w:color w:val="000000" w:themeColor="text1"/>
          <w:sz w:val="24"/>
          <w:szCs w:val="24"/>
        </w:rPr>
        <w:t>.7H</w:t>
      </w:r>
      <w:r w:rsidRPr="002B3D8A">
        <w:rPr>
          <w:rFonts w:ascii="Arial" w:hAnsi="Arial" w:cs="Arial"/>
          <w:color w:val="000000" w:themeColor="text1"/>
          <w:sz w:val="24"/>
          <w:szCs w:val="24"/>
          <w:vertAlign w:val="subscript"/>
        </w:rPr>
        <w:t>2</w:t>
      </w:r>
      <w:r w:rsidRPr="002B3D8A">
        <w:rPr>
          <w:rFonts w:ascii="Arial" w:hAnsi="Arial" w:cs="Arial"/>
          <w:color w:val="000000" w:themeColor="text1"/>
          <w:sz w:val="24"/>
          <w:szCs w:val="24"/>
        </w:rPr>
        <w:t>0) and Ludox</w:t>
      </w:r>
      <w:r w:rsidR="003B7075">
        <w:rPr>
          <w:rFonts w:ascii="Arial" w:hAnsi="Arial" w:cs="Arial"/>
          <w:color w:val="000000" w:themeColor="text1"/>
          <w:sz w:val="24"/>
          <w:szCs w:val="24"/>
        </w:rPr>
        <w:t>,</w:t>
      </w:r>
      <w:r w:rsidRPr="002B3D8A">
        <w:rPr>
          <w:rFonts w:ascii="Arial" w:hAnsi="Arial" w:cs="Arial"/>
          <w:color w:val="000000" w:themeColor="text1"/>
          <w:sz w:val="24"/>
          <w:szCs w:val="24"/>
        </w:rPr>
        <w:t xml:space="preserve"> were compared to assess which one better maintains the integrity of the nematodes and also examine whether the nematode yields differ.</w:t>
      </w:r>
      <w:r w:rsidR="6AC1B2C3" w:rsidRPr="6AC1B2C3">
        <w:rPr>
          <w:rFonts w:ascii="Arial" w:hAnsi="Arial" w:cs="Arial"/>
          <w:color w:val="000000" w:themeColor="text1"/>
          <w:sz w:val="24"/>
          <w:szCs w:val="24"/>
        </w:rPr>
        <w:t xml:space="preserve">100g of soil was subsampled from each composite sample. This was gently mixed to achieve a homogeneity. Nematodes were then extracted using the above-mentioned methods and replicated three times for each method. </w:t>
      </w:r>
      <w:r w:rsidR="6AC1B2C3" w:rsidRPr="6AC1B2C3">
        <w:rPr>
          <w:rFonts w:ascii="Arial" w:eastAsia="Times New Roman" w:hAnsi="Arial" w:cs="Arial"/>
          <w:color w:val="000000" w:themeColor="text1"/>
          <w:sz w:val="24"/>
          <w:szCs w:val="24"/>
        </w:rPr>
        <w:t>Stubby root nematodes (</w:t>
      </w:r>
      <w:r w:rsidR="6AC1B2C3" w:rsidRPr="6AC1B2C3">
        <w:rPr>
          <w:rFonts w:ascii="Arial" w:eastAsia="Times New Roman" w:hAnsi="Arial" w:cs="Arial"/>
          <w:i/>
          <w:iCs/>
          <w:color w:val="000000" w:themeColor="text1"/>
          <w:sz w:val="24"/>
          <w:szCs w:val="24"/>
        </w:rPr>
        <w:t>Trichodorus</w:t>
      </w:r>
      <w:r w:rsidR="6AC1B2C3" w:rsidRPr="6AC1B2C3">
        <w:rPr>
          <w:rFonts w:ascii="Arial" w:eastAsia="Times New Roman" w:hAnsi="Arial" w:cs="Arial"/>
          <w:color w:val="000000" w:themeColor="text1"/>
          <w:sz w:val="24"/>
          <w:szCs w:val="24"/>
        </w:rPr>
        <w:t xml:space="preserve"> and </w:t>
      </w:r>
      <w:r w:rsidR="6AC1B2C3" w:rsidRPr="6AC1B2C3">
        <w:rPr>
          <w:rFonts w:ascii="Arial" w:eastAsia="Times New Roman" w:hAnsi="Arial" w:cs="Arial"/>
          <w:i/>
          <w:iCs/>
          <w:color w:val="000000" w:themeColor="text1"/>
          <w:sz w:val="24"/>
          <w:szCs w:val="24"/>
        </w:rPr>
        <w:t>Paratrichodorus</w:t>
      </w:r>
      <w:r w:rsidR="6AC1B2C3" w:rsidRPr="6AC1B2C3">
        <w:rPr>
          <w:rFonts w:ascii="Arial" w:eastAsia="Times New Roman" w:hAnsi="Arial" w:cs="Arial"/>
          <w:color w:val="000000" w:themeColor="text1"/>
          <w:sz w:val="24"/>
          <w:szCs w:val="24"/>
        </w:rPr>
        <w:t xml:space="preserve"> spp) in the whole suspension were counted under a compound microscope at 10x magnification </w:t>
      </w:r>
      <w:r w:rsidR="00E02BDB" w:rsidRPr="6AC1B2C3">
        <w:rPr>
          <w:rFonts w:ascii="Arial" w:eastAsia="Times New Roman" w:hAnsi="Arial" w:cs="Arial"/>
          <w:color w:val="000000" w:themeColor="text1"/>
          <w:sz w:val="24"/>
          <w:szCs w:val="24"/>
        </w:rPr>
        <w:fldChar w:fldCharType="begin" w:fldLock="1"/>
      </w:r>
      <w:r w:rsidR="00E02BDB" w:rsidRPr="6AC1B2C3">
        <w:rPr>
          <w:rFonts w:ascii="Arial" w:eastAsia="Times New Roman" w:hAnsi="Arial" w:cs="Arial"/>
          <w:color w:val="000000" w:themeColor="text1"/>
          <w:sz w:val="24"/>
          <w:szCs w:val="24"/>
        </w:rPr>
        <w:instrText>ADDIN CSL_CITATION {"citationItems":[{"id":"ITEM-1","itemData":{"DOI":"10.1016/j.cropro.2020.105503","ISSN":"02612194","abstract":"Plant-parasitic nematodes (PPNs) are an important group of pathogens on sugarbeet. Surveys were conducted in the Red River Valley (RRV) area of North Dakota (ND) and Minnesota (MN) to determine the incidence, abundance, and distribution of PPNs in sugarbeet fields. A total of 217 soil samples were collected in 2016 and 2017 from fields with sugarbeet or a history of sugarbeet production. In addition, 48 samples were collected in 2016 from tare soils in sugarbeet piling stations, and two samples were collected in 2017 from sugarbeet production fields in eastern Montana (MT) and western ND border area. The incidence and abundance of major genera of PPNs identified from sugarbeet production fields in 2016 and 2017 were: Heterodera (incidence = 15%, abundance = 1,351/200 gm of soil); Helicotylenchus (38%, 157); Tylenchorhynchus (37%, 121); Paratylenchus (28%, 108); Pratylenchus (6%, 38); Paratrichodorus (7%, 37); Xiphinema (3%, 32); and Hoplolaimus (0.4%, 20). Helicotylenchus, Tylenchorhynchus, Paratylenchus, and Heterodera were the most frequent and widely distributed nematode genera whereas, Paratrichodorus and Pratylenchus were found less frequently and at low densities. Xiphinema and Hoplolaimus were rarely detected at lower densities. Paratylenchus and Tylenchorhynchus were widely distributed in most of the sampled counties (n = 11), followed by Helicotylenchus (10), Heterodera (8), Pratylenchus (8), Xiphinema (4), Paratrichodorus (3), and Hoplolaimus (1). Species-specific PCR assays and direct sequencing of ribosomal DNA were conducted to identify species. Species identification revealed that the cyst nematodes from one of the counties in eastern MT were Heterodera schachtii and the cyst nematodes analyzed from 31 samples in 12 counties in ND and MN were H. glycines. We have not identified any H. schachtii thus far from surveyed samples in eastern ND and western MN. Other nematode species identified include Paratrichodorus allius, Pratylenchus neglectus, Tylenchorhynchus sp., Paratylenchus nanus, Helicotylenchus microlobus, and H. pseudorobustus. Accurate identification of these nematodes and awareness of their occurrence across the region is essential for developing effective pest management strategies for improved sugarbeet production.","author":[{"dropping-particle":"","family":"Ashmit","given":"K. C.","non-dropping-particle":"","parse-names":false,"suffix":""},{"dropping-particle":"","family":"Yan","given":"Guiping","non-dropping-particle":"","parse-names":false,"suffix":""},{"dropping-particle":"","family":"Acharya","given":"Krishna","non-dropping-particle":"","parse-names":false,"suffix":""},{"dropping-particle":"","family":"Plaisance","given":"Addison","non-dropping-particle":"","parse-names":false,"suffix":""},{"dropping-particle":"","family":"Khan","given":"Mohamed F.R.","non-dropping-particle":"","parse-names":false,"suffix":""}],"container-title":"Crop Protection","id":"ITEM-1","issued":{"date-parts":[["2021"]]},"page":"105503","publisher":"Elsevier Ltd","title":"Occurrence of plant-parasitic nematodes in sugarbeet fields of North Dakota and Minnesota","type":"article-journal","volume":"142"},"uris":["http://www.mendeley.com/documents/?uuid=90214ce6-3bca-4991-8d98-aff3e08e3269"]},{"id":"ITEM-2","itemData":{"author":[{"dropping-particle":"Van","family":"Bezooijen","given":"J","non-dropping-particle":"","parse-names":false,"suffix":""}],"id":"ITEM-2","issued":{"date-parts":[["2006"]]},"title":"Methods and techniques for nematology.","type":"article-journal"},"uris":["http://www.mendeley.com/documents/?uuid=de9fc943-9c01-40f7-82df-718b11498542"]}],"mendeley":{"formattedCitation":"(Bezooijen, 2006; Ashmit &lt;i&gt;et al.&lt;/i&gt;, 2021)","plainTextFormattedCitation":"(Bezooijen, 2006; Ashmit et al., 2021)","previouslyFormattedCitation":"(Bezooijen, 2006; Ashmit &lt;i&gt;et al.&lt;/i&gt;, 2021)"},"properties":{"noteIndex":0},"schema":"https://github.com/citation-style-language/schema/raw/master/csl-citation.json"}</w:instrText>
      </w:r>
      <w:r w:rsidR="00E02BDB" w:rsidRPr="6AC1B2C3">
        <w:rPr>
          <w:rFonts w:ascii="Arial" w:eastAsia="Times New Roman" w:hAnsi="Arial" w:cs="Arial"/>
          <w:color w:val="000000" w:themeColor="text1"/>
          <w:sz w:val="24"/>
          <w:szCs w:val="24"/>
        </w:rPr>
        <w:fldChar w:fldCharType="separate"/>
      </w:r>
      <w:r w:rsidR="6AC1B2C3" w:rsidRPr="6AC1B2C3">
        <w:rPr>
          <w:rFonts w:ascii="Arial" w:eastAsia="Times New Roman" w:hAnsi="Arial" w:cs="Arial"/>
          <w:noProof/>
          <w:color w:val="000000" w:themeColor="text1"/>
          <w:sz w:val="24"/>
          <w:szCs w:val="24"/>
        </w:rPr>
        <w:t xml:space="preserve">(Bezooijen, 2006; Ashmit </w:t>
      </w:r>
      <w:r w:rsidR="6AC1B2C3" w:rsidRPr="6AC1B2C3">
        <w:rPr>
          <w:rFonts w:ascii="Arial" w:eastAsia="Times New Roman" w:hAnsi="Arial" w:cs="Arial"/>
          <w:i/>
          <w:iCs/>
          <w:noProof/>
          <w:color w:val="000000" w:themeColor="text1"/>
          <w:sz w:val="24"/>
          <w:szCs w:val="24"/>
        </w:rPr>
        <w:t>et al.</w:t>
      </w:r>
      <w:r w:rsidR="6AC1B2C3" w:rsidRPr="6AC1B2C3">
        <w:rPr>
          <w:rFonts w:ascii="Arial" w:eastAsia="Times New Roman" w:hAnsi="Arial" w:cs="Arial"/>
          <w:noProof/>
          <w:color w:val="000000" w:themeColor="text1"/>
          <w:sz w:val="24"/>
          <w:szCs w:val="24"/>
        </w:rPr>
        <w:t>, 2021)</w:t>
      </w:r>
      <w:r w:rsidR="00E02BDB" w:rsidRPr="6AC1B2C3">
        <w:rPr>
          <w:rFonts w:ascii="Arial" w:eastAsia="Times New Roman" w:hAnsi="Arial" w:cs="Arial"/>
          <w:color w:val="000000" w:themeColor="text1"/>
          <w:sz w:val="24"/>
          <w:szCs w:val="24"/>
        </w:rPr>
        <w:fldChar w:fldCharType="end"/>
      </w:r>
    </w:p>
    <w:p w14:paraId="5256F051" w14:textId="0E48E1BF" w:rsidR="00951187" w:rsidRPr="0040026F" w:rsidRDefault="003C6C7F" w:rsidP="0040026F">
      <w:pPr>
        <w:pStyle w:val="Heading2"/>
        <w:rPr>
          <w:rFonts w:ascii="Arial" w:eastAsia="Times New Roman" w:hAnsi="Arial" w:cs="Arial"/>
          <w:b/>
          <w:color w:val="000000" w:themeColor="text1"/>
          <w:sz w:val="24"/>
          <w:szCs w:val="24"/>
        </w:rPr>
      </w:pPr>
      <w:bookmarkStart w:id="42" w:name="_Toc110341291"/>
      <w:r w:rsidRPr="0040026F">
        <w:rPr>
          <w:rFonts w:ascii="Arial" w:hAnsi="Arial" w:cs="Arial"/>
          <w:b/>
          <w:color w:val="000000" w:themeColor="text1"/>
          <w:sz w:val="24"/>
          <w:szCs w:val="24"/>
        </w:rPr>
        <w:t>2.2</w:t>
      </w:r>
      <w:r w:rsidR="00056CC9" w:rsidRPr="0040026F">
        <w:rPr>
          <w:rFonts w:ascii="Arial" w:hAnsi="Arial" w:cs="Arial"/>
          <w:b/>
          <w:color w:val="000000" w:themeColor="text1"/>
          <w:sz w:val="24"/>
          <w:szCs w:val="24"/>
        </w:rPr>
        <w:t xml:space="preserve"> </w:t>
      </w:r>
      <w:r w:rsidR="00BD026E" w:rsidRPr="0040026F">
        <w:rPr>
          <w:rFonts w:ascii="Arial" w:hAnsi="Arial" w:cs="Arial"/>
          <w:b/>
          <w:color w:val="000000" w:themeColor="text1"/>
          <w:sz w:val="24"/>
          <w:szCs w:val="24"/>
        </w:rPr>
        <w:t xml:space="preserve">Experiment 2: </w:t>
      </w:r>
      <w:r w:rsidR="003C629E" w:rsidRPr="0040026F">
        <w:rPr>
          <w:rFonts w:ascii="Arial" w:hAnsi="Arial" w:cs="Arial"/>
          <w:b/>
          <w:color w:val="000000" w:themeColor="text1"/>
          <w:sz w:val="24"/>
          <w:szCs w:val="24"/>
        </w:rPr>
        <w:t>Host status experiment on potential cover crop species</w:t>
      </w:r>
      <w:bookmarkEnd w:id="42"/>
      <w:r w:rsidR="003C629E" w:rsidRPr="0040026F">
        <w:rPr>
          <w:rFonts w:ascii="Arial" w:hAnsi="Arial" w:cs="Arial"/>
          <w:b/>
          <w:color w:val="000000" w:themeColor="text1"/>
          <w:sz w:val="24"/>
          <w:szCs w:val="24"/>
        </w:rPr>
        <w:t xml:space="preserve"> </w:t>
      </w:r>
    </w:p>
    <w:p w14:paraId="628BF91B" w14:textId="6F2B0D6D" w:rsidR="00C13E47" w:rsidRPr="00616CDC" w:rsidRDefault="6AC1B2C3" w:rsidP="0040026F">
      <w:pPr>
        <w:spacing w:line="360" w:lineRule="auto"/>
        <w:ind w:left="-567"/>
        <w:jc w:val="both"/>
      </w:pPr>
      <w:r w:rsidRPr="00616CDC">
        <w:rPr>
          <w:rFonts w:ascii="Arial" w:eastAsiaTheme="majorEastAsia" w:hAnsi="Arial" w:cs="Arial"/>
          <w:color w:val="000000" w:themeColor="text1"/>
          <w:sz w:val="24"/>
          <w:szCs w:val="24"/>
        </w:rPr>
        <w:t>Prior to setting up a glasshouse experiment</w:t>
      </w:r>
      <w:r w:rsidRPr="6AC1B2C3">
        <w:rPr>
          <w:rFonts w:ascii="Arial" w:hAnsi="Arial" w:cs="Arial"/>
          <w:color w:val="000000" w:themeColor="text1"/>
          <w:sz w:val="24"/>
          <w:szCs w:val="24"/>
        </w:rPr>
        <w:t xml:space="preserve">, </w:t>
      </w:r>
      <w:r w:rsidRPr="00616CDC">
        <w:rPr>
          <w:rFonts w:ascii="Arial" w:eastAsiaTheme="majorEastAsia" w:hAnsi="Arial" w:cs="Arial"/>
          <w:color w:val="000000" w:themeColor="text1"/>
          <w:sz w:val="24"/>
          <w:szCs w:val="24"/>
        </w:rPr>
        <w:t xml:space="preserve">a </w:t>
      </w:r>
      <w:r w:rsidRPr="6AC1B2C3">
        <w:rPr>
          <w:rFonts w:ascii="Arial" w:hAnsi="Arial" w:cs="Arial"/>
          <w:color w:val="000000" w:themeColor="text1"/>
          <w:sz w:val="24"/>
          <w:szCs w:val="24"/>
        </w:rPr>
        <w:t>cover crop candidate list was formulated based on literature screening of existing databases and articles on the host status of the different cover crops to stubby root nematodes One of the databases used was Best4Soil platform</w:t>
      </w:r>
      <w:r w:rsidRPr="00616CDC">
        <w:rPr>
          <w:rFonts w:ascii="Arial" w:hAnsi="Arial" w:cs="Arial"/>
          <w:color w:val="000000" w:themeColor="text1"/>
          <w:sz w:val="24"/>
          <w:szCs w:val="24"/>
        </w:rPr>
        <w:t xml:space="preserve"> </w:t>
      </w:r>
      <w:r w:rsidRPr="6AC1B2C3">
        <w:rPr>
          <w:rFonts w:ascii="Arial" w:hAnsi="Arial" w:cs="Arial"/>
          <w:color w:val="000000" w:themeColor="text1"/>
          <w:sz w:val="24"/>
          <w:szCs w:val="24"/>
        </w:rPr>
        <w:t>(</w:t>
      </w:r>
      <w:hyperlink r:id="rId25" w:history="1">
        <w:hyperlink r:id="rId26" w:history="1">
          <w:r w:rsidRPr="6AC1B2C3">
            <w:rPr>
              <w:rFonts w:ascii="Arial" w:hAnsi="Arial" w:cs="Arial"/>
              <w:color w:val="00B0F0"/>
              <w:sz w:val="24"/>
              <w:szCs w:val="24"/>
            </w:rPr>
            <w:t>https://www.best4soil.eu/</w:t>
          </w:r>
        </w:hyperlink>
      </w:hyperlink>
      <w:r w:rsidRPr="6AC1B2C3">
        <w:rPr>
          <w:rStyle w:val="Hyperlink"/>
          <w:rFonts w:ascii="Arial" w:hAnsi="Arial" w:cs="Arial"/>
          <w:color w:val="00B0F0"/>
          <w:sz w:val="24"/>
          <w:szCs w:val="24"/>
        </w:rPr>
        <w:t>)</w:t>
      </w:r>
      <w:r w:rsidRPr="6AC1B2C3">
        <w:rPr>
          <w:rFonts w:ascii="Arial" w:hAnsi="Arial" w:cs="Arial"/>
          <w:color w:val="000000" w:themeColor="text1"/>
          <w:sz w:val="24"/>
          <w:szCs w:val="24"/>
        </w:rPr>
        <w:t>. Cover crops from diverse plant families were evaluated to determine their host status as shown in Table 4 to stubby root nematodes (</w:t>
      </w:r>
      <w:r w:rsidRPr="6AC1B2C3">
        <w:rPr>
          <w:rFonts w:ascii="Arial" w:hAnsi="Arial" w:cs="Arial"/>
          <w:i/>
          <w:iCs/>
          <w:color w:val="000000" w:themeColor="text1"/>
          <w:sz w:val="24"/>
          <w:szCs w:val="24"/>
        </w:rPr>
        <w:t>Trichodorus</w:t>
      </w:r>
      <w:r w:rsidRPr="00616CDC">
        <w:rPr>
          <w:rFonts w:ascii="Arial" w:hAnsi="Arial" w:cs="Arial"/>
          <w:color w:val="000000" w:themeColor="text1"/>
          <w:sz w:val="24"/>
          <w:szCs w:val="24"/>
        </w:rPr>
        <w:t xml:space="preserve"> </w:t>
      </w:r>
      <w:r w:rsidRPr="6AC1B2C3">
        <w:rPr>
          <w:rFonts w:ascii="Arial" w:hAnsi="Arial" w:cs="Arial"/>
          <w:color w:val="000000" w:themeColor="text1"/>
          <w:sz w:val="24"/>
          <w:szCs w:val="24"/>
        </w:rPr>
        <w:t xml:space="preserve">and </w:t>
      </w:r>
      <w:r w:rsidRPr="6AC1B2C3">
        <w:rPr>
          <w:rFonts w:ascii="Arial" w:hAnsi="Arial" w:cs="Arial"/>
          <w:i/>
          <w:iCs/>
          <w:color w:val="000000" w:themeColor="text1"/>
          <w:sz w:val="24"/>
          <w:szCs w:val="24"/>
        </w:rPr>
        <w:t xml:space="preserve">Paratrichodorus </w:t>
      </w:r>
      <w:r w:rsidRPr="6AC1B2C3">
        <w:rPr>
          <w:rFonts w:ascii="Arial" w:hAnsi="Arial" w:cs="Arial"/>
          <w:color w:val="000000" w:themeColor="text1"/>
          <w:sz w:val="24"/>
          <w:szCs w:val="24"/>
        </w:rPr>
        <w:t>spp</w:t>
      </w:r>
      <w:r w:rsidRPr="00616CDC">
        <w:rPr>
          <w:rFonts w:ascii="Arial" w:hAnsi="Arial" w:cs="Arial"/>
          <w:color w:val="000000" w:themeColor="text1"/>
          <w:sz w:val="24"/>
          <w:szCs w:val="24"/>
        </w:rPr>
        <w:t>)</w:t>
      </w:r>
      <w:r w:rsidRPr="6AC1B2C3">
        <w:rPr>
          <w:rFonts w:ascii="Arial" w:hAnsi="Arial" w:cs="Arial"/>
          <w:color w:val="000000" w:themeColor="text1"/>
          <w:sz w:val="24"/>
          <w:szCs w:val="24"/>
        </w:rPr>
        <w:t xml:space="preserve">. Air temperature </w:t>
      </w:r>
      <w:r w:rsidRPr="6AC1B2C3">
        <w:rPr>
          <w:rFonts w:ascii="Arial" w:eastAsia="Times New Roman" w:hAnsi="Arial" w:cs="Arial"/>
          <w:color w:val="000000" w:themeColor="text1"/>
          <w:sz w:val="24"/>
          <w:szCs w:val="24"/>
        </w:rPr>
        <w:t>was recorded at hourly intervals using temperature data loggers. Supplementary light was provided to achieve a 16hrs long day light regime. Terracotta pots approximately 1.4 L were used. The experiment was arranged in a randomised block design of seven blocks and 17 treatments (Figure 12). Treatments were randomised using GenStat 15</w:t>
      </w:r>
      <w:r w:rsidRPr="6AC1B2C3">
        <w:rPr>
          <w:rFonts w:ascii="Arial" w:eastAsia="Times New Roman" w:hAnsi="Arial" w:cs="Arial"/>
          <w:color w:val="000000" w:themeColor="text1"/>
          <w:sz w:val="24"/>
          <w:szCs w:val="24"/>
          <w:vertAlign w:val="superscript"/>
        </w:rPr>
        <w:t>th</w:t>
      </w:r>
      <w:r w:rsidRPr="6AC1B2C3">
        <w:rPr>
          <w:rFonts w:ascii="Arial" w:eastAsia="Times New Roman" w:hAnsi="Arial" w:cs="Arial"/>
          <w:color w:val="000000" w:themeColor="text1"/>
          <w:sz w:val="24"/>
          <w:szCs w:val="24"/>
        </w:rPr>
        <w:t xml:space="preserve"> Edition. </w:t>
      </w:r>
      <w:r w:rsidRPr="6AC1B2C3">
        <w:rPr>
          <w:rFonts w:ascii="Arial" w:hAnsi="Arial" w:cs="Arial"/>
          <w:color w:val="000000" w:themeColor="text1"/>
          <w:sz w:val="24"/>
          <w:szCs w:val="24"/>
        </w:rPr>
        <w:t xml:space="preserve">Pots were directly seeded with cover crops according to the seed rate recommendations by the seed supplier as listed in Table 4. Germination was monitored 5 days after planting and continually checked after every three days to determine the percentage germination of the different cover crops. Plants were watered as required and the fallow control was hand weeded after every three days. </w:t>
      </w:r>
    </w:p>
    <w:p w14:paraId="2EE05DA5" w14:textId="77777777" w:rsidR="00C13E47" w:rsidRDefault="00C13E47" w:rsidP="00616CDC">
      <w:pPr>
        <w:spacing w:line="360" w:lineRule="auto"/>
        <w:jc w:val="center"/>
        <w:rPr>
          <w:rFonts w:ascii="Arial" w:eastAsia="Times New Roman" w:hAnsi="Arial" w:cs="Arial"/>
          <w:color w:val="000000" w:themeColor="text1"/>
          <w:sz w:val="24"/>
          <w:szCs w:val="24"/>
        </w:rPr>
      </w:pPr>
      <w:r w:rsidRPr="002B3D8A">
        <w:rPr>
          <w:rFonts w:ascii="Arial" w:hAnsi="Arial" w:cs="Arial"/>
          <w:noProof/>
          <w:color w:val="000000" w:themeColor="text1"/>
          <w:sz w:val="24"/>
          <w:szCs w:val="24"/>
        </w:rPr>
        <w:drawing>
          <wp:inline distT="0" distB="0" distL="0" distR="0" wp14:anchorId="61C2D2D6" wp14:editId="7A222AC1">
            <wp:extent cx="2353260" cy="1765075"/>
            <wp:effectExtent l="0" t="0" r="9525" b="6985"/>
            <wp:docPr id="21" name="Picture 4">
              <a:extLst xmlns:a="http://schemas.openxmlformats.org/drawingml/2006/main">
                <a:ext uri="{FF2B5EF4-FFF2-40B4-BE49-F238E27FC236}">
                  <a16:creationId xmlns:a16="http://schemas.microsoft.com/office/drawing/2014/main" id="{8BFFF290-0BCA-42DC-AB12-58A862C02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BFFF290-0BCA-42DC-AB12-58A862C02A4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7666" cy="1828384"/>
                    </a:xfrm>
                    <a:prstGeom prst="rect">
                      <a:avLst/>
                    </a:prstGeom>
                  </pic:spPr>
                </pic:pic>
              </a:graphicData>
            </a:graphic>
          </wp:inline>
        </w:drawing>
      </w:r>
    </w:p>
    <w:p w14:paraId="304690FA" w14:textId="10D37991" w:rsidR="00C13E47" w:rsidRDefault="00C13E47" w:rsidP="00C13E47">
      <w:pPr>
        <w:jc w:val="both"/>
        <w:rPr>
          <w:rFonts w:ascii="Arial" w:hAnsi="Arial" w:cs="Arial"/>
          <w:color w:val="000000" w:themeColor="text1"/>
        </w:rPr>
        <w:sectPr w:rsidR="00C13E47" w:rsidSect="002572CD">
          <w:pgSz w:w="11906" w:h="16838"/>
          <w:pgMar w:top="1440" w:right="1440" w:bottom="1440" w:left="1440" w:header="708" w:footer="708" w:gutter="0"/>
          <w:cols w:space="708"/>
          <w:docGrid w:linePitch="360"/>
        </w:sectPr>
      </w:pPr>
      <w:bookmarkStart w:id="43" w:name="_Toc110342111"/>
      <w:r w:rsidRPr="00502C77">
        <w:rPr>
          <w:rFonts w:ascii="Arial" w:hAnsi="Arial" w:cs="Arial"/>
          <w:color w:val="000000" w:themeColor="text1"/>
        </w:rPr>
        <w:t xml:space="preserve">Figure </w:t>
      </w:r>
      <w:r w:rsidRPr="00502C77">
        <w:rPr>
          <w:rFonts w:ascii="Arial" w:hAnsi="Arial" w:cs="Arial"/>
          <w:color w:val="000000" w:themeColor="text1"/>
        </w:rPr>
        <w:fldChar w:fldCharType="begin"/>
      </w:r>
      <w:r w:rsidRPr="00502C77">
        <w:rPr>
          <w:rFonts w:ascii="Arial" w:hAnsi="Arial" w:cs="Arial"/>
          <w:color w:val="000000" w:themeColor="text1"/>
        </w:rPr>
        <w:instrText xml:space="preserve"> SEQ Figure \* ARABIC </w:instrText>
      </w:r>
      <w:r w:rsidRPr="00502C77">
        <w:rPr>
          <w:rFonts w:ascii="Arial" w:hAnsi="Arial" w:cs="Arial"/>
          <w:color w:val="000000" w:themeColor="text1"/>
        </w:rPr>
        <w:fldChar w:fldCharType="separate"/>
      </w:r>
      <w:r w:rsidR="00C10D2B">
        <w:rPr>
          <w:rFonts w:ascii="Arial" w:hAnsi="Arial" w:cs="Arial"/>
          <w:noProof/>
          <w:color w:val="000000" w:themeColor="text1"/>
        </w:rPr>
        <w:t>8</w:t>
      </w:r>
      <w:r w:rsidRPr="00502C77">
        <w:rPr>
          <w:rFonts w:ascii="Arial" w:hAnsi="Arial" w:cs="Arial"/>
          <w:color w:val="000000" w:themeColor="text1"/>
        </w:rPr>
        <w:fldChar w:fldCharType="end"/>
      </w:r>
      <w:r w:rsidRPr="00502C77">
        <w:rPr>
          <w:rFonts w:ascii="Arial" w:hAnsi="Arial" w:cs="Arial"/>
          <w:color w:val="000000" w:themeColor="text1"/>
        </w:rPr>
        <w:t xml:space="preserve">: Glasshouse </w:t>
      </w:r>
      <w:r>
        <w:rPr>
          <w:rFonts w:ascii="Arial" w:hAnsi="Arial" w:cs="Arial"/>
          <w:color w:val="000000" w:themeColor="text1"/>
        </w:rPr>
        <w:t xml:space="preserve">pot </w:t>
      </w:r>
      <w:r w:rsidRPr="00502C77">
        <w:rPr>
          <w:rFonts w:ascii="Arial" w:hAnsi="Arial" w:cs="Arial"/>
          <w:color w:val="000000" w:themeColor="text1"/>
        </w:rPr>
        <w:t>experiment on host status of different cover crop species</w:t>
      </w:r>
      <w:r>
        <w:rPr>
          <w:rFonts w:ascii="Arial" w:hAnsi="Arial" w:cs="Arial"/>
          <w:color w:val="000000" w:themeColor="text1"/>
        </w:rPr>
        <w:t xml:space="preserve"> incubated for 8 weeks after planting</w:t>
      </w:r>
      <w:bookmarkEnd w:id="43"/>
      <w:r>
        <w:rPr>
          <w:rFonts w:ascii="Arial" w:hAnsi="Arial" w:cs="Arial"/>
          <w:color w:val="000000" w:themeColor="text1"/>
        </w:rPr>
        <w:t xml:space="preserve"> </w:t>
      </w:r>
    </w:p>
    <w:p w14:paraId="66ED9A0A" w14:textId="480E8E7A" w:rsidR="00610375" w:rsidRPr="00616CDC" w:rsidRDefault="00610375" w:rsidP="00616CDC">
      <w:pPr>
        <w:jc w:val="both"/>
        <w:rPr>
          <w:rFonts w:ascii="Arial" w:hAnsi="Arial" w:cs="Arial"/>
          <w:color w:val="000000" w:themeColor="text1"/>
          <w:sz w:val="24"/>
          <w:szCs w:val="24"/>
        </w:rPr>
      </w:pPr>
    </w:p>
    <w:tbl>
      <w:tblPr>
        <w:tblStyle w:val="ListTable6Colorful-Accent1"/>
        <w:tblpPr w:leftFromText="180" w:rightFromText="180" w:vertAnchor="text" w:horzAnchor="margin" w:tblpXSpec="center" w:tblpY="-243"/>
        <w:tblW w:w="11452" w:type="dxa"/>
        <w:tblLayout w:type="fixed"/>
        <w:tblLook w:val="07A0" w:firstRow="1" w:lastRow="0" w:firstColumn="1" w:lastColumn="1" w:noHBand="1" w:noVBand="1"/>
      </w:tblPr>
      <w:tblGrid>
        <w:gridCol w:w="3525"/>
        <w:gridCol w:w="2244"/>
        <w:gridCol w:w="1765"/>
        <w:gridCol w:w="1585"/>
        <w:gridCol w:w="2333"/>
      </w:tblGrid>
      <w:tr w:rsidR="00C13E47" w:rsidRPr="00C13E47" w14:paraId="36B81824" w14:textId="77777777" w:rsidTr="00C13E4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447" w:type="dxa"/>
            <w:gridSpan w:val="5"/>
            <w:tcBorders>
              <w:top w:val="nil"/>
              <w:bottom w:val="nil"/>
              <w:right w:val="nil"/>
            </w:tcBorders>
          </w:tcPr>
          <w:p w14:paraId="14FFDC6E" w14:textId="6C3B16D1" w:rsidR="00C13E47" w:rsidRPr="00616CDC" w:rsidRDefault="00C13E47" w:rsidP="00C13E47">
            <w:pPr>
              <w:spacing w:line="360" w:lineRule="auto"/>
              <w:rPr>
                <w:rFonts w:ascii="Arial" w:eastAsia="Times New Roman" w:hAnsi="Arial" w:cs="Arial"/>
                <w:b w:val="0"/>
                <w:color w:val="000000" w:themeColor="text1"/>
                <w:sz w:val="24"/>
                <w:szCs w:val="24"/>
              </w:rPr>
            </w:pPr>
            <w:bookmarkStart w:id="44" w:name="_Toc110343303"/>
            <w:r>
              <w:rPr>
                <w:rFonts w:ascii="Arial" w:hAnsi="Arial" w:cs="Arial"/>
                <w:b w:val="0"/>
                <w:color w:val="000000" w:themeColor="text1"/>
                <w:sz w:val="24"/>
                <w:szCs w:val="24"/>
              </w:rPr>
              <w:t>T</w:t>
            </w:r>
            <w:r w:rsidRPr="00616CDC">
              <w:rPr>
                <w:rFonts w:ascii="Arial" w:hAnsi="Arial" w:cs="Arial"/>
                <w:color w:val="000000" w:themeColor="text1"/>
                <w:sz w:val="24"/>
                <w:szCs w:val="24"/>
              </w:rPr>
              <w:t xml:space="preserve">able </w:t>
            </w:r>
            <w:r w:rsidRPr="00616CDC">
              <w:rPr>
                <w:rFonts w:ascii="Arial" w:hAnsi="Arial" w:cs="Arial"/>
                <w:color w:val="000000" w:themeColor="text1"/>
                <w:sz w:val="24"/>
                <w:szCs w:val="24"/>
              </w:rPr>
              <w:fldChar w:fldCharType="begin"/>
            </w:r>
            <w:r w:rsidRPr="00616CDC">
              <w:rPr>
                <w:rFonts w:ascii="Arial" w:hAnsi="Arial" w:cs="Arial"/>
                <w:color w:val="000000" w:themeColor="text1"/>
                <w:sz w:val="24"/>
                <w:szCs w:val="24"/>
              </w:rPr>
              <w:instrText xml:space="preserve"> SEQ Table \* ARABIC </w:instrText>
            </w:r>
            <w:r w:rsidRPr="00616CDC">
              <w:rPr>
                <w:rFonts w:ascii="Arial" w:hAnsi="Arial" w:cs="Arial"/>
                <w:color w:val="000000" w:themeColor="text1"/>
                <w:sz w:val="24"/>
                <w:szCs w:val="24"/>
              </w:rPr>
              <w:fldChar w:fldCharType="separate"/>
            </w:r>
            <w:r w:rsidR="00DD3BE0">
              <w:rPr>
                <w:rFonts w:ascii="Arial" w:hAnsi="Arial" w:cs="Arial"/>
                <w:noProof/>
                <w:color w:val="000000" w:themeColor="text1"/>
                <w:sz w:val="24"/>
                <w:szCs w:val="24"/>
              </w:rPr>
              <w:t>4</w:t>
            </w:r>
            <w:r w:rsidRPr="00616CDC">
              <w:rPr>
                <w:rFonts w:ascii="Arial" w:hAnsi="Arial" w:cs="Arial"/>
                <w:color w:val="000000" w:themeColor="text1"/>
                <w:sz w:val="24"/>
                <w:szCs w:val="24"/>
              </w:rPr>
              <w:fldChar w:fldCharType="end"/>
            </w:r>
            <w:r w:rsidRPr="00616CDC">
              <w:rPr>
                <w:rFonts w:ascii="Arial" w:hAnsi="Arial" w:cs="Arial"/>
                <w:color w:val="000000" w:themeColor="text1"/>
                <w:sz w:val="24"/>
                <w:szCs w:val="24"/>
              </w:rPr>
              <w:t>: List of cover crop treatments used in a glasshouse experiment to determine host status</w:t>
            </w:r>
            <w:bookmarkEnd w:id="44"/>
            <w:r w:rsidRPr="00616CDC">
              <w:rPr>
                <w:rFonts w:ascii="Arial" w:hAnsi="Arial" w:cs="Arial"/>
                <w:color w:val="000000" w:themeColor="text1"/>
                <w:sz w:val="24"/>
                <w:szCs w:val="24"/>
              </w:rPr>
              <w:t xml:space="preserve"> </w:t>
            </w:r>
          </w:p>
        </w:tc>
      </w:tr>
      <w:tr w:rsidR="00616CDC" w:rsidRPr="00C13E47" w14:paraId="73B7AF62" w14:textId="77777777" w:rsidTr="00616CDC">
        <w:trPr>
          <w:trHeight w:val="753"/>
        </w:trPr>
        <w:tc>
          <w:tcPr>
            <w:cnfStyle w:val="001000000000" w:firstRow="0" w:lastRow="0" w:firstColumn="1" w:lastColumn="0" w:oddVBand="0" w:evenVBand="0" w:oddHBand="0" w:evenHBand="0" w:firstRowFirstColumn="0" w:firstRowLastColumn="0" w:lastRowFirstColumn="0" w:lastRowLastColumn="0"/>
            <w:tcW w:w="3525" w:type="dxa"/>
            <w:tcBorders>
              <w:top w:val="single" w:sz="4" w:space="0" w:color="auto"/>
              <w:bottom w:val="single" w:sz="4" w:space="0" w:color="auto"/>
              <w:right w:val="single" w:sz="4" w:space="0" w:color="auto"/>
            </w:tcBorders>
          </w:tcPr>
          <w:p w14:paraId="4F82EF0D" w14:textId="77777777" w:rsidR="00C13E47" w:rsidRPr="00C13E47" w:rsidRDefault="00C13E47" w:rsidP="00C13E47">
            <w:pPr>
              <w:spacing w:line="360" w:lineRule="auto"/>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Plant species</w:t>
            </w:r>
          </w:p>
        </w:tc>
        <w:tc>
          <w:tcPr>
            <w:tcW w:w="2244" w:type="dxa"/>
            <w:tcBorders>
              <w:top w:val="single" w:sz="4" w:space="0" w:color="auto"/>
              <w:left w:val="single" w:sz="4" w:space="0" w:color="auto"/>
              <w:bottom w:val="single" w:sz="4" w:space="0" w:color="auto"/>
              <w:right w:val="single" w:sz="4" w:space="0" w:color="auto"/>
            </w:tcBorders>
          </w:tcPr>
          <w:p w14:paraId="6D19949F"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rPr>
            </w:pPr>
            <w:r w:rsidRPr="00C13E47">
              <w:rPr>
                <w:rFonts w:ascii="Arial" w:eastAsia="Times New Roman" w:hAnsi="Arial" w:cs="Arial"/>
                <w:b/>
                <w:color w:val="000000" w:themeColor="text1"/>
                <w:sz w:val="24"/>
                <w:szCs w:val="24"/>
              </w:rPr>
              <w:t xml:space="preserve">Common name </w:t>
            </w:r>
          </w:p>
        </w:tc>
        <w:tc>
          <w:tcPr>
            <w:tcW w:w="1765" w:type="dxa"/>
            <w:tcBorders>
              <w:top w:val="single" w:sz="4" w:space="0" w:color="auto"/>
              <w:left w:val="single" w:sz="4" w:space="0" w:color="auto"/>
              <w:bottom w:val="single" w:sz="4" w:space="0" w:color="auto"/>
              <w:right w:val="single" w:sz="4" w:space="0" w:color="auto"/>
            </w:tcBorders>
          </w:tcPr>
          <w:p w14:paraId="09677BDF"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C13E47">
              <w:rPr>
                <w:rFonts w:ascii="Arial" w:eastAsia="Times New Roman" w:hAnsi="Arial" w:cs="Arial"/>
                <w:b/>
                <w:color w:val="000000" w:themeColor="text1"/>
                <w:sz w:val="24"/>
                <w:szCs w:val="24"/>
              </w:rPr>
              <w:t xml:space="preserve">Variety </w:t>
            </w:r>
          </w:p>
        </w:tc>
        <w:tc>
          <w:tcPr>
            <w:tcW w:w="1585" w:type="dxa"/>
            <w:tcBorders>
              <w:top w:val="single" w:sz="4" w:space="0" w:color="auto"/>
              <w:left w:val="single" w:sz="4" w:space="0" w:color="auto"/>
              <w:bottom w:val="single" w:sz="4" w:space="0" w:color="auto"/>
              <w:right w:val="single" w:sz="4" w:space="0" w:color="auto"/>
            </w:tcBorders>
          </w:tcPr>
          <w:p w14:paraId="6207C0E6"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Mode of action</w:t>
            </w:r>
          </w:p>
        </w:tc>
        <w:tc>
          <w:tcPr>
            <w:cnfStyle w:val="000100000000" w:firstRow="0" w:lastRow="0" w:firstColumn="0" w:lastColumn="1" w:oddVBand="0" w:evenVBand="0" w:oddHBand="0" w:evenHBand="0" w:firstRowFirstColumn="0" w:firstRowLastColumn="0" w:lastRowFirstColumn="0" w:lastRowLastColumn="0"/>
            <w:tcW w:w="2333" w:type="dxa"/>
            <w:tcBorders>
              <w:top w:val="single" w:sz="4" w:space="0" w:color="auto"/>
              <w:left w:val="single" w:sz="4" w:space="0" w:color="auto"/>
              <w:bottom w:val="single" w:sz="4" w:space="0" w:color="auto"/>
              <w:right w:val="nil"/>
            </w:tcBorders>
          </w:tcPr>
          <w:p w14:paraId="5E801BCF" w14:textId="77777777" w:rsidR="00C13E47" w:rsidRPr="00C13E47" w:rsidRDefault="00C13E47" w:rsidP="00C13E47">
            <w:pPr>
              <w:spacing w:line="360" w:lineRule="auto"/>
              <w:rPr>
                <w:rFonts w:ascii="Arial" w:hAnsi="Arial" w:cs="Arial"/>
                <w:b w:val="0"/>
                <w:color w:val="000000" w:themeColor="text1"/>
                <w:sz w:val="24"/>
                <w:szCs w:val="24"/>
              </w:rPr>
            </w:pPr>
            <w:r w:rsidRPr="00C13E47">
              <w:rPr>
                <w:rFonts w:ascii="Arial" w:eastAsia="Times New Roman" w:hAnsi="Arial" w:cs="Arial"/>
                <w:b w:val="0"/>
                <w:color w:val="000000" w:themeColor="text1"/>
                <w:sz w:val="24"/>
                <w:szCs w:val="24"/>
              </w:rPr>
              <w:t>Seed rate kg ha</w:t>
            </w:r>
            <w:r w:rsidRPr="00C13E47">
              <w:rPr>
                <w:rFonts w:ascii="Arial" w:eastAsia="Times New Roman" w:hAnsi="Arial" w:cs="Arial"/>
                <w:b w:val="0"/>
                <w:color w:val="000000" w:themeColor="text1"/>
                <w:sz w:val="24"/>
                <w:szCs w:val="24"/>
                <w:vertAlign w:val="superscript"/>
              </w:rPr>
              <w:t>-1</w:t>
            </w:r>
          </w:p>
        </w:tc>
      </w:tr>
      <w:tr w:rsidR="00616CDC" w:rsidRPr="00C13E47" w14:paraId="40D2AA01" w14:textId="77777777" w:rsidTr="00616CDC">
        <w:trPr>
          <w:trHeight w:val="542"/>
        </w:trPr>
        <w:tc>
          <w:tcPr>
            <w:cnfStyle w:val="001000000000" w:firstRow="0" w:lastRow="0" w:firstColumn="1" w:lastColumn="0" w:oddVBand="0" w:evenVBand="0" w:oddHBand="0" w:evenHBand="0" w:firstRowFirstColumn="0" w:firstRowLastColumn="0" w:lastRowFirstColumn="0" w:lastRowLastColumn="0"/>
            <w:tcW w:w="3525" w:type="dxa"/>
            <w:tcBorders>
              <w:top w:val="single" w:sz="4" w:space="0" w:color="auto"/>
              <w:bottom w:val="nil"/>
              <w:right w:val="single" w:sz="4" w:space="0" w:color="auto"/>
            </w:tcBorders>
          </w:tcPr>
          <w:p w14:paraId="68D044FA" w14:textId="77777777" w:rsidR="00C13E47" w:rsidRPr="00C13E47" w:rsidRDefault="00C13E47" w:rsidP="00C13E47">
            <w:pPr>
              <w:spacing w:line="360" w:lineRule="auto"/>
              <w:ind w:left="360" w:right="319"/>
              <w:rPr>
                <w:rFonts w:ascii="Arial" w:hAnsi="Arial" w:cs="Arial"/>
                <w:b w:val="0"/>
                <w:i/>
                <w:color w:val="000000" w:themeColor="text1"/>
                <w:sz w:val="24"/>
                <w:szCs w:val="24"/>
              </w:rPr>
            </w:pPr>
            <w:r w:rsidRPr="00C13E47">
              <w:rPr>
                <w:rFonts w:ascii="Arial" w:eastAsia="Times New Roman" w:hAnsi="Arial" w:cs="Arial"/>
                <w:b w:val="0"/>
                <w:i/>
                <w:color w:val="000000" w:themeColor="text1"/>
                <w:sz w:val="24"/>
                <w:szCs w:val="24"/>
              </w:rPr>
              <w:t xml:space="preserve">Trifolium </w:t>
            </w:r>
            <w:proofErr w:type="spellStart"/>
            <w:r w:rsidRPr="00C13E47">
              <w:rPr>
                <w:rFonts w:ascii="Arial" w:eastAsia="Times New Roman" w:hAnsi="Arial" w:cs="Arial"/>
                <w:b w:val="0"/>
                <w:i/>
                <w:color w:val="000000" w:themeColor="text1"/>
                <w:sz w:val="24"/>
                <w:szCs w:val="24"/>
              </w:rPr>
              <w:t>Alexandrinum</w:t>
            </w:r>
            <w:proofErr w:type="spellEnd"/>
            <w:r w:rsidRPr="00C13E47">
              <w:rPr>
                <w:rFonts w:ascii="Arial" w:eastAsia="Times New Roman" w:hAnsi="Arial" w:cs="Arial"/>
                <w:b w:val="0"/>
                <w:i/>
                <w:color w:val="000000" w:themeColor="text1"/>
                <w:sz w:val="24"/>
                <w:szCs w:val="24"/>
              </w:rPr>
              <w:t xml:space="preserve"> </w:t>
            </w:r>
          </w:p>
        </w:tc>
        <w:tc>
          <w:tcPr>
            <w:tcW w:w="2244" w:type="dxa"/>
            <w:tcBorders>
              <w:top w:val="single" w:sz="4" w:space="0" w:color="auto"/>
              <w:left w:val="single" w:sz="4" w:space="0" w:color="auto"/>
              <w:bottom w:val="nil"/>
              <w:right w:val="single" w:sz="4" w:space="0" w:color="auto"/>
            </w:tcBorders>
          </w:tcPr>
          <w:p w14:paraId="18F306C3"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Berseem clover</w:t>
            </w:r>
          </w:p>
        </w:tc>
        <w:tc>
          <w:tcPr>
            <w:tcW w:w="1765" w:type="dxa"/>
            <w:tcBorders>
              <w:top w:val="single" w:sz="4" w:space="0" w:color="auto"/>
              <w:left w:val="single" w:sz="4" w:space="0" w:color="auto"/>
              <w:bottom w:val="nil"/>
              <w:right w:val="single" w:sz="4" w:space="0" w:color="auto"/>
            </w:tcBorders>
          </w:tcPr>
          <w:p w14:paraId="3E571572"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eastAsia="Times New Roman" w:hAnsi="Arial" w:cs="Arial"/>
                <w:color w:val="000000" w:themeColor="text1"/>
                <w:sz w:val="24"/>
                <w:szCs w:val="24"/>
              </w:rPr>
              <w:t xml:space="preserve">Pharos </w:t>
            </w:r>
          </w:p>
        </w:tc>
        <w:tc>
          <w:tcPr>
            <w:tcW w:w="1585" w:type="dxa"/>
            <w:tcBorders>
              <w:top w:val="single" w:sz="4" w:space="0" w:color="auto"/>
              <w:left w:val="single" w:sz="4" w:space="0" w:color="auto"/>
              <w:bottom w:val="nil"/>
              <w:right w:val="single" w:sz="4" w:space="0" w:color="auto"/>
            </w:tcBorders>
          </w:tcPr>
          <w:p w14:paraId="2DDE8F81" w14:textId="77777777" w:rsidR="00C13E47" w:rsidRPr="00C13E47" w:rsidRDefault="00C13E47" w:rsidP="00C13E4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 xml:space="preserve">Unknown </w:t>
            </w:r>
          </w:p>
        </w:tc>
        <w:tc>
          <w:tcPr>
            <w:cnfStyle w:val="000100000000" w:firstRow="0" w:lastRow="0" w:firstColumn="0" w:lastColumn="1" w:oddVBand="0" w:evenVBand="0" w:oddHBand="0" w:evenHBand="0" w:firstRowFirstColumn="0" w:firstRowLastColumn="0" w:lastRowFirstColumn="0" w:lastRowLastColumn="0"/>
            <w:tcW w:w="2333" w:type="dxa"/>
            <w:tcBorders>
              <w:top w:val="single" w:sz="4" w:space="0" w:color="auto"/>
              <w:left w:val="single" w:sz="4" w:space="0" w:color="auto"/>
              <w:bottom w:val="nil"/>
              <w:right w:val="nil"/>
            </w:tcBorders>
          </w:tcPr>
          <w:p w14:paraId="4E342094" w14:textId="77777777" w:rsidR="00C13E47" w:rsidRPr="00C13E47" w:rsidRDefault="00C13E47" w:rsidP="00C13E47">
            <w:pPr>
              <w:spacing w:line="360" w:lineRule="auto"/>
              <w:ind w:left="720"/>
              <w:jc w:val="both"/>
              <w:rPr>
                <w:rFonts w:ascii="Arial" w:hAnsi="Arial" w:cs="Arial"/>
                <w:color w:val="000000" w:themeColor="text1"/>
                <w:sz w:val="24"/>
                <w:szCs w:val="24"/>
              </w:rPr>
            </w:pPr>
            <w:r w:rsidRPr="00C13E47">
              <w:rPr>
                <w:rFonts w:ascii="Arial" w:eastAsia="Times New Roman" w:hAnsi="Arial" w:cs="Arial"/>
                <w:color w:val="000000" w:themeColor="text1"/>
                <w:sz w:val="24"/>
                <w:szCs w:val="24"/>
              </w:rPr>
              <w:t>30</w:t>
            </w:r>
          </w:p>
        </w:tc>
      </w:tr>
      <w:tr w:rsidR="00616CDC" w:rsidRPr="00C13E47" w14:paraId="25FEAB88" w14:textId="77777777" w:rsidTr="00616CDC">
        <w:trPr>
          <w:trHeight w:val="542"/>
        </w:trPr>
        <w:tc>
          <w:tcPr>
            <w:cnfStyle w:val="001000000000" w:firstRow="0" w:lastRow="0" w:firstColumn="1" w:lastColumn="0" w:oddVBand="0" w:evenVBand="0" w:oddHBand="0" w:evenHBand="0" w:firstRowFirstColumn="0" w:firstRowLastColumn="0" w:lastRowFirstColumn="0" w:lastRowLastColumn="0"/>
            <w:tcW w:w="3525" w:type="dxa"/>
            <w:tcBorders>
              <w:top w:val="nil"/>
              <w:right w:val="single" w:sz="4" w:space="0" w:color="auto"/>
            </w:tcBorders>
          </w:tcPr>
          <w:p w14:paraId="6CD0B2D7" w14:textId="77777777" w:rsidR="00C13E47" w:rsidRPr="00C13E47" w:rsidRDefault="00C13E47" w:rsidP="00C13E47">
            <w:pPr>
              <w:spacing w:line="360" w:lineRule="auto"/>
              <w:ind w:left="360" w:right="319"/>
              <w:rPr>
                <w:rFonts w:ascii="Arial" w:hAnsi="Arial" w:cs="Arial"/>
                <w:b w:val="0"/>
                <w:i/>
                <w:color w:val="000000" w:themeColor="text1"/>
                <w:sz w:val="24"/>
                <w:szCs w:val="24"/>
              </w:rPr>
            </w:pPr>
            <w:r w:rsidRPr="00C13E47">
              <w:rPr>
                <w:rFonts w:ascii="Arial" w:eastAsia="Times New Roman" w:hAnsi="Arial" w:cs="Arial"/>
                <w:b w:val="0"/>
                <w:i/>
                <w:color w:val="000000" w:themeColor="text1"/>
                <w:sz w:val="24"/>
                <w:szCs w:val="24"/>
              </w:rPr>
              <w:t>Lathyrus sativus</w:t>
            </w:r>
          </w:p>
        </w:tc>
        <w:tc>
          <w:tcPr>
            <w:tcW w:w="2244" w:type="dxa"/>
            <w:tcBorders>
              <w:top w:val="nil"/>
              <w:right w:val="single" w:sz="4" w:space="0" w:color="auto"/>
            </w:tcBorders>
          </w:tcPr>
          <w:p w14:paraId="1D69D114"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Chickling vetch</w:t>
            </w:r>
          </w:p>
        </w:tc>
        <w:tc>
          <w:tcPr>
            <w:tcW w:w="1765" w:type="dxa"/>
            <w:tcBorders>
              <w:top w:val="nil"/>
              <w:left w:val="single" w:sz="4" w:space="0" w:color="auto"/>
              <w:right w:val="single" w:sz="4" w:space="0" w:color="auto"/>
            </w:tcBorders>
          </w:tcPr>
          <w:p w14:paraId="7F86A030"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eastAsia="Times New Roman" w:hAnsi="Arial" w:cs="Arial"/>
                <w:color w:val="000000" w:themeColor="text1"/>
                <w:sz w:val="24"/>
                <w:szCs w:val="24"/>
              </w:rPr>
              <w:t>N/A</w:t>
            </w:r>
          </w:p>
        </w:tc>
        <w:tc>
          <w:tcPr>
            <w:tcW w:w="1585" w:type="dxa"/>
            <w:tcBorders>
              <w:top w:val="nil"/>
              <w:left w:val="single" w:sz="4" w:space="0" w:color="auto"/>
              <w:right w:val="single" w:sz="4" w:space="0" w:color="auto"/>
            </w:tcBorders>
          </w:tcPr>
          <w:p w14:paraId="6ABC4CEB" w14:textId="77777777" w:rsidR="00C13E47" w:rsidRPr="00C13E47" w:rsidRDefault="00C13E47" w:rsidP="00C13E4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 xml:space="preserve">Unknown </w:t>
            </w:r>
          </w:p>
        </w:tc>
        <w:tc>
          <w:tcPr>
            <w:cnfStyle w:val="000100000000" w:firstRow="0" w:lastRow="0" w:firstColumn="0" w:lastColumn="1" w:oddVBand="0" w:evenVBand="0" w:oddHBand="0" w:evenHBand="0" w:firstRowFirstColumn="0" w:firstRowLastColumn="0" w:lastRowFirstColumn="0" w:lastRowLastColumn="0"/>
            <w:tcW w:w="2333" w:type="dxa"/>
            <w:tcBorders>
              <w:top w:val="nil"/>
              <w:left w:val="single" w:sz="4" w:space="0" w:color="auto"/>
              <w:right w:val="nil"/>
            </w:tcBorders>
          </w:tcPr>
          <w:p w14:paraId="54DFBA66" w14:textId="77777777" w:rsidR="00C13E47" w:rsidRPr="00C13E47" w:rsidRDefault="00C13E47" w:rsidP="00C13E47">
            <w:pPr>
              <w:spacing w:line="360" w:lineRule="auto"/>
              <w:ind w:left="720"/>
              <w:jc w:val="both"/>
              <w:rPr>
                <w:rFonts w:ascii="Arial" w:hAnsi="Arial" w:cs="Arial"/>
                <w:color w:val="000000" w:themeColor="text1"/>
                <w:sz w:val="24"/>
                <w:szCs w:val="24"/>
              </w:rPr>
            </w:pPr>
            <w:r w:rsidRPr="00C13E47">
              <w:rPr>
                <w:rFonts w:ascii="Arial" w:eastAsia="Times New Roman" w:hAnsi="Arial" w:cs="Arial"/>
                <w:color w:val="000000" w:themeColor="text1"/>
                <w:sz w:val="24"/>
                <w:szCs w:val="24"/>
              </w:rPr>
              <w:t>100</w:t>
            </w:r>
          </w:p>
        </w:tc>
      </w:tr>
      <w:tr w:rsidR="00616CDC" w:rsidRPr="00C13E47" w14:paraId="3283EF4E" w14:textId="77777777" w:rsidTr="00616CDC">
        <w:trPr>
          <w:trHeight w:val="542"/>
        </w:trPr>
        <w:tc>
          <w:tcPr>
            <w:cnfStyle w:val="001000000000" w:firstRow="0" w:lastRow="0" w:firstColumn="1" w:lastColumn="0" w:oddVBand="0" w:evenVBand="0" w:oddHBand="0" w:evenHBand="0" w:firstRowFirstColumn="0" w:firstRowLastColumn="0" w:lastRowFirstColumn="0" w:lastRowLastColumn="0"/>
            <w:tcW w:w="3525" w:type="dxa"/>
            <w:tcBorders>
              <w:right w:val="single" w:sz="4" w:space="0" w:color="auto"/>
            </w:tcBorders>
          </w:tcPr>
          <w:p w14:paraId="36073708" w14:textId="77777777" w:rsidR="00C13E47" w:rsidRPr="00C13E47" w:rsidRDefault="00C13E47" w:rsidP="00C13E47">
            <w:pPr>
              <w:spacing w:line="360" w:lineRule="auto"/>
              <w:ind w:left="360" w:right="319"/>
              <w:rPr>
                <w:rFonts w:ascii="Arial" w:hAnsi="Arial" w:cs="Arial"/>
                <w:b w:val="0"/>
                <w:i/>
                <w:color w:val="000000" w:themeColor="text1"/>
                <w:sz w:val="24"/>
                <w:szCs w:val="24"/>
              </w:rPr>
            </w:pPr>
            <w:r w:rsidRPr="00C13E47">
              <w:rPr>
                <w:rFonts w:ascii="Arial" w:eastAsia="Times New Roman" w:hAnsi="Arial" w:cs="Arial"/>
                <w:b w:val="0"/>
                <w:i/>
                <w:color w:val="000000" w:themeColor="text1"/>
                <w:sz w:val="24"/>
                <w:szCs w:val="24"/>
              </w:rPr>
              <w:t xml:space="preserve">Fagopyrum esculentum </w:t>
            </w:r>
          </w:p>
        </w:tc>
        <w:tc>
          <w:tcPr>
            <w:tcW w:w="2244" w:type="dxa"/>
            <w:tcBorders>
              <w:right w:val="single" w:sz="4" w:space="0" w:color="auto"/>
            </w:tcBorders>
          </w:tcPr>
          <w:p w14:paraId="4DD6F157"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Buckwheat</w:t>
            </w:r>
          </w:p>
        </w:tc>
        <w:tc>
          <w:tcPr>
            <w:tcW w:w="1765" w:type="dxa"/>
            <w:tcBorders>
              <w:left w:val="single" w:sz="4" w:space="0" w:color="auto"/>
              <w:right w:val="single" w:sz="4" w:space="0" w:color="auto"/>
            </w:tcBorders>
          </w:tcPr>
          <w:p w14:paraId="49F582BA"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eastAsia="Times New Roman" w:hAnsi="Arial" w:cs="Arial"/>
                <w:color w:val="000000" w:themeColor="text1"/>
                <w:sz w:val="24"/>
                <w:szCs w:val="24"/>
              </w:rPr>
              <w:t xml:space="preserve">Kora </w:t>
            </w:r>
          </w:p>
        </w:tc>
        <w:tc>
          <w:tcPr>
            <w:tcW w:w="1585" w:type="dxa"/>
            <w:tcBorders>
              <w:left w:val="single" w:sz="4" w:space="0" w:color="auto"/>
              <w:right w:val="single" w:sz="4" w:space="0" w:color="auto"/>
            </w:tcBorders>
          </w:tcPr>
          <w:p w14:paraId="6AA4F787" w14:textId="77777777" w:rsidR="00C13E47" w:rsidRPr="00C13E47" w:rsidRDefault="00C13E47" w:rsidP="00C13E4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 xml:space="preserve">Unknown </w:t>
            </w:r>
          </w:p>
        </w:tc>
        <w:tc>
          <w:tcPr>
            <w:cnfStyle w:val="000100000000" w:firstRow="0" w:lastRow="0" w:firstColumn="0" w:lastColumn="1" w:oddVBand="0" w:evenVBand="0" w:oddHBand="0" w:evenHBand="0" w:firstRowFirstColumn="0" w:firstRowLastColumn="0" w:lastRowFirstColumn="0" w:lastRowLastColumn="0"/>
            <w:tcW w:w="2333" w:type="dxa"/>
            <w:tcBorders>
              <w:left w:val="single" w:sz="4" w:space="0" w:color="auto"/>
              <w:right w:val="nil"/>
            </w:tcBorders>
          </w:tcPr>
          <w:p w14:paraId="55B8EDB4" w14:textId="77777777" w:rsidR="00C13E47" w:rsidRPr="00C13E47" w:rsidRDefault="00C13E47" w:rsidP="00C13E47">
            <w:pPr>
              <w:spacing w:line="360" w:lineRule="auto"/>
              <w:ind w:left="720"/>
              <w:jc w:val="both"/>
              <w:rPr>
                <w:rFonts w:ascii="Arial" w:hAnsi="Arial" w:cs="Arial"/>
                <w:color w:val="000000" w:themeColor="text1"/>
                <w:sz w:val="24"/>
                <w:szCs w:val="24"/>
              </w:rPr>
            </w:pPr>
            <w:r w:rsidRPr="00C13E47">
              <w:rPr>
                <w:rFonts w:ascii="Arial" w:eastAsia="Times New Roman" w:hAnsi="Arial" w:cs="Arial"/>
                <w:color w:val="000000" w:themeColor="text1"/>
                <w:sz w:val="24"/>
                <w:szCs w:val="24"/>
              </w:rPr>
              <w:t>35</w:t>
            </w:r>
          </w:p>
        </w:tc>
      </w:tr>
      <w:tr w:rsidR="00616CDC" w:rsidRPr="00C13E47" w14:paraId="2DE53A3B" w14:textId="77777777" w:rsidTr="00616CDC">
        <w:trPr>
          <w:trHeight w:val="1055"/>
        </w:trPr>
        <w:tc>
          <w:tcPr>
            <w:cnfStyle w:val="001000000000" w:firstRow="0" w:lastRow="0" w:firstColumn="1" w:lastColumn="0" w:oddVBand="0" w:evenVBand="0" w:oddHBand="0" w:evenHBand="0" w:firstRowFirstColumn="0" w:firstRowLastColumn="0" w:lastRowFirstColumn="0" w:lastRowLastColumn="0"/>
            <w:tcW w:w="3525" w:type="dxa"/>
            <w:tcBorders>
              <w:top w:val="nil"/>
              <w:bottom w:val="nil"/>
              <w:right w:val="single" w:sz="4" w:space="0" w:color="auto"/>
            </w:tcBorders>
          </w:tcPr>
          <w:p w14:paraId="0A803FCF" w14:textId="77777777" w:rsidR="00C13E47" w:rsidRPr="00C13E47" w:rsidRDefault="00C13E47" w:rsidP="00C13E47">
            <w:pPr>
              <w:spacing w:line="360" w:lineRule="auto"/>
              <w:ind w:left="360" w:right="319"/>
              <w:rPr>
                <w:rFonts w:ascii="Arial" w:hAnsi="Arial" w:cs="Arial"/>
                <w:b w:val="0"/>
                <w:i/>
                <w:color w:val="000000" w:themeColor="text1"/>
                <w:sz w:val="24"/>
                <w:szCs w:val="24"/>
              </w:rPr>
            </w:pPr>
            <w:proofErr w:type="spellStart"/>
            <w:r w:rsidRPr="00C13E47">
              <w:rPr>
                <w:rFonts w:ascii="Arial" w:eastAsia="Times New Roman" w:hAnsi="Arial" w:cs="Arial"/>
                <w:b w:val="0"/>
                <w:i/>
                <w:color w:val="000000" w:themeColor="text1"/>
                <w:sz w:val="24"/>
                <w:szCs w:val="24"/>
              </w:rPr>
              <w:t>Avena</w:t>
            </w:r>
            <w:proofErr w:type="spellEnd"/>
            <w:r w:rsidRPr="00C13E47">
              <w:rPr>
                <w:rFonts w:ascii="Arial" w:eastAsia="Times New Roman" w:hAnsi="Arial" w:cs="Arial"/>
                <w:b w:val="0"/>
                <w:i/>
                <w:color w:val="000000" w:themeColor="text1"/>
                <w:sz w:val="24"/>
                <w:szCs w:val="24"/>
              </w:rPr>
              <w:t xml:space="preserve"> </w:t>
            </w:r>
            <w:proofErr w:type="spellStart"/>
            <w:r w:rsidRPr="00C13E47">
              <w:rPr>
                <w:rFonts w:ascii="Arial" w:eastAsia="Times New Roman" w:hAnsi="Arial" w:cs="Arial"/>
                <w:b w:val="0"/>
                <w:i/>
                <w:color w:val="000000" w:themeColor="text1"/>
                <w:sz w:val="24"/>
                <w:szCs w:val="24"/>
              </w:rPr>
              <w:t>strigosa</w:t>
            </w:r>
            <w:proofErr w:type="spellEnd"/>
          </w:p>
        </w:tc>
        <w:tc>
          <w:tcPr>
            <w:tcW w:w="2244" w:type="dxa"/>
            <w:tcBorders>
              <w:top w:val="nil"/>
              <w:bottom w:val="nil"/>
              <w:right w:val="single" w:sz="4" w:space="0" w:color="auto"/>
            </w:tcBorders>
          </w:tcPr>
          <w:p w14:paraId="751C8BB6"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Japanese/Black oat</w:t>
            </w:r>
          </w:p>
        </w:tc>
        <w:tc>
          <w:tcPr>
            <w:tcW w:w="1765" w:type="dxa"/>
            <w:tcBorders>
              <w:top w:val="nil"/>
              <w:left w:val="single" w:sz="4" w:space="0" w:color="auto"/>
              <w:bottom w:val="nil"/>
              <w:right w:val="single" w:sz="4" w:space="0" w:color="auto"/>
            </w:tcBorders>
          </w:tcPr>
          <w:p w14:paraId="6328C910"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eastAsia="Times New Roman" w:hAnsi="Arial" w:cs="Arial"/>
                <w:color w:val="000000" w:themeColor="text1"/>
                <w:sz w:val="24"/>
                <w:szCs w:val="24"/>
              </w:rPr>
              <w:t xml:space="preserve">Bristol </w:t>
            </w:r>
          </w:p>
        </w:tc>
        <w:tc>
          <w:tcPr>
            <w:tcW w:w="1585" w:type="dxa"/>
            <w:tcBorders>
              <w:top w:val="nil"/>
              <w:left w:val="single" w:sz="4" w:space="0" w:color="auto"/>
              <w:bottom w:val="nil"/>
              <w:right w:val="single" w:sz="4" w:space="0" w:color="auto"/>
            </w:tcBorders>
          </w:tcPr>
          <w:p w14:paraId="2EB66612" w14:textId="77777777" w:rsidR="00C13E47" w:rsidRPr="00C13E47" w:rsidRDefault="00C13E47" w:rsidP="00C13E4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 xml:space="preserve">Unknown </w:t>
            </w:r>
          </w:p>
        </w:tc>
        <w:tc>
          <w:tcPr>
            <w:cnfStyle w:val="000100000000" w:firstRow="0" w:lastRow="0" w:firstColumn="0" w:lastColumn="1" w:oddVBand="0" w:evenVBand="0" w:oddHBand="0" w:evenHBand="0" w:firstRowFirstColumn="0" w:firstRowLastColumn="0" w:lastRowFirstColumn="0" w:lastRowLastColumn="0"/>
            <w:tcW w:w="2333" w:type="dxa"/>
            <w:tcBorders>
              <w:top w:val="nil"/>
              <w:left w:val="single" w:sz="4" w:space="0" w:color="auto"/>
              <w:bottom w:val="nil"/>
              <w:right w:val="nil"/>
            </w:tcBorders>
          </w:tcPr>
          <w:p w14:paraId="267692AA" w14:textId="77777777" w:rsidR="00C13E47" w:rsidRPr="00C13E47" w:rsidRDefault="00C13E47" w:rsidP="00C13E47">
            <w:pPr>
              <w:spacing w:line="360" w:lineRule="auto"/>
              <w:ind w:left="720"/>
              <w:jc w:val="both"/>
              <w:rPr>
                <w:rFonts w:ascii="Arial" w:hAnsi="Arial" w:cs="Arial"/>
                <w:color w:val="000000" w:themeColor="text1"/>
                <w:sz w:val="24"/>
                <w:szCs w:val="24"/>
              </w:rPr>
            </w:pPr>
            <w:r w:rsidRPr="00C13E47">
              <w:rPr>
                <w:rFonts w:ascii="Arial" w:eastAsia="Times New Roman" w:hAnsi="Arial" w:cs="Arial"/>
                <w:color w:val="000000" w:themeColor="text1"/>
                <w:sz w:val="24"/>
                <w:szCs w:val="24"/>
              </w:rPr>
              <w:t>75</w:t>
            </w:r>
          </w:p>
        </w:tc>
      </w:tr>
      <w:tr w:rsidR="00616CDC" w:rsidRPr="00C13E47" w14:paraId="21803349" w14:textId="77777777" w:rsidTr="00616CDC">
        <w:trPr>
          <w:trHeight w:val="542"/>
        </w:trPr>
        <w:tc>
          <w:tcPr>
            <w:cnfStyle w:val="001000000000" w:firstRow="0" w:lastRow="0" w:firstColumn="1" w:lastColumn="0" w:oddVBand="0" w:evenVBand="0" w:oddHBand="0" w:evenHBand="0" w:firstRowFirstColumn="0" w:firstRowLastColumn="0" w:lastRowFirstColumn="0" w:lastRowLastColumn="0"/>
            <w:tcW w:w="3525" w:type="dxa"/>
            <w:tcBorders>
              <w:top w:val="nil"/>
              <w:bottom w:val="nil"/>
              <w:right w:val="single" w:sz="4" w:space="0" w:color="auto"/>
            </w:tcBorders>
          </w:tcPr>
          <w:p w14:paraId="4DF7C54C" w14:textId="77777777" w:rsidR="00C13E47" w:rsidRPr="00C13E47" w:rsidRDefault="00C13E47" w:rsidP="00C13E47">
            <w:pPr>
              <w:spacing w:line="360" w:lineRule="auto"/>
              <w:ind w:left="360" w:right="319"/>
              <w:rPr>
                <w:rFonts w:ascii="Arial" w:hAnsi="Arial" w:cs="Arial"/>
                <w:b w:val="0"/>
                <w:i/>
                <w:color w:val="000000" w:themeColor="text1"/>
                <w:sz w:val="24"/>
                <w:szCs w:val="24"/>
              </w:rPr>
            </w:pPr>
            <w:r w:rsidRPr="00C13E47">
              <w:rPr>
                <w:rFonts w:ascii="Arial" w:eastAsia="Times New Roman" w:hAnsi="Arial" w:cs="Arial"/>
                <w:b w:val="0"/>
                <w:i/>
                <w:color w:val="000000" w:themeColor="text1"/>
                <w:sz w:val="24"/>
                <w:szCs w:val="24"/>
              </w:rPr>
              <w:t xml:space="preserve">Phacelia tanacetifolia </w:t>
            </w:r>
          </w:p>
        </w:tc>
        <w:tc>
          <w:tcPr>
            <w:tcW w:w="2244" w:type="dxa"/>
            <w:tcBorders>
              <w:top w:val="nil"/>
              <w:bottom w:val="nil"/>
              <w:right w:val="single" w:sz="4" w:space="0" w:color="auto"/>
            </w:tcBorders>
          </w:tcPr>
          <w:p w14:paraId="3558C29C"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Phacelia</w:t>
            </w:r>
          </w:p>
        </w:tc>
        <w:tc>
          <w:tcPr>
            <w:tcW w:w="1765" w:type="dxa"/>
            <w:tcBorders>
              <w:top w:val="nil"/>
              <w:left w:val="single" w:sz="4" w:space="0" w:color="auto"/>
              <w:bottom w:val="nil"/>
              <w:right w:val="single" w:sz="4" w:space="0" w:color="auto"/>
            </w:tcBorders>
          </w:tcPr>
          <w:p w14:paraId="292EB7E2"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eastAsia="Times New Roman" w:hAnsi="Arial" w:cs="Arial"/>
                <w:color w:val="000000" w:themeColor="text1"/>
                <w:sz w:val="24"/>
                <w:szCs w:val="24"/>
              </w:rPr>
              <w:t xml:space="preserve">Factotum </w:t>
            </w:r>
          </w:p>
        </w:tc>
        <w:tc>
          <w:tcPr>
            <w:tcW w:w="1585" w:type="dxa"/>
            <w:tcBorders>
              <w:top w:val="nil"/>
              <w:left w:val="single" w:sz="4" w:space="0" w:color="auto"/>
              <w:bottom w:val="nil"/>
              <w:right w:val="single" w:sz="4" w:space="0" w:color="auto"/>
            </w:tcBorders>
          </w:tcPr>
          <w:p w14:paraId="00513172" w14:textId="77777777" w:rsidR="00C13E47" w:rsidRPr="00C13E47" w:rsidRDefault="00C13E47" w:rsidP="00C13E4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Poor host</w:t>
            </w:r>
          </w:p>
        </w:tc>
        <w:tc>
          <w:tcPr>
            <w:cnfStyle w:val="000100000000" w:firstRow="0" w:lastRow="0" w:firstColumn="0" w:lastColumn="1" w:oddVBand="0" w:evenVBand="0" w:oddHBand="0" w:evenHBand="0" w:firstRowFirstColumn="0" w:firstRowLastColumn="0" w:lastRowFirstColumn="0" w:lastRowLastColumn="0"/>
            <w:tcW w:w="2333" w:type="dxa"/>
            <w:tcBorders>
              <w:top w:val="nil"/>
              <w:left w:val="single" w:sz="4" w:space="0" w:color="auto"/>
              <w:bottom w:val="nil"/>
              <w:right w:val="nil"/>
            </w:tcBorders>
          </w:tcPr>
          <w:p w14:paraId="45E29BCF" w14:textId="77777777" w:rsidR="00C13E47" w:rsidRPr="00C13E47" w:rsidRDefault="00C13E47" w:rsidP="00C13E47">
            <w:pPr>
              <w:spacing w:line="360" w:lineRule="auto"/>
              <w:ind w:left="720"/>
              <w:jc w:val="both"/>
              <w:rPr>
                <w:rFonts w:ascii="Arial" w:hAnsi="Arial" w:cs="Arial"/>
                <w:color w:val="000000" w:themeColor="text1"/>
                <w:sz w:val="24"/>
                <w:szCs w:val="24"/>
              </w:rPr>
            </w:pPr>
            <w:r w:rsidRPr="00C13E47">
              <w:rPr>
                <w:rFonts w:ascii="Arial" w:eastAsia="Times New Roman" w:hAnsi="Arial" w:cs="Arial"/>
                <w:color w:val="000000" w:themeColor="text1"/>
                <w:sz w:val="24"/>
                <w:szCs w:val="24"/>
              </w:rPr>
              <w:t>8</w:t>
            </w:r>
          </w:p>
        </w:tc>
      </w:tr>
      <w:tr w:rsidR="00616CDC" w:rsidRPr="00C13E47" w14:paraId="4ADD33DA" w14:textId="77777777" w:rsidTr="00616CDC">
        <w:trPr>
          <w:trHeight w:val="542"/>
        </w:trPr>
        <w:tc>
          <w:tcPr>
            <w:cnfStyle w:val="001000000000" w:firstRow="0" w:lastRow="0" w:firstColumn="1" w:lastColumn="0" w:oddVBand="0" w:evenVBand="0" w:oddHBand="0" w:evenHBand="0" w:firstRowFirstColumn="0" w:firstRowLastColumn="0" w:lastRowFirstColumn="0" w:lastRowLastColumn="0"/>
            <w:tcW w:w="3525" w:type="dxa"/>
            <w:tcBorders>
              <w:top w:val="nil"/>
              <w:bottom w:val="nil"/>
              <w:right w:val="single" w:sz="4" w:space="0" w:color="auto"/>
            </w:tcBorders>
          </w:tcPr>
          <w:p w14:paraId="4E3C4CA3" w14:textId="77777777" w:rsidR="00C13E47" w:rsidRPr="00C13E47" w:rsidRDefault="00C13E47" w:rsidP="00C13E47">
            <w:pPr>
              <w:spacing w:line="360" w:lineRule="auto"/>
              <w:ind w:left="360" w:right="319"/>
              <w:rPr>
                <w:rFonts w:ascii="Arial" w:hAnsi="Arial" w:cs="Arial"/>
                <w:b w:val="0"/>
                <w:i/>
                <w:color w:val="000000" w:themeColor="text1"/>
                <w:sz w:val="24"/>
                <w:szCs w:val="24"/>
              </w:rPr>
            </w:pPr>
            <w:r w:rsidRPr="00C13E47">
              <w:rPr>
                <w:rFonts w:ascii="Arial" w:eastAsia="Times New Roman" w:hAnsi="Arial" w:cs="Arial"/>
                <w:b w:val="0"/>
                <w:i/>
                <w:color w:val="000000" w:themeColor="text1"/>
                <w:sz w:val="24"/>
                <w:szCs w:val="24"/>
              </w:rPr>
              <w:t xml:space="preserve">Sorghum </w:t>
            </w:r>
            <w:proofErr w:type="spellStart"/>
            <w:r w:rsidRPr="00C13E47">
              <w:rPr>
                <w:rFonts w:ascii="Arial" w:eastAsia="Times New Roman" w:hAnsi="Arial" w:cs="Arial"/>
                <w:b w:val="0"/>
                <w:i/>
                <w:color w:val="000000" w:themeColor="text1"/>
                <w:sz w:val="24"/>
                <w:szCs w:val="24"/>
              </w:rPr>
              <w:t>sudanensis</w:t>
            </w:r>
            <w:proofErr w:type="spellEnd"/>
            <w:r w:rsidRPr="00C13E47">
              <w:rPr>
                <w:rFonts w:ascii="Arial" w:eastAsia="Times New Roman" w:hAnsi="Arial" w:cs="Arial"/>
                <w:b w:val="0"/>
                <w:i/>
                <w:color w:val="000000" w:themeColor="text1"/>
                <w:sz w:val="24"/>
                <w:szCs w:val="24"/>
              </w:rPr>
              <w:t xml:space="preserve"> </w:t>
            </w:r>
          </w:p>
        </w:tc>
        <w:tc>
          <w:tcPr>
            <w:tcW w:w="2244" w:type="dxa"/>
            <w:tcBorders>
              <w:right w:val="single" w:sz="4" w:space="0" w:color="auto"/>
            </w:tcBorders>
          </w:tcPr>
          <w:p w14:paraId="7A54F03D"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Sorghum, Sudan grass</w:t>
            </w:r>
          </w:p>
        </w:tc>
        <w:tc>
          <w:tcPr>
            <w:tcW w:w="1765" w:type="dxa"/>
            <w:tcBorders>
              <w:left w:val="single" w:sz="4" w:space="0" w:color="auto"/>
              <w:right w:val="single" w:sz="4" w:space="0" w:color="auto"/>
            </w:tcBorders>
          </w:tcPr>
          <w:p w14:paraId="27914B00"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eastAsia="Times New Roman" w:hAnsi="Arial" w:cs="Arial"/>
                <w:color w:val="000000" w:themeColor="text1"/>
                <w:sz w:val="24"/>
                <w:szCs w:val="24"/>
              </w:rPr>
              <w:t>Susu</w:t>
            </w:r>
          </w:p>
        </w:tc>
        <w:tc>
          <w:tcPr>
            <w:tcW w:w="1585" w:type="dxa"/>
            <w:tcBorders>
              <w:left w:val="single" w:sz="4" w:space="0" w:color="auto"/>
              <w:right w:val="single" w:sz="4" w:space="0" w:color="auto"/>
            </w:tcBorders>
          </w:tcPr>
          <w:p w14:paraId="0BF6F5C7" w14:textId="77777777" w:rsidR="00C13E47" w:rsidRPr="00C13E47" w:rsidRDefault="00C13E47" w:rsidP="00C13E4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 xml:space="preserve">Unknown </w:t>
            </w:r>
          </w:p>
        </w:tc>
        <w:tc>
          <w:tcPr>
            <w:cnfStyle w:val="000100000000" w:firstRow="0" w:lastRow="0" w:firstColumn="0" w:lastColumn="1" w:oddVBand="0" w:evenVBand="0" w:oddHBand="0" w:evenHBand="0" w:firstRowFirstColumn="0" w:firstRowLastColumn="0" w:lastRowFirstColumn="0" w:lastRowLastColumn="0"/>
            <w:tcW w:w="2333" w:type="dxa"/>
            <w:tcBorders>
              <w:left w:val="single" w:sz="4" w:space="0" w:color="auto"/>
              <w:right w:val="nil"/>
            </w:tcBorders>
          </w:tcPr>
          <w:p w14:paraId="1C3F7E4E" w14:textId="77777777" w:rsidR="00C13E47" w:rsidRPr="00C13E47" w:rsidRDefault="00C13E47" w:rsidP="00C13E47">
            <w:pPr>
              <w:spacing w:line="360" w:lineRule="auto"/>
              <w:ind w:left="720"/>
              <w:jc w:val="both"/>
              <w:rPr>
                <w:rFonts w:ascii="Arial" w:hAnsi="Arial" w:cs="Arial"/>
                <w:color w:val="000000" w:themeColor="text1"/>
                <w:sz w:val="24"/>
                <w:szCs w:val="24"/>
              </w:rPr>
            </w:pPr>
            <w:r w:rsidRPr="00C13E47">
              <w:rPr>
                <w:rFonts w:ascii="Arial" w:eastAsia="Times New Roman" w:hAnsi="Arial" w:cs="Arial"/>
                <w:color w:val="000000" w:themeColor="text1"/>
                <w:sz w:val="24"/>
                <w:szCs w:val="24"/>
              </w:rPr>
              <w:t>235</w:t>
            </w:r>
          </w:p>
        </w:tc>
      </w:tr>
      <w:tr w:rsidR="00616CDC" w:rsidRPr="00C13E47" w14:paraId="1351B242" w14:textId="77777777" w:rsidTr="00616CDC">
        <w:trPr>
          <w:trHeight w:val="542"/>
        </w:trPr>
        <w:tc>
          <w:tcPr>
            <w:cnfStyle w:val="001000000000" w:firstRow="0" w:lastRow="0" w:firstColumn="1" w:lastColumn="0" w:oddVBand="0" w:evenVBand="0" w:oddHBand="0" w:evenHBand="0" w:firstRowFirstColumn="0" w:firstRowLastColumn="0" w:lastRowFirstColumn="0" w:lastRowLastColumn="0"/>
            <w:tcW w:w="3525" w:type="dxa"/>
            <w:tcBorders>
              <w:top w:val="nil"/>
              <w:bottom w:val="nil"/>
              <w:right w:val="single" w:sz="4" w:space="0" w:color="auto"/>
            </w:tcBorders>
          </w:tcPr>
          <w:p w14:paraId="231B10E8" w14:textId="77777777" w:rsidR="00C13E47" w:rsidRPr="00C13E47" w:rsidRDefault="00C13E47" w:rsidP="00C13E47">
            <w:pPr>
              <w:spacing w:line="360" w:lineRule="auto"/>
              <w:ind w:left="360" w:right="319"/>
              <w:rPr>
                <w:rFonts w:ascii="Arial" w:hAnsi="Arial" w:cs="Arial"/>
                <w:b w:val="0"/>
                <w:i/>
                <w:color w:val="000000" w:themeColor="text1"/>
                <w:sz w:val="24"/>
                <w:szCs w:val="24"/>
              </w:rPr>
            </w:pPr>
            <w:r w:rsidRPr="00C13E47">
              <w:rPr>
                <w:rFonts w:ascii="Arial" w:eastAsia="Times New Roman" w:hAnsi="Arial" w:cs="Arial"/>
                <w:b w:val="0"/>
                <w:i/>
                <w:color w:val="000000" w:themeColor="text1"/>
                <w:sz w:val="24"/>
                <w:szCs w:val="24"/>
              </w:rPr>
              <w:t>Medicago spp</w:t>
            </w:r>
          </w:p>
        </w:tc>
        <w:tc>
          <w:tcPr>
            <w:tcW w:w="2244" w:type="dxa"/>
            <w:tcBorders>
              <w:right w:val="single" w:sz="4" w:space="0" w:color="auto"/>
            </w:tcBorders>
          </w:tcPr>
          <w:p w14:paraId="60645E89"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Lucerne/ alfalfa</w:t>
            </w:r>
          </w:p>
        </w:tc>
        <w:tc>
          <w:tcPr>
            <w:tcW w:w="1765" w:type="dxa"/>
            <w:tcBorders>
              <w:left w:val="single" w:sz="4" w:space="0" w:color="auto"/>
              <w:right w:val="single" w:sz="4" w:space="0" w:color="auto"/>
            </w:tcBorders>
          </w:tcPr>
          <w:p w14:paraId="058B87D6"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proofErr w:type="spellStart"/>
            <w:r w:rsidRPr="00C13E47">
              <w:rPr>
                <w:rFonts w:ascii="Arial" w:eastAsia="Times New Roman" w:hAnsi="Arial" w:cs="Arial"/>
                <w:color w:val="000000" w:themeColor="text1"/>
                <w:sz w:val="24"/>
                <w:szCs w:val="24"/>
              </w:rPr>
              <w:t>Etincelle</w:t>
            </w:r>
            <w:proofErr w:type="spellEnd"/>
          </w:p>
        </w:tc>
        <w:tc>
          <w:tcPr>
            <w:tcW w:w="1585" w:type="dxa"/>
            <w:tcBorders>
              <w:left w:val="single" w:sz="4" w:space="0" w:color="auto"/>
              <w:right w:val="single" w:sz="4" w:space="0" w:color="auto"/>
            </w:tcBorders>
          </w:tcPr>
          <w:p w14:paraId="54E6DCF4" w14:textId="77777777" w:rsidR="00C13E47" w:rsidRPr="00C13E47" w:rsidRDefault="00C13E47" w:rsidP="00C13E4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 xml:space="preserve">Unknown </w:t>
            </w:r>
          </w:p>
        </w:tc>
        <w:tc>
          <w:tcPr>
            <w:cnfStyle w:val="000100000000" w:firstRow="0" w:lastRow="0" w:firstColumn="0" w:lastColumn="1" w:oddVBand="0" w:evenVBand="0" w:oddHBand="0" w:evenHBand="0" w:firstRowFirstColumn="0" w:firstRowLastColumn="0" w:lastRowFirstColumn="0" w:lastRowLastColumn="0"/>
            <w:tcW w:w="2333" w:type="dxa"/>
            <w:tcBorders>
              <w:left w:val="single" w:sz="4" w:space="0" w:color="auto"/>
              <w:right w:val="nil"/>
            </w:tcBorders>
          </w:tcPr>
          <w:p w14:paraId="37B77008" w14:textId="77777777" w:rsidR="00C13E47" w:rsidRPr="00C13E47" w:rsidRDefault="00C13E47" w:rsidP="00C13E47">
            <w:pPr>
              <w:spacing w:line="360" w:lineRule="auto"/>
              <w:ind w:left="720"/>
              <w:jc w:val="both"/>
              <w:rPr>
                <w:rFonts w:ascii="Arial" w:hAnsi="Arial" w:cs="Arial"/>
                <w:color w:val="000000" w:themeColor="text1"/>
                <w:sz w:val="24"/>
                <w:szCs w:val="24"/>
              </w:rPr>
            </w:pPr>
            <w:r w:rsidRPr="00C13E47">
              <w:rPr>
                <w:rFonts w:ascii="Arial" w:eastAsia="Times New Roman" w:hAnsi="Arial" w:cs="Arial"/>
                <w:color w:val="000000" w:themeColor="text1"/>
                <w:sz w:val="24"/>
                <w:szCs w:val="24"/>
              </w:rPr>
              <w:t>25</w:t>
            </w:r>
          </w:p>
        </w:tc>
      </w:tr>
      <w:tr w:rsidR="00616CDC" w:rsidRPr="00C13E47" w14:paraId="6C0B9146" w14:textId="77777777" w:rsidTr="00616CDC">
        <w:trPr>
          <w:trHeight w:val="542"/>
        </w:trPr>
        <w:tc>
          <w:tcPr>
            <w:cnfStyle w:val="001000000000" w:firstRow="0" w:lastRow="0" w:firstColumn="1" w:lastColumn="0" w:oddVBand="0" w:evenVBand="0" w:oddHBand="0" w:evenHBand="0" w:firstRowFirstColumn="0" w:firstRowLastColumn="0" w:lastRowFirstColumn="0" w:lastRowLastColumn="0"/>
            <w:tcW w:w="3525" w:type="dxa"/>
            <w:tcBorders>
              <w:top w:val="nil"/>
              <w:bottom w:val="nil"/>
              <w:right w:val="single" w:sz="4" w:space="0" w:color="auto"/>
            </w:tcBorders>
          </w:tcPr>
          <w:p w14:paraId="40304F2A" w14:textId="77777777" w:rsidR="00C13E47" w:rsidRPr="00C13E47" w:rsidRDefault="00C13E47" w:rsidP="00C13E47">
            <w:pPr>
              <w:spacing w:line="360" w:lineRule="auto"/>
              <w:ind w:left="360" w:right="319"/>
              <w:rPr>
                <w:rFonts w:ascii="Arial" w:hAnsi="Arial" w:cs="Arial"/>
                <w:b w:val="0"/>
                <w:i/>
                <w:color w:val="000000" w:themeColor="text1"/>
                <w:sz w:val="24"/>
                <w:szCs w:val="24"/>
              </w:rPr>
            </w:pPr>
            <w:r w:rsidRPr="00C13E47">
              <w:rPr>
                <w:rFonts w:ascii="Arial" w:eastAsia="Times New Roman" w:hAnsi="Arial" w:cs="Arial"/>
                <w:b w:val="0"/>
                <w:i/>
                <w:color w:val="000000" w:themeColor="text1"/>
                <w:sz w:val="24"/>
                <w:szCs w:val="24"/>
              </w:rPr>
              <w:t xml:space="preserve">Eruca sativa </w:t>
            </w:r>
          </w:p>
        </w:tc>
        <w:tc>
          <w:tcPr>
            <w:tcW w:w="2244" w:type="dxa"/>
            <w:tcBorders>
              <w:top w:val="nil"/>
              <w:bottom w:val="nil"/>
              <w:right w:val="single" w:sz="4" w:space="0" w:color="auto"/>
            </w:tcBorders>
          </w:tcPr>
          <w:p w14:paraId="1859D926"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Rocket lettuce</w:t>
            </w:r>
          </w:p>
        </w:tc>
        <w:tc>
          <w:tcPr>
            <w:tcW w:w="1765" w:type="dxa"/>
            <w:tcBorders>
              <w:top w:val="nil"/>
              <w:left w:val="single" w:sz="4" w:space="0" w:color="auto"/>
              <w:bottom w:val="nil"/>
              <w:right w:val="single" w:sz="4" w:space="0" w:color="auto"/>
            </w:tcBorders>
          </w:tcPr>
          <w:p w14:paraId="49EC46F1"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eastAsia="Times New Roman" w:hAnsi="Arial" w:cs="Arial"/>
                <w:color w:val="000000" w:themeColor="text1"/>
                <w:sz w:val="24"/>
                <w:szCs w:val="24"/>
              </w:rPr>
              <w:t>Tiara</w:t>
            </w:r>
          </w:p>
        </w:tc>
        <w:tc>
          <w:tcPr>
            <w:tcW w:w="1585" w:type="dxa"/>
            <w:tcBorders>
              <w:top w:val="nil"/>
              <w:left w:val="single" w:sz="4" w:space="0" w:color="auto"/>
              <w:bottom w:val="nil"/>
              <w:right w:val="single" w:sz="4" w:space="0" w:color="auto"/>
            </w:tcBorders>
          </w:tcPr>
          <w:p w14:paraId="086A77FA" w14:textId="77777777" w:rsidR="00C13E47" w:rsidRPr="00C13E47" w:rsidRDefault="00C13E47" w:rsidP="00C13E4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 xml:space="preserve">Biofumigant </w:t>
            </w:r>
          </w:p>
        </w:tc>
        <w:tc>
          <w:tcPr>
            <w:cnfStyle w:val="000100000000" w:firstRow="0" w:lastRow="0" w:firstColumn="0" w:lastColumn="1" w:oddVBand="0" w:evenVBand="0" w:oddHBand="0" w:evenHBand="0" w:firstRowFirstColumn="0" w:firstRowLastColumn="0" w:lastRowFirstColumn="0" w:lastRowLastColumn="0"/>
            <w:tcW w:w="2333" w:type="dxa"/>
            <w:tcBorders>
              <w:top w:val="nil"/>
              <w:left w:val="single" w:sz="4" w:space="0" w:color="auto"/>
              <w:bottom w:val="nil"/>
              <w:right w:val="nil"/>
            </w:tcBorders>
          </w:tcPr>
          <w:p w14:paraId="77895EED" w14:textId="77777777" w:rsidR="00C13E47" w:rsidRPr="00C13E47" w:rsidRDefault="00C13E47" w:rsidP="00C13E47">
            <w:pPr>
              <w:spacing w:line="360" w:lineRule="auto"/>
              <w:ind w:left="720"/>
              <w:jc w:val="both"/>
              <w:rPr>
                <w:rFonts w:ascii="Arial" w:hAnsi="Arial" w:cs="Arial"/>
                <w:color w:val="000000" w:themeColor="text1"/>
                <w:sz w:val="24"/>
                <w:szCs w:val="24"/>
              </w:rPr>
            </w:pPr>
            <w:r w:rsidRPr="00C13E47">
              <w:rPr>
                <w:rFonts w:ascii="Arial" w:eastAsia="Times New Roman" w:hAnsi="Arial" w:cs="Arial"/>
                <w:color w:val="000000" w:themeColor="text1"/>
                <w:sz w:val="24"/>
                <w:szCs w:val="24"/>
              </w:rPr>
              <w:t>8</w:t>
            </w:r>
          </w:p>
        </w:tc>
      </w:tr>
      <w:tr w:rsidR="00616CDC" w:rsidRPr="00C13E47" w14:paraId="434AA09A" w14:textId="77777777" w:rsidTr="00616CDC">
        <w:trPr>
          <w:trHeight w:val="542"/>
        </w:trPr>
        <w:tc>
          <w:tcPr>
            <w:cnfStyle w:val="001000000000" w:firstRow="0" w:lastRow="0" w:firstColumn="1" w:lastColumn="0" w:oddVBand="0" w:evenVBand="0" w:oddHBand="0" w:evenHBand="0" w:firstRowFirstColumn="0" w:firstRowLastColumn="0" w:lastRowFirstColumn="0" w:lastRowLastColumn="0"/>
            <w:tcW w:w="3525" w:type="dxa"/>
            <w:tcBorders>
              <w:top w:val="nil"/>
              <w:bottom w:val="nil"/>
              <w:right w:val="single" w:sz="4" w:space="0" w:color="auto"/>
            </w:tcBorders>
          </w:tcPr>
          <w:p w14:paraId="12D108EB" w14:textId="77777777" w:rsidR="00C13E47" w:rsidRPr="00C13E47" w:rsidRDefault="00C13E47" w:rsidP="00C13E47">
            <w:pPr>
              <w:spacing w:line="360" w:lineRule="auto"/>
              <w:ind w:left="360" w:right="319"/>
              <w:rPr>
                <w:rFonts w:ascii="Arial" w:hAnsi="Arial" w:cs="Arial"/>
                <w:b w:val="0"/>
                <w:i/>
                <w:color w:val="000000" w:themeColor="text1"/>
                <w:sz w:val="24"/>
                <w:szCs w:val="24"/>
              </w:rPr>
            </w:pPr>
            <w:r w:rsidRPr="00C13E47">
              <w:rPr>
                <w:rFonts w:ascii="Arial" w:eastAsia="Times New Roman" w:hAnsi="Arial" w:cs="Arial"/>
                <w:b w:val="0"/>
                <w:i/>
                <w:color w:val="000000" w:themeColor="text1"/>
                <w:sz w:val="24"/>
                <w:szCs w:val="24"/>
              </w:rPr>
              <w:t xml:space="preserve">Brassica juncea </w:t>
            </w:r>
          </w:p>
        </w:tc>
        <w:tc>
          <w:tcPr>
            <w:tcW w:w="2244" w:type="dxa"/>
            <w:tcBorders>
              <w:top w:val="nil"/>
              <w:bottom w:val="nil"/>
              <w:right w:val="single" w:sz="4" w:space="0" w:color="auto"/>
            </w:tcBorders>
          </w:tcPr>
          <w:p w14:paraId="784FD4CB"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Brown Mustard</w:t>
            </w:r>
          </w:p>
        </w:tc>
        <w:tc>
          <w:tcPr>
            <w:tcW w:w="1765" w:type="dxa"/>
            <w:tcBorders>
              <w:top w:val="nil"/>
              <w:left w:val="single" w:sz="4" w:space="0" w:color="auto"/>
              <w:bottom w:val="nil"/>
              <w:right w:val="single" w:sz="4" w:space="0" w:color="auto"/>
            </w:tcBorders>
          </w:tcPr>
          <w:p w14:paraId="29A35D25"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eastAsia="Times New Roman" w:hAnsi="Arial" w:cs="Arial"/>
                <w:color w:val="000000" w:themeColor="text1"/>
                <w:sz w:val="24"/>
                <w:szCs w:val="24"/>
              </w:rPr>
              <w:t xml:space="preserve">Brons </w:t>
            </w:r>
          </w:p>
        </w:tc>
        <w:tc>
          <w:tcPr>
            <w:tcW w:w="1585" w:type="dxa"/>
            <w:tcBorders>
              <w:top w:val="nil"/>
              <w:left w:val="single" w:sz="4" w:space="0" w:color="auto"/>
              <w:bottom w:val="nil"/>
              <w:right w:val="single" w:sz="4" w:space="0" w:color="auto"/>
            </w:tcBorders>
          </w:tcPr>
          <w:p w14:paraId="7B390F68" w14:textId="77777777" w:rsidR="00C13E47" w:rsidRPr="00C13E47" w:rsidRDefault="00C13E47" w:rsidP="00C13E4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 xml:space="preserve">Biofumigant </w:t>
            </w:r>
          </w:p>
        </w:tc>
        <w:tc>
          <w:tcPr>
            <w:cnfStyle w:val="000100000000" w:firstRow="0" w:lastRow="0" w:firstColumn="0" w:lastColumn="1" w:oddVBand="0" w:evenVBand="0" w:oddHBand="0" w:evenHBand="0" w:firstRowFirstColumn="0" w:firstRowLastColumn="0" w:lastRowFirstColumn="0" w:lastRowLastColumn="0"/>
            <w:tcW w:w="2333" w:type="dxa"/>
            <w:tcBorders>
              <w:top w:val="nil"/>
              <w:left w:val="single" w:sz="4" w:space="0" w:color="auto"/>
              <w:bottom w:val="nil"/>
              <w:right w:val="nil"/>
            </w:tcBorders>
          </w:tcPr>
          <w:p w14:paraId="5711071C" w14:textId="77777777" w:rsidR="00C13E47" w:rsidRPr="00C13E47" w:rsidRDefault="00C13E47" w:rsidP="00C13E47">
            <w:pPr>
              <w:spacing w:line="360" w:lineRule="auto"/>
              <w:ind w:left="720"/>
              <w:jc w:val="both"/>
              <w:rPr>
                <w:rFonts w:ascii="Arial" w:hAnsi="Arial" w:cs="Arial"/>
                <w:color w:val="000000" w:themeColor="text1"/>
                <w:sz w:val="24"/>
                <w:szCs w:val="24"/>
              </w:rPr>
            </w:pPr>
            <w:r w:rsidRPr="00C13E47">
              <w:rPr>
                <w:rFonts w:ascii="Arial" w:eastAsia="Times New Roman" w:hAnsi="Arial" w:cs="Arial"/>
                <w:color w:val="000000" w:themeColor="text1"/>
                <w:sz w:val="24"/>
                <w:szCs w:val="24"/>
              </w:rPr>
              <w:t>10</w:t>
            </w:r>
          </w:p>
        </w:tc>
      </w:tr>
      <w:tr w:rsidR="00616CDC" w:rsidRPr="00C13E47" w14:paraId="3BBD4B4F" w14:textId="77777777" w:rsidTr="00616CDC">
        <w:trPr>
          <w:trHeight w:val="542"/>
        </w:trPr>
        <w:tc>
          <w:tcPr>
            <w:cnfStyle w:val="001000000000" w:firstRow="0" w:lastRow="0" w:firstColumn="1" w:lastColumn="0" w:oddVBand="0" w:evenVBand="0" w:oddHBand="0" w:evenHBand="0" w:firstRowFirstColumn="0" w:firstRowLastColumn="0" w:lastRowFirstColumn="0" w:lastRowLastColumn="0"/>
            <w:tcW w:w="3525" w:type="dxa"/>
            <w:tcBorders>
              <w:top w:val="nil"/>
              <w:bottom w:val="nil"/>
              <w:right w:val="single" w:sz="4" w:space="0" w:color="auto"/>
            </w:tcBorders>
          </w:tcPr>
          <w:p w14:paraId="21000F36" w14:textId="77777777" w:rsidR="00C13E47" w:rsidRPr="00C13E47" w:rsidRDefault="00C13E47" w:rsidP="00C13E47">
            <w:pPr>
              <w:spacing w:line="360" w:lineRule="auto"/>
              <w:ind w:left="360" w:right="319"/>
              <w:rPr>
                <w:rFonts w:ascii="Arial" w:hAnsi="Arial" w:cs="Arial"/>
                <w:b w:val="0"/>
                <w:i/>
                <w:color w:val="000000" w:themeColor="text1"/>
                <w:sz w:val="24"/>
                <w:szCs w:val="24"/>
              </w:rPr>
            </w:pPr>
            <w:r w:rsidRPr="00C13E47">
              <w:rPr>
                <w:rFonts w:ascii="Arial" w:eastAsia="Times New Roman" w:hAnsi="Arial" w:cs="Arial"/>
                <w:b w:val="0"/>
                <w:i/>
                <w:color w:val="000000" w:themeColor="text1"/>
                <w:sz w:val="24"/>
                <w:szCs w:val="24"/>
              </w:rPr>
              <w:t xml:space="preserve">Brassica carinata </w:t>
            </w:r>
          </w:p>
        </w:tc>
        <w:tc>
          <w:tcPr>
            <w:tcW w:w="2244" w:type="dxa"/>
            <w:tcBorders>
              <w:top w:val="nil"/>
              <w:bottom w:val="nil"/>
              <w:right w:val="single" w:sz="4" w:space="0" w:color="auto"/>
            </w:tcBorders>
          </w:tcPr>
          <w:p w14:paraId="1A54473D"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Ethiopian mustard</w:t>
            </w:r>
          </w:p>
        </w:tc>
        <w:tc>
          <w:tcPr>
            <w:tcW w:w="1765" w:type="dxa"/>
            <w:tcBorders>
              <w:top w:val="nil"/>
              <w:left w:val="single" w:sz="4" w:space="0" w:color="auto"/>
              <w:bottom w:val="nil"/>
              <w:right w:val="single" w:sz="4" w:space="0" w:color="auto"/>
            </w:tcBorders>
          </w:tcPr>
          <w:p w14:paraId="2E3DA09D"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eastAsia="Times New Roman" w:hAnsi="Arial" w:cs="Arial"/>
                <w:color w:val="000000" w:themeColor="text1"/>
                <w:sz w:val="24"/>
                <w:szCs w:val="24"/>
              </w:rPr>
              <w:t xml:space="preserve">Cappuchino </w:t>
            </w:r>
          </w:p>
        </w:tc>
        <w:tc>
          <w:tcPr>
            <w:tcW w:w="1585" w:type="dxa"/>
            <w:tcBorders>
              <w:top w:val="nil"/>
              <w:left w:val="single" w:sz="4" w:space="0" w:color="auto"/>
              <w:bottom w:val="nil"/>
              <w:right w:val="single" w:sz="4" w:space="0" w:color="auto"/>
            </w:tcBorders>
          </w:tcPr>
          <w:p w14:paraId="0D477C62" w14:textId="77777777" w:rsidR="00C13E47" w:rsidRPr="00C13E47" w:rsidRDefault="00C13E47" w:rsidP="00C13E4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Biofumigant</w:t>
            </w:r>
          </w:p>
        </w:tc>
        <w:tc>
          <w:tcPr>
            <w:cnfStyle w:val="000100000000" w:firstRow="0" w:lastRow="0" w:firstColumn="0" w:lastColumn="1" w:oddVBand="0" w:evenVBand="0" w:oddHBand="0" w:evenHBand="0" w:firstRowFirstColumn="0" w:firstRowLastColumn="0" w:lastRowFirstColumn="0" w:lastRowLastColumn="0"/>
            <w:tcW w:w="2333" w:type="dxa"/>
            <w:tcBorders>
              <w:top w:val="nil"/>
              <w:left w:val="single" w:sz="4" w:space="0" w:color="auto"/>
              <w:bottom w:val="nil"/>
              <w:right w:val="nil"/>
            </w:tcBorders>
          </w:tcPr>
          <w:p w14:paraId="0A7B6ACF" w14:textId="77777777" w:rsidR="00C13E47" w:rsidRPr="00C13E47" w:rsidRDefault="00C13E47" w:rsidP="00C13E47">
            <w:pPr>
              <w:spacing w:line="360" w:lineRule="auto"/>
              <w:ind w:left="720"/>
              <w:jc w:val="both"/>
              <w:rPr>
                <w:rFonts w:ascii="Arial" w:hAnsi="Arial" w:cs="Arial"/>
                <w:color w:val="000000" w:themeColor="text1"/>
                <w:sz w:val="24"/>
                <w:szCs w:val="24"/>
              </w:rPr>
            </w:pPr>
            <w:r w:rsidRPr="00C13E47">
              <w:rPr>
                <w:rFonts w:ascii="Arial" w:eastAsia="Times New Roman" w:hAnsi="Arial" w:cs="Arial"/>
                <w:color w:val="000000" w:themeColor="text1"/>
                <w:sz w:val="24"/>
                <w:szCs w:val="24"/>
              </w:rPr>
              <w:t>15</w:t>
            </w:r>
          </w:p>
        </w:tc>
      </w:tr>
      <w:tr w:rsidR="00616CDC" w:rsidRPr="00C13E47" w14:paraId="54D9F56E" w14:textId="77777777" w:rsidTr="00616CDC">
        <w:trPr>
          <w:trHeight w:val="542"/>
        </w:trPr>
        <w:tc>
          <w:tcPr>
            <w:cnfStyle w:val="001000000000" w:firstRow="0" w:lastRow="0" w:firstColumn="1" w:lastColumn="0" w:oddVBand="0" w:evenVBand="0" w:oddHBand="0" w:evenHBand="0" w:firstRowFirstColumn="0" w:firstRowLastColumn="0" w:lastRowFirstColumn="0" w:lastRowLastColumn="0"/>
            <w:tcW w:w="3525" w:type="dxa"/>
            <w:tcBorders>
              <w:top w:val="nil"/>
              <w:bottom w:val="nil"/>
              <w:right w:val="single" w:sz="4" w:space="0" w:color="auto"/>
            </w:tcBorders>
          </w:tcPr>
          <w:p w14:paraId="67FEF3CF" w14:textId="77777777" w:rsidR="00C13E47" w:rsidRPr="00C13E47" w:rsidRDefault="00C13E47" w:rsidP="00C13E47">
            <w:pPr>
              <w:spacing w:line="360" w:lineRule="auto"/>
              <w:ind w:left="360" w:right="319"/>
              <w:rPr>
                <w:rFonts w:ascii="Arial" w:hAnsi="Arial" w:cs="Arial"/>
                <w:b w:val="0"/>
                <w:i/>
                <w:color w:val="000000" w:themeColor="text1"/>
                <w:sz w:val="24"/>
                <w:szCs w:val="24"/>
              </w:rPr>
            </w:pPr>
            <w:r w:rsidRPr="00C13E47">
              <w:rPr>
                <w:rFonts w:ascii="Arial" w:eastAsia="Times New Roman" w:hAnsi="Arial" w:cs="Arial"/>
                <w:b w:val="0"/>
                <w:i/>
                <w:color w:val="000000" w:themeColor="text1"/>
                <w:sz w:val="24"/>
                <w:szCs w:val="24"/>
              </w:rPr>
              <w:t xml:space="preserve">Brassica napus </w:t>
            </w:r>
          </w:p>
        </w:tc>
        <w:tc>
          <w:tcPr>
            <w:tcW w:w="2244" w:type="dxa"/>
            <w:tcBorders>
              <w:top w:val="nil"/>
              <w:bottom w:val="nil"/>
              <w:right w:val="single" w:sz="4" w:space="0" w:color="auto"/>
            </w:tcBorders>
          </w:tcPr>
          <w:p w14:paraId="3ADC2B6F"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Forage rape</w:t>
            </w:r>
          </w:p>
        </w:tc>
        <w:tc>
          <w:tcPr>
            <w:tcW w:w="1765" w:type="dxa"/>
            <w:tcBorders>
              <w:top w:val="nil"/>
              <w:left w:val="single" w:sz="4" w:space="0" w:color="auto"/>
              <w:bottom w:val="nil"/>
              <w:right w:val="single" w:sz="4" w:space="0" w:color="auto"/>
            </w:tcBorders>
          </w:tcPr>
          <w:p w14:paraId="2B7B15FF"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eastAsia="Times New Roman" w:hAnsi="Arial" w:cs="Arial"/>
                <w:color w:val="000000" w:themeColor="text1"/>
                <w:sz w:val="24"/>
                <w:szCs w:val="24"/>
              </w:rPr>
              <w:t xml:space="preserve">Greenland </w:t>
            </w:r>
          </w:p>
        </w:tc>
        <w:tc>
          <w:tcPr>
            <w:tcW w:w="1585" w:type="dxa"/>
            <w:tcBorders>
              <w:top w:val="nil"/>
              <w:left w:val="single" w:sz="4" w:space="0" w:color="auto"/>
              <w:bottom w:val="nil"/>
              <w:right w:val="single" w:sz="4" w:space="0" w:color="auto"/>
            </w:tcBorders>
          </w:tcPr>
          <w:p w14:paraId="2C0794DB" w14:textId="77777777" w:rsidR="00C13E47" w:rsidRPr="00C13E47" w:rsidRDefault="00C13E47" w:rsidP="00C13E4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 xml:space="preserve">Biofumigant </w:t>
            </w:r>
          </w:p>
        </w:tc>
        <w:tc>
          <w:tcPr>
            <w:cnfStyle w:val="000100000000" w:firstRow="0" w:lastRow="0" w:firstColumn="0" w:lastColumn="1" w:oddVBand="0" w:evenVBand="0" w:oddHBand="0" w:evenHBand="0" w:firstRowFirstColumn="0" w:firstRowLastColumn="0" w:lastRowFirstColumn="0" w:lastRowLastColumn="0"/>
            <w:tcW w:w="2333" w:type="dxa"/>
            <w:tcBorders>
              <w:top w:val="nil"/>
              <w:left w:val="single" w:sz="4" w:space="0" w:color="auto"/>
              <w:bottom w:val="nil"/>
              <w:right w:val="nil"/>
            </w:tcBorders>
          </w:tcPr>
          <w:p w14:paraId="39E65865" w14:textId="77777777" w:rsidR="00C13E47" w:rsidRPr="00C13E47" w:rsidRDefault="00C13E47" w:rsidP="00C13E47">
            <w:pPr>
              <w:spacing w:line="360" w:lineRule="auto"/>
              <w:ind w:left="720"/>
              <w:jc w:val="both"/>
              <w:rPr>
                <w:rFonts w:ascii="Arial" w:hAnsi="Arial" w:cs="Arial"/>
                <w:color w:val="000000" w:themeColor="text1"/>
                <w:sz w:val="24"/>
                <w:szCs w:val="24"/>
              </w:rPr>
            </w:pPr>
            <w:r w:rsidRPr="00C13E47">
              <w:rPr>
                <w:rFonts w:ascii="Arial" w:eastAsia="Times New Roman" w:hAnsi="Arial" w:cs="Arial"/>
                <w:color w:val="000000" w:themeColor="text1"/>
                <w:sz w:val="24"/>
                <w:szCs w:val="24"/>
              </w:rPr>
              <w:t>10</w:t>
            </w:r>
          </w:p>
        </w:tc>
      </w:tr>
      <w:tr w:rsidR="00616CDC" w:rsidRPr="00C13E47" w14:paraId="3B6B6B88" w14:textId="77777777" w:rsidTr="00616CDC">
        <w:trPr>
          <w:trHeight w:val="542"/>
        </w:trPr>
        <w:tc>
          <w:tcPr>
            <w:cnfStyle w:val="001000000000" w:firstRow="0" w:lastRow="0" w:firstColumn="1" w:lastColumn="0" w:oddVBand="0" w:evenVBand="0" w:oddHBand="0" w:evenHBand="0" w:firstRowFirstColumn="0" w:firstRowLastColumn="0" w:lastRowFirstColumn="0" w:lastRowLastColumn="0"/>
            <w:tcW w:w="3525" w:type="dxa"/>
            <w:tcBorders>
              <w:top w:val="nil"/>
              <w:bottom w:val="nil"/>
              <w:right w:val="single" w:sz="4" w:space="0" w:color="auto"/>
            </w:tcBorders>
          </w:tcPr>
          <w:p w14:paraId="48A95587" w14:textId="77777777" w:rsidR="00C13E47" w:rsidRPr="00C13E47" w:rsidRDefault="00C13E47" w:rsidP="00C13E47">
            <w:pPr>
              <w:spacing w:line="360" w:lineRule="auto"/>
              <w:ind w:left="360" w:right="319"/>
              <w:rPr>
                <w:rFonts w:ascii="Arial" w:hAnsi="Arial" w:cs="Arial"/>
                <w:b w:val="0"/>
                <w:i/>
                <w:color w:val="000000" w:themeColor="text1"/>
                <w:sz w:val="24"/>
                <w:szCs w:val="24"/>
              </w:rPr>
            </w:pPr>
            <w:r w:rsidRPr="00C13E47">
              <w:rPr>
                <w:rFonts w:ascii="Arial" w:eastAsia="Times New Roman" w:hAnsi="Arial" w:cs="Arial"/>
                <w:b w:val="0"/>
                <w:i/>
                <w:color w:val="000000" w:themeColor="text1"/>
                <w:sz w:val="24"/>
                <w:szCs w:val="24"/>
              </w:rPr>
              <w:t xml:space="preserve">Raphanus sativus </w:t>
            </w:r>
          </w:p>
        </w:tc>
        <w:tc>
          <w:tcPr>
            <w:tcW w:w="2244" w:type="dxa"/>
            <w:tcBorders>
              <w:top w:val="nil"/>
              <w:bottom w:val="nil"/>
              <w:right w:val="single" w:sz="4" w:space="0" w:color="auto"/>
            </w:tcBorders>
          </w:tcPr>
          <w:p w14:paraId="2342EA58"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Daikon radish</w:t>
            </w:r>
          </w:p>
        </w:tc>
        <w:tc>
          <w:tcPr>
            <w:tcW w:w="1765" w:type="dxa"/>
            <w:tcBorders>
              <w:top w:val="nil"/>
              <w:left w:val="single" w:sz="4" w:space="0" w:color="auto"/>
              <w:bottom w:val="nil"/>
              <w:right w:val="single" w:sz="4" w:space="0" w:color="auto"/>
            </w:tcBorders>
          </w:tcPr>
          <w:p w14:paraId="592504B0"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eastAsia="Times New Roman" w:hAnsi="Arial" w:cs="Arial"/>
                <w:color w:val="000000" w:themeColor="text1"/>
                <w:sz w:val="24"/>
                <w:szCs w:val="24"/>
              </w:rPr>
              <w:t>Longipinnatus</w:t>
            </w:r>
          </w:p>
        </w:tc>
        <w:tc>
          <w:tcPr>
            <w:tcW w:w="1585" w:type="dxa"/>
            <w:tcBorders>
              <w:top w:val="nil"/>
              <w:left w:val="single" w:sz="4" w:space="0" w:color="auto"/>
              <w:right w:val="single" w:sz="4" w:space="0" w:color="auto"/>
            </w:tcBorders>
          </w:tcPr>
          <w:p w14:paraId="7C31C227" w14:textId="77777777" w:rsidR="00C13E47" w:rsidRPr="00C13E47" w:rsidRDefault="00C13E47" w:rsidP="00C13E4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Biofumigant</w:t>
            </w:r>
          </w:p>
        </w:tc>
        <w:tc>
          <w:tcPr>
            <w:cnfStyle w:val="000100000000" w:firstRow="0" w:lastRow="0" w:firstColumn="0" w:lastColumn="1" w:oddVBand="0" w:evenVBand="0" w:oddHBand="0" w:evenHBand="0" w:firstRowFirstColumn="0" w:firstRowLastColumn="0" w:lastRowFirstColumn="0" w:lastRowLastColumn="0"/>
            <w:tcW w:w="2333" w:type="dxa"/>
            <w:tcBorders>
              <w:top w:val="nil"/>
              <w:left w:val="single" w:sz="4" w:space="0" w:color="auto"/>
              <w:right w:val="nil"/>
            </w:tcBorders>
          </w:tcPr>
          <w:p w14:paraId="1BF259CA" w14:textId="77777777" w:rsidR="00C13E47" w:rsidRPr="00C13E47" w:rsidRDefault="00C13E47" w:rsidP="00C13E47">
            <w:pPr>
              <w:spacing w:line="360" w:lineRule="auto"/>
              <w:ind w:left="720"/>
              <w:jc w:val="both"/>
              <w:rPr>
                <w:rFonts w:ascii="Arial" w:hAnsi="Arial" w:cs="Arial"/>
                <w:color w:val="000000" w:themeColor="text1"/>
                <w:sz w:val="24"/>
                <w:szCs w:val="24"/>
              </w:rPr>
            </w:pPr>
            <w:r w:rsidRPr="00C13E47">
              <w:rPr>
                <w:rFonts w:ascii="Arial" w:eastAsia="Times New Roman" w:hAnsi="Arial" w:cs="Arial"/>
                <w:color w:val="000000" w:themeColor="text1"/>
                <w:sz w:val="24"/>
                <w:szCs w:val="24"/>
              </w:rPr>
              <w:t>15</w:t>
            </w:r>
          </w:p>
        </w:tc>
      </w:tr>
      <w:tr w:rsidR="00616CDC" w:rsidRPr="00C13E47" w14:paraId="4FF59FE5" w14:textId="77777777" w:rsidTr="00616CDC">
        <w:trPr>
          <w:trHeight w:val="542"/>
        </w:trPr>
        <w:tc>
          <w:tcPr>
            <w:cnfStyle w:val="001000000000" w:firstRow="0" w:lastRow="0" w:firstColumn="1" w:lastColumn="0" w:oddVBand="0" w:evenVBand="0" w:oddHBand="0" w:evenHBand="0" w:firstRowFirstColumn="0" w:firstRowLastColumn="0" w:lastRowFirstColumn="0" w:lastRowLastColumn="0"/>
            <w:tcW w:w="3525" w:type="dxa"/>
            <w:tcBorders>
              <w:top w:val="nil"/>
              <w:bottom w:val="nil"/>
              <w:right w:val="single" w:sz="4" w:space="0" w:color="auto"/>
            </w:tcBorders>
          </w:tcPr>
          <w:p w14:paraId="23090F62" w14:textId="77777777" w:rsidR="00C13E47" w:rsidRPr="00C13E47" w:rsidRDefault="00C13E47" w:rsidP="00C13E47">
            <w:pPr>
              <w:spacing w:line="360" w:lineRule="auto"/>
              <w:ind w:left="360" w:right="319"/>
              <w:rPr>
                <w:rFonts w:ascii="Arial" w:hAnsi="Arial" w:cs="Arial"/>
                <w:b w:val="0"/>
                <w:i/>
                <w:color w:val="000000" w:themeColor="text1"/>
                <w:sz w:val="24"/>
                <w:szCs w:val="24"/>
              </w:rPr>
            </w:pPr>
            <w:r w:rsidRPr="00C13E47">
              <w:rPr>
                <w:rFonts w:ascii="Arial" w:eastAsia="Times New Roman" w:hAnsi="Arial" w:cs="Arial"/>
                <w:b w:val="0"/>
                <w:i/>
                <w:color w:val="000000" w:themeColor="text1"/>
                <w:sz w:val="24"/>
                <w:szCs w:val="24"/>
              </w:rPr>
              <w:t xml:space="preserve">Raphanus sativus </w:t>
            </w:r>
          </w:p>
        </w:tc>
        <w:tc>
          <w:tcPr>
            <w:tcW w:w="2244" w:type="dxa"/>
            <w:tcBorders>
              <w:top w:val="nil"/>
              <w:right w:val="single" w:sz="4" w:space="0" w:color="auto"/>
            </w:tcBorders>
          </w:tcPr>
          <w:p w14:paraId="2D9FE750"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Oil radish</w:t>
            </w:r>
          </w:p>
        </w:tc>
        <w:tc>
          <w:tcPr>
            <w:tcW w:w="1765" w:type="dxa"/>
            <w:tcBorders>
              <w:top w:val="nil"/>
              <w:left w:val="single" w:sz="4" w:space="0" w:color="auto"/>
              <w:right w:val="single" w:sz="4" w:space="0" w:color="auto"/>
            </w:tcBorders>
          </w:tcPr>
          <w:p w14:paraId="6A79B131"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eastAsia="Times New Roman" w:hAnsi="Arial" w:cs="Arial"/>
                <w:color w:val="000000" w:themeColor="text1"/>
                <w:sz w:val="24"/>
                <w:szCs w:val="24"/>
              </w:rPr>
              <w:t>Terranova</w:t>
            </w:r>
          </w:p>
        </w:tc>
        <w:tc>
          <w:tcPr>
            <w:tcW w:w="1585" w:type="dxa"/>
            <w:tcBorders>
              <w:left w:val="single" w:sz="4" w:space="0" w:color="auto"/>
              <w:right w:val="single" w:sz="4" w:space="0" w:color="auto"/>
            </w:tcBorders>
          </w:tcPr>
          <w:p w14:paraId="598F896E" w14:textId="77777777" w:rsidR="00C13E47" w:rsidRPr="00C13E47" w:rsidRDefault="00C13E47" w:rsidP="00C13E4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Biofumigant</w:t>
            </w:r>
          </w:p>
        </w:tc>
        <w:tc>
          <w:tcPr>
            <w:cnfStyle w:val="000100000000" w:firstRow="0" w:lastRow="0" w:firstColumn="0" w:lastColumn="1" w:oddVBand="0" w:evenVBand="0" w:oddHBand="0" w:evenHBand="0" w:firstRowFirstColumn="0" w:firstRowLastColumn="0" w:lastRowFirstColumn="0" w:lastRowLastColumn="0"/>
            <w:tcW w:w="2333" w:type="dxa"/>
            <w:tcBorders>
              <w:left w:val="single" w:sz="4" w:space="0" w:color="auto"/>
              <w:right w:val="nil"/>
            </w:tcBorders>
          </w:tcPr>
          <w:p w14:paraId="729818A0" w14:textId="77777777" w:rsidR="00C13E47" w:rsidRPr="00C13E47" w:rsidRDefault="00C13E47" w:rsidP="00C13E47">
            <w:pPr>
              <w:spacing w:line="360" w:lineRule="auto"/>
              <w:ind w:left="720"/>
              <w:jc w:val="both"/>
              <w:rPr>
                <w:rFonts w:ascii="Arial" w:hAnsi="Arial" w:cs="Arial"/>
                <w:color w:val="000000" w:themeColor="text1"/>
                <w:sz w:val="24"/>
                <w:szCs w:val="24"/>
              </w:rPr>
            </w:pPr>
            <w:r w:rsidRPr="00C13E47">
              <w:rPr>
                <w:rFonts w:ascii="Arial" w:eastAsia="Times New Roman" w:hAnsi="Arial" w:cs="Arial"/>
                <w:color w:val="000000" w:themeColor="text1"/>
                <w:sz w:val="24"/>
                <w:szCs w:val="24"/>
              </w:rPr>
              <w:t>20</w:t>
            </w:r>
          </w:p>
        </w:tc>
      </w:tr>
      <w:tr w:rsidR="00616CDC" w:rsidRPr="00C13E47" w14:paraId="33CF4F5C" w14:textId="77777777" w:rsidTr="00616CDC">
        <w:trPr>
          <w:trHeight w:val="542"/>
        </w:trPr>
        <w:tc>
          <w:tcPr>
            <w:cnfStyle w:val="001000000000" w:firstRow="0" w:lastRow="0" w:firstColumn="1" w:lastColumn="0" w:oddVBand="0" w:evenVBand="0" w:oddHBand="0" w:evenHBand="0" w:firstRowFirstColumn="0" w:firstRowLastColumn="0" w:lastRowFirstColumn="0" w:lastRowLastColumn="0"/>
            <w:tcW w:w="3525" w:type="dxa"/>
            <w:tcBorders>
              <w:top w:val="nil"/>
              <w:bottom w:val="nil"/>
              <w:right w:val="single" w:sz="4" w:space="0" w:color="auto"/>
            </w:tcBorders>
          </w:tcPr>
          <w:p w14:paraId="1D03F214" w14:textId="77777777" w:rsidR="00C13E47" w:rsidRPr="00C13E47" w:rsidRDefault="00C13E47" w:rsidP="00C13E47">
            <w:pPr>
              <w:spacing w:line="360" w:lineRule="auto"/>
              <w:ind w:left="360" w:right="319"/>
              <w:rPr>
                <w:rFonts w:ascii="Arial" w:hAnsi="Arial" w:cs="Arial"/>
                <w:b w:val="0"/>
                <w:i/>
                <w:color w:val="000000" w:themeColor="text1"/>
                <w:sz w:val="24"/>
                <w:szCs w:val="24"/>
              </w:rPr>
            </w:pPr>
            <w:r w:rsidRPr="00C13E47">
              <w:rPr>
                <w:rFonts w:ascii="Arial" w:eastAsia="Times New Roman" w:hAnsi="Arial" w:cs="Arial"/>
                <w:b w:val="0"/>
                <w:i/>
                <w:color w:val="000000" w:themeColor="text1"/>
                <w:sz w:val="24"/>
                <w:szCs w:val="24"/>
              </w:rPr>
              <w:t xml:space="preserve">Papaver somniferum </w:t>
            </w:r>
          </w:p>
        </w:tc>
        <w:tc>
          <w:tcPr>
            <w:tcW w:w="2244" w:type="dxa"/>
            <w:tcBorders>
              <w:right w:val="single" w:sz="4" w:space="0" w:color="auto"/>
            </w:tcBorders>
          </w:tcPr>
          <w:p w14:paraId="3B6AB398"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 xml:space="preserve">opium poppy  </w:t>
            </w:r>
          </w:p>
        </w:tc>
        <w:tc>
          <w:tcPr>
            <w:tcW w:w="1765" w:type="dxa"/>
            <w:tcBorders>
              <w:left w:val="single" w:sz="4" w:space="0" w:color="auto"/>
              <w:right w:val="single" w:sz="4" w:space="0" w:color="auto"/>
            </w:tcBorders>
          </w:tcPr>
          <w:p w14:paraId="0778AF41"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eastAsia="Times New Roman" w:hAnsi="Arial" w:cs="Arial"/>
                <w:color w:val="000000" w:themeColor="text1"/>
                <w:sz w:val="24"/>
                <w:szCs w:val="24"/>
              </w:rPr>
              <w:t>Marianne</w:t>
            </w:r>
          </w:p>
        </w:tc>
        <w:tc>
          <w:tcPr>
            <w:tcW w:w="1585" w:type="dxa"/>
            <w:tcBorders>
              <w:left w:val="single" w:sz="4" w:space="0" w:color="auto"/>
              <w:right w:val="single" w:sz="4" w:space="0" w:color="auto"/>
            </w:tcBorders>
          </w:tcPr>
          <w:p w14:paraId="3BE80CB5" w14:textId="77777777" w:rsidR="00C13E47" w:rsidRPr="00C13E47" w:rsidRDefault="00C13E47" w:rsidP="00C13E4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 xml:space="preserve">Poor host </w:t>
            </w:r>
          </w:p>
        </w:tc>
        <w:tc>
          <w:tcPr>
            <w:cnfStyle w:val="000100000000" w:firstRow="0" w:lastRow="0" w:firstColumn="0" w:lastColumn="1" w:oddVBand="0" w:evenVBand="0" w:oddHBand="0" w:evenHBand="0" w:firstRowFirstColumn="0" w:firstRowLastColumn="0" w:lastRowFirstColumn="0" w:lastRowLastColumn="0"/>
            <w:tcW w:w="2333" w:type="dxa"/>
            <w:tcBorders>
              <w:left w:val="single" w:sz="4" w:space="0" w:color="auto"/>
              <w:right w:val="nil"/>
            </w:tcBorders>
          </w:tcPr>
          <w:p w14:paraId="503C4927" w14:textId="77777777" w:rsidR="00C13E47" w:rsidRPr="00C13E47" w:rsidRDefault="00C13E47" w:rsidP="00C13E47">
            <w:pPr>
              <w:spacing w:line="360" w:lineRule="auto"/>
              <w:ind w:left="720"/>
              <w:jc w:val="both"/>
              <w:rPr>
                <w:rFonts w:ascii="Arial" w:hAnsi="Arial" w:cs="Arial"/>
                <w:color w:val="000000" w:themeColor="text1"/>
                <w:sz w:val="24"/>
                <w:szCs w:val="24"/>
              </w:rPr>
            </w:pPr>
            <w:r w:rsidRPr="00C13E47">
              <w:rPr>
                <w:rFonts w:ascii="Arial" w:eastAsia="Times New Roman" w:hAnsi="Arial" w:cs="Arial"/>
                <w:color w:val="000000" w:themeColor="text1"/>
                <w:sz w:val="24"/>
                <w:szCs w:val="24"/>
              </w:rPr>
              <w:t>1.5</w:t>
            </w:r>
          </w:p>
        </w:tc>
      </w:tr>
      <w:tr w:rsidR="00616CDC" w:rsidRPr="00C13E47" w14:paraId="0522F9A5" w14:textId="77777777" w:rsidTr="00616CDC">
        <w:trPr>
          <w:trHeight w:val="542"/>
        </w:trPr>
        <w:tc>
          <w:tcPr>
            <w:cnfStyle w:val="001000000000" w:firstRow="0" w:lastRow="0" w:firstColumn="1" w:lastColumn="0" w:oddVBand="0" w:evenVBand="0" w:oddHBand="0" w:evenHBand="0" w:firstRowFirstColumn="0" w:firstRowLastColumn="0" w:lastRowFirstColumn="0" w:lastRowLastColumn="0"/>
            <w:tcW w:w="3525" w:type="dxa"/>
            <w:tcBorders>
              <w:top w:val="nil"/>
              <w:bottom w:val="nil"/>
              <w:right w:val="single" w:sz="4" w:space="0" w:color="auto"/>
            </w:tcBorders>
          </w:tcPr>
          <w:p w14:paraId="33244F5E" w14:textId="77777777" w:rsidR="00C13E47" w:rsidRPr="00C13E47" w:rsidRDefault="00C13E47" w:rsidP="00C13E47">
            <w:pPr>
              <w:spacing w:line="360" w:lineRule="auto"/>
              <w:ind w:left="360" w:right="319"/>
              <w:rPr>
                <w:rFonts w:ascii="Arial" w:eastAsia="Times New Roman" w:hAnsi="Arial" w:cs="Arial"/>
                <w:b w:val="0"/>
                <w:i/>
                <w:color w:val="000000" w:themeColor="text1"/>
                <w:sz w:val="24"/>
                <w:szCs w:val="24"/>
              </w:rPr>
            </w:pPr>
            <w:r w:rsidRPr="00C13E47">
              <w:rPr>
                <w:rFonts w:ascii="Arial" w:eastAsia="Times New Roman" w:hAnsi="Arial" w:cs="Arial"/>
                <w:b w:val="0"/>
                <w:i/>
                <w:color w:val="000000" w:themeColor="text1"/>
                <w:sz w:val="24"/>
                <w:szCs w:val="24"/>
              </w:rPr>
              <w:t>Lolium multiflorum</w:t>
            </w:r>
          </w:p>
        </w:tc>
        <w:tc>
          <w:tcPr>
            <w:tcW w:w="2244" w:type="dxa"/>
            <w:tcBorders>
              <w:right w:val="single" w:sz="4" w:space="0" w:color="auto"/>
            </w:tcBorders>
          </w:tcPr>
          <w:p w14:paraId="1305A5EA"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Italian rye grass</w:t>
            </w:r>
          </w:p>
        </w:tc>
        <w:tc>
          <w:tcPr>
            <w:tcW w:w="1765" w:type="dxa"/>
            <w:tcBorders>
              <w:left w:val="single" w:sz="4" w:space="0" w:color="auto"/>
              <w:right w:val="single" w:sz="4" w:space="0" w:color="auto"/>
            </w:tcBorders>
          </w:tcPr>
          <w:p w14:paraId="5ABAB089"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eastAsia="Times New Roman" w:hAnsi="Arial" w:cs="Arial"/>
                <w:color w:val="000000" w:themeColor="text1"/>
                <w:sz w:val="24"/>
                <w:szCs w:val="24"/>
              </w:rPr>
              <w:t xml:space="preserve">Syntilla </w:t>
            </w:r>
          </w:p>
        </w:tc>
        <w:tc>
          <w:tcPr>
            <w:tcW w:w="1585" w:type="dxa"/>
            <w:tcBorders>
              <w:left w:val="single" w:sz="4" w:space="0" w:color="auto"/>
              <w:right w:val="single" w:sz="4" w:space="0" w:color="auto"/>
            </w:tcBorders>
          </w:tcPr>
          <w:p w14:paraId="47137041" w14:textId="77777777" w:rsidR="00C13E47" w:rsidRPr="00C13E47" w:rsidRDefault="00C13E47" w:rsidP="00C13E4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Good host</w:t>
            </w:r>
          </w:p>
        </w:tc>
        <w:tc>
          <w:tcPr>
            <w:cnfStyle w:val="000100000000" w:firstRow="0" w:lastRow="0" w:firstColumn="0" w:lastColumn="1" w:oddVBand="0" w:evenVBand="0" w:oddHBand="0" w:evenHBand="0" w:firstRowFirstColumn="0" w:firstRowLastColumn="0" w:lastRowFirstColumn="0" w:lastRowLastColumn="0"/>
            <w:tcW w:w="2333" w:type="dxa"/>
            <w:tcBorders>
              <w:left w:val="single" w:sz="4" w:space="0" w:color="auto"/>
              <w:right w:val="nil"/>
            </w:tcBorders>
          </w:tcPr>
          <w:p w14:paraId="4FC64A73" w14:textId="77777777" w:rsidR="00C13E47" w:rsidRPr="00C13E47" w:rsidRDefault="00C13E47" w:rsidP="00C13E47">
            <w:pPr>
              <w:spacing w:line="360" w:lineRule="auto"/>
              <w:ind w:left="720"/>
              <w:jc w:val="both"/>
              <w:rPr>
                <w:rFonts w:ascii="Arial" w:hAnsi="Arial" w:cs="Arial"/>
                <w:color w:val="000000" w:themeColor="text1"/>
                <w:sz w:val="24"/>
                <w:szCs w:val="24"/>
              </w:rPr>
            </w:pPr>
            <w:r w:rsidRPr="00C13E47">
              <w:rPr>
                <w:rFonts w:ascii="Arial" w:eastAsia="Times New Roman" w:hAnsi="Arial" w:cs="Arial"/>
                <w:color w:val="000000" w:themeColor="text1"/>
                <w:sz w:val="24"/>
                <w:szCs w:val="24"/>
              </w:rPr>
              <w:t>25</w:t>
            </w:r>
          </w:p>
        </w:tc>
      </w:tr>
      <w:tr w:rsidR="00616CDC" w:rsidRPr="00C13E47" w14:paraId="1DB3DAD9" w14:textId="77777777" w:rsidTr="00616CDC">
        <w:trPr>
          <w:trHeight w:val="542"/>
        </w:trPr>
        <w:tc>
          <w:tcPr>
            <w:cnfStyle w:val="001000000000" w:firstRow="0" w:lastRow="0" w:firstColumn="1" w:lastColumn="0" w:oddVBand="0" w:evenVBand="0" w:oddHBand="0" w:evenHBand="0" w:firstRowFirstColumn="0" w:firstRowLastColumn="0" w:lastRowFirstColumn="0" w:lastRowLastColumn="0"/>
            <w:tcW w:w="3525" w:type="dxa"/>
            <w:tcBorders>
              <w:top w:val="nil"/>
              <w:bottom w:val="nil"/>
              <w:right w:val="single" w:sz="4" w:space="0" w:color="auto"/>
            </w:tcBorders>
          </w:tcPr>
          <w:p w14:paraId="29CFD695" w14:textId="77777777" w:rsidR="00C13E47" w:rsidRPr="00C13E47" w:rsidRDefault="00C13E47" w:rsidP="00C13E47">
            <w:pPr>
              <w:spacing w:line="360" w:lineRule="auto"/>
              <w:ind w:left="360" w:right="319"/>
              <w:rPr>
                <w:rFonts w:ascii="Arial" w:hAnsi="Arial" w:cs="Arial"/>
                <w:b w:val="0"/>
                <w:i/>
                <w:color w:val="000000" w:themeColor="text1"/>
                <w:sz w:val="24"/>
                <w:szCs w:val="24"/>
              </w:rPr>
            </w:pPr>
            <w:r w:rsidRPr="00C13E47">
              <w:rPr>
                <w:rFonts w:ascii="Arial" w:eastAsia="Times New Roman" w:hAnsi="Arial" w:cs="Arial"/>
                <w:b w:val="0"/>
                <w:i/>
                <w:color w:val="000000" w:themeColor="text1"/>
                <w:sz w:val="24"/>
                <w:szCs w:val="24"/>
              </w:rPr>
              <w:t xml:space="preserve">Festulolium spp </w:t>
            </w:r>
          </w:p>
        </w:tc>
        <w:tc>
          <w:tcPr>
            <w:tcW w:w="2244" w:type="dxa"/>
            <w:tcBorders>
              <w:right w:val="single" w:sz="4" w:space="0" w:color="auto"/>
            </w:tcBorders>
          </w:tcPr>
          <w:p w14:paraId="2567C8FA"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C13E47">
              <w:rPr>
                <w:rFonts w:ascii="Arial" w:eastAsia="Times New Roman" w:hAnsi="Arial" w:cs="Arial"/>
                <w:color w:val="000000" w:themeColor="text1"/>
                <w:sz w:val="24"/>
                <w:szCs w:val="24"/>
              </w:rPr>
              <w:t>Endophyte grass</w:t>
            </w:r>
          </w:p>
        </w:tc>
        <w:tc>
          <w:tcPr>
            <w:tcW w:w="1765" w:type="dxa"/>
            <w:tcBorders>
              <w:left w:val="single" w:sz="4" w:space="0" w:color="auto"/>
              <w:right w:val="single" w:sz="4" w:space="0" w:color="auto"/>
            </w:tcBorders>
          </w:tcPr>
          <w:p w14:paraId="1995F72A"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eastAsia="Times New Roman" w:hAnsi="Arial" w:cs="Arial"/>
                <w:color w:val="000000" w:themeColor="text1"/>
                <w:sz w:val="24"/>
                <w:szCs w:val="24"/>
              </w:rPr>
              <w:t xml:space="preserve">Green solutions </w:t>
            </w:r>
          </w:p>
        </w:tc>
        <w:tc>
          <w:tcPr>
            <w:tcW w:w="1585" w:type="dxa"/>
            <w:tcBorders>
              <w:left w:val="single" w:sz="4" w:space="0" w:color="auto"/>
              <w:right w:val="single" w:sz="4" w:space="0" w:color="auto"/>
            </w:tcBorders>
          </w:tcPr>
          <w:p w14:paraId="2937BFA8" w14:textId="77777777" w:rsidR="00C13E47" w:rsidRPr="00C13E47" w:rsidRDefault="00C13E47" w:rsidP="00C13E4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hAnsi="Arial" w:cs="Arial"/>
                <w:color w:val="000000" w:themeColor="text1"/>
                <w:sz w:val="24"/>
                <w:szCs w:val="24"/>
              </w:rPr>
              <w:t xml:space="preserve">Unknown </w:t>
            </w:r>
          </w:p>
        </w:tc>
        <w:tc>
          <w:tcPr>
            <w:cnfStyle w:val="000100000000" w:firstRow="0" w:lastRow="0" w:firstColumn="0" w:lastColumn="1" w:oddVBand="0" w:evenVBand="0" w:oddHBand="0" w:evenHBand="0" w:firstRowFirstColumn="0" w:firstRowLastColumn="0" w:lastRowFirstColumn="0" w:lastRowLastColumn="0"/>
            <w:tcW w:w="2333" w:type="dxa"/>
            <w:tcBorders>
              <w:left w:val="single" w:sz="4" w:space="0" w:color="auto"/>
              <w:right w:val="nil"/>
            </w:tcBorders>
          </w:tcPr>
          <w:p w14:paraId="5AC048C0" w14:textId="77777777" w:rsidR="00C13E47" w:rsidRPr="00C13E47" w:rsidRDefault="00C13E47" w:rsidP="00C13E47">
            <w:pPr>
              <w:spacing w:line="360" w:lineRule="auto"/>
              <w:ind w:left="720"/>
              <w:jc w:val="both"/>
              <w:rPr>
                <w:rFonts w:ascii="Arial" w:hAnsi="Arial" w:cs="Arial"/>
                <w:color w:val="000000" w:themeColor="text1"/>
                <w:sz w:val="24"/>
                <w:szCs w:val="24"/>
              </w:rPr>
            </w:pPr>
            <w:r w:rsidRPr="00C13E47">
              <w:rPr>
                <w:rFonts w:ascii="Arial" w:hAnsi="Arial" w:cs="Arial"/>
                <w:color w:val="000000" w:themeColor="text1"/>
                <w:sz w:val="24"/>
                <w:szCs w:val="24"/>
              </w:rPr>
              <w:t>25</w:t>
            </w:r>
          </w:p>
        </w:tc>
      </w:tr>
      <w:tr w:rsidR="00616CDC" w:rsidRPr="00C13E47" w14:paraId="281A8794" w14:textId="77777777" w:rsidTr="00616CDC">
        <w:trPr>
          <w:trHeight w:val="542"/>
        </w:trPr>
        <w:tc>
          <w:tcPr>
            <w:cnfStyle w:val="001000000000" w:firstRow="0" w:lastRow="0" w:firstColumn="1" w:lastColumn="0" w:oddVBand="0" w:evenVBand="0" w:oddHBand="0" w:evenHBand="0" w:firstRowFirstColumn="0" w:firstRowLastColumn="0" w:lastRowFirstColumn="0" w:lastRowLastColumn="0"/>
            <w:tcW w:w="3525" w:type="dxa"/>
            <w:tcBorders>
              <w:top w:val="nil"/>
              <w:bottom w:val="single" w:sz="4" w:space="0" w:color="auto"/>
              <w:right w:val="single" w:sz="4" w:space="0" w:color="auto"/>
            </w:tcBorders>
          </w:tcPr>
          <w:p w14:paraId="17DF7C4B" w14:textId="77777777" w:rsidR="00C13E47" w:rsidRPr="00C13E47" w:rsidRDefault="00C13E47" w:rsidP="00C13E47">
            <w:pPr>
              <w:spacing w:line="360" w:lineRule="auto"/>
              <w:ind w:left="360" w:right="319"/>
              <w:rPr>
                <w:rFonts w:ascii="Arial" w:eastAsia="Times New Roman" w:hAnsi="Arial" w:cs="Arial"/>
                <w:b w:val="0"/>
                <w:color w:val="000000" w:themeColor="text1"/>
                <w:sz w:val="24"/>
                <w:szCs w:val="24"/>
              </w:rPr>
            </w:pPr>
            <w:r w:rsidRPr="00C13E47">
              <w:rPr>
                <w:rFonts w:ascii="Arial" w:eastAsia="Times New Roman" w:hAnsi="Arial" w:cs="Arial"/>
                <w:b w:val="0"/>
                <w:color w:val="000000" w:themeColor="text1"/>
                <w:sz w:val="24"/>
                <w:szCs w:val="24"/>
              </w:rPr>
              <w:t>Fallow (Untreated)</w:t>
            </w:r>
          </w:p>
        </w:tc>
        <w:tc>
          <w:tcPr>
            <w:tcW w:w="2244" w:type="dxa"/>
            <w:tcBorders>
              <w:top w:val="nil"/>
              <w:bottom w:val="single" w:sz="4" w:space="0" w:color="auto"/>
              <w:right w:val="single" w:sz="4" w:space="0" w:color="auto"/>
            </w:tcBorders>
          </w:tcPr>
          <w:p w14:paraId="73B00B54"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hAnsi="Arial" w:cs="Arial"/>
                <w:color w:val="000000" w:themeColor="text1"/>
                <w:sz w:val="24"/>
                <w:szCs w:val="24"/>
              </w:rPr>
              <w:t xml:space="preserve">Control </w:t>
            </w:r>
          </w:p>
        </w:tc>
        <w:tc>
          <w:tcPr>
            <w:tcW w:w="1765" w:type="dxa"/>
            <w:tcBorders>
              <w:top w:val="nil"/>
              <w:left w:val="single" w:sz="4" w:space="0" w:color="auto"/>
              <w:bottom w:val="single" w:sz="4" w:space="0" w:color="auto"/>
              <w:right w:val="single" w:sz="4" w:space="0" w:color="auto"/>
            </w:tcBorders>
          </w:tcPr>
          <w:p w14:paraId="43AF9DA9"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hAnsi="Arial" w:cs="Arial"/>
                <w:color w:val="000000" w:themeColor="text1"/>
                <w:sz w:val="24"/>
                <w:szCs w:val="24"/>
              </w:rPr>
              <w:t xml:space="preserve">Control </w:t>
            </w:r>
          </w:p>
        </w:tc>
        <w:tc>
          <w:tcPr>
            <w:tcW w:w="1585" w:type="dxa"/>
            <w:tcBorders>
              <w:top w:val="nil"/>
              <w:left w:val="single" w:sz="4" w:space="0" w:color="auto"/>
              <w:bottom w:val="single" w:sz="4" w:space="0" w:color="auto"/>
              <w:right w:val="single" w:sz="4" w:space="0" w:color="auto"/>
            </w:tcBorders>
          </w:tcPr>
          <w:p w14:paraId="434037E2" w14:textId="77777777" w:rsidR="00C13E47" w:rsidRPr="00C13E47" w:rsidRDefault="00C13E47" w:rsidP="00C13E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13E47">
              <w:rPr>
                <w:rFonts w:ascii="Arial" w:hAnsi="Arial" w:cs="Arial"/>
                <w:color w:val="000000" w:themeColor="text1"/>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2333" w:type="dxa"/>
            <w:tcBorders>
              <w:top w:val="nil"/>
              <w:left w:val="single" w:sz="4" w:space="0" w:color="auto"/>
              <w:bottom w:val="single" w:sz="4" w:space="0" w:color="auto"/>
              <w:right w:val="nil"/>
            </w:tcBorders>
          </w:tcPr>
          <w:p w14:paraId="11ACAAA0" w14:textId="77777777" w:rsidR="00C13E47" w:rsidRPr="00C13E47" w:rsidRDefault="00C13E47" w:rsidP="00C13E47">
            <w:pPr>
              <w:spacing w:line="360" w:lineRule="auto"/>
              <w:ind w:left="720"/>
              <w:rPr>
                <w:rFonts w:ascii="Arial" w:hAnsi="Arial" w:cs="Arial"/>
                <w:color w:val="000000" w:themeColor="text1"/>
                <w:sz w:val="24"/>
                <w:szCs w:val="24"/>
              </w:rPr>
            </w:pPr>
          </w:p>
        </w:tc>
      </w:tr>
    </w:tbl>
    <w:p w14:paraId="0BA78332" w14:textId="77777777" w:rsidR="00C13E47" w:rsidRDefault="00C13E47" w:rsidP="00616CDC">
      <w:pPr>
        <w:spacing w:line="360" w:lineRule="auto"/>
        <w:jc w:val="both"/>
        <w:rPr>
          <w:rFonts w:ascii="Arial" w:hAnsi="Arial" w:cs="Arial"/>
          <w:color w:val="000000" w:themeColor="text1"/>
          <w:sz w:val="24"/>
          <w:szCs w:val="24"/>
        </w:rPr>
        <w:sectPr w:rsidR="00C13E47" w:rsidSect="002572CD">
          <w:pgSz w:w="11906" w:h="16838"/>
          <w:pgMar w:top="1440" w:right="1440" w:bottom="1440" w:left="1440" w:header="708" w:footer="708" w:gutter="0"/>
          <w:cols w:space="708"/>
          <w:docGrid w:linePitch="360"/>
        </w:sectPr>
      </w:pPr>
    </w:p>
    <w:p w14:paraId="5BFEADC1" w14:textId="2D834363" w:rsidR="003C629E" w:rsidRPr="00CC23C4" w:rsidRDefault="00C13E47" w:rsidP="00616CDC">
      <w:pPr>
        <w:pStyle w:val="Heading4"/>
        <w:spacing w:line="360" w:lineRule="auto"/>
        <w:ind w:left="-426"/>
        <w:rPr>
          <w:rFonts w:ascii="Arial" w:eastAsia="Times New Roman" w:hAnsi="Arial" w:cs="Arial"/>
          <w:b/>
          <w:color w:val="000000" w:themeColor="text1"/>
        </w:rPr>
      </w:pPr>
      <w:r w:rsidRPr="00616CDC">
        <w:rPr>
          <w:rFonts w:ascii="Arial" w:hAnsi="Arial" w:cs="Arial"/>
          <w:b/>
          <w:color w:val="000000" w:themeColor="text1"/>
        </w:rPr>
        <w:lastRenderedPageBreak/>
        <w:t>S</w:t>
      </w:r>
      <w:r w:rsidR="003C629E" w:rsidRPr="00CC23C4">
        <w:rPr>
          <w:rFonts w:ascii="Arial" w:hAnsi="Arial" w:cs="Arial"/>
          <w:b/>
          <w:color w:val="000000" w:themeColor="text1"/>
        </w:rPr>
        <w:t>ource of inoculum</w:t>
      </w:r>
    </w:p>
    <w:p w14:paraId="6B54AF4C" w14:textId="62B65CF7" w:rsidR="00A238B1" w:rsidRPr="002B3D8A" w:rsidRDefault="00C567A8" w:rsidP="00474F68">
      <w:pPr>
        <w:spacing w:line="360" w:lineRule="auto"/>
        <w:ind w:left="-426"/>
        <w:jc w:val="both"/>
        <w:rPr>
          <w:rFonts w:ascii="Arial" w:hAnsi="Arial" w:cs="Arial"/>
          <w:b/>
          <w:color w:val="000000" w:themeColor="text1"/>
          <w:sz w:val="24"/>
          <w:szCs w:val="24"/>
        </w:rPr>
      </w:pPr>
      <w:r w:rsidRPr="002B3D8A">
        <w:rPr>
          <w:rFonts w:ascii="Arial" w:eastAsia="Times New Roman" w:hAnsi="Arial" w:cs="Arial"/>
          <w:color w:val="000000" w:themeColor="text1"/>
          <w:sz w:val="24"/>
          <w:szCs w:val="24"/>
        </w:rPr>
        <w:t>Nematode infested</w:t>
      </w:r>
      <w:r w:rsidR="003C629E" w:rsidRPr="002B3D8A">
        <w:rPr>
          <w:rFonts w:ascii="Arial" w:eastAsia="Times New Roman" w:hAnsi="Arial" w:cs="Arial"/>
          <w:color w:val="000000" w:themeColor="text1"/>
          <w:sz w:val="24"/>
          <w:szCs w:val="24"/>
        </w:rPr>
        <w:t xml:space="preserve"> soil was used as</w:t>
      </w:r>
      <w:r w:rsidR="00F10B79">
        <w:rPr>
          <w:rFonts w:ascii="Arial" w:eastAsia="Times New Roman" w:hAnsi="Arial" w:cs="Arial"/>
          <w:color w:val="000000" w:themeColor="text1"/>
          <w:sz w:val="24"/>
          <w:szCs w:val="24"/>
        </w:rPr>
        <w:t xml:space="preserve"> a</w:t>
      </w:r>
      <w:r w:rsidR="003C629E" w:rsidRPr="002B3D8A">
        <w:rPr>
          <w:rFonts w:ascii="Arial" w:eastAsia="Times New Roman" w:hAnsi="Arial" w:cs="Arial"/>
          <w:color w:val="000000" w:themeColor="text1"/>
          <w:sz w:val="24"/>
          <w:szCs w:val="24"/>
        </w:rPr>
        <w:t xml:space="preserve"> source of inoculum</w:t>
      </w:r>
      <w:r w:rsidRPr="002B3D8A">
        <w:rPr>
          <w:rFonts w:ascii="Arial" w:eastAsia="Times New Roman" w:hAnsi="Arial" w:cs="Arial"/>
          <w:color w:val="000000" w:themeColor="text1"/>
          <w:sz w:val="24"/>
          <w:szCs w:val="24"/>
        </w:rPr>
        <w:t xml:space="preserve"> in this experiment</w:t>
      </w:r>
      <w:r w:rsidR="003C629E" w:rsidRPr="002B3D8A">
        <w:rPr>
          <w:rFonts w:ascii="Arial" w:eastAsia="Times New Roman" w:hAnsi="Arial" w:cs="Arial"/>
          <w:color w:val="000000" w:themeColor="text1"/>
          <w:sz w:val="24"/>
          <w:szCs w:val="24"/>
        </w:rPr>
        <w:t xml:space="preserve">. </w:t>
      </w:r>
      <w:r w:rsidR="00E85C8F" w:rsidRPr="002B3D8A">
        <w:rPr>
          <w:rFonts w:ascii="Arial" w:eastAsia="Times New Roman" w:hAnsi="Arial" w:cs="Arial"/>
          <w:color w:val="000000" w:themeColor="text1"/>
          <w:sz w:val="24"/>
          <w:szCs w:val="24"/>
        </w:rPr>
        <w:t xml:space="preserve">Soil sampling was </w:t>
      </w:r>
      <w:r w:rsidRPr="002B3D8A">
        <w:rPr>
          <w:rFonts w:ascii="Arial" w:eastAsia="Times New Roman" w:hAnsi="Arial" w:cs="Arial"/>
          <w:color w:val="000000" w:themeColor="text1"/>
          <w:sz w:val="24"/>
          <w:szCs w:val="24"/>
        </w:rPr>
        <w:t>conducted in nearby sites with</w:t>
      </w:r>
      <w:r w:rsidR="00F10B79">
        <w:rPr>
          <w:rFonts w:ascii="Arial" w:eastAsia="Times New Roman" w:hAnsi="Arial" w:cs="Arial"/>
          <w:color w:val="000000" w:themeColor="text1"/>
          <w:sz w:val="24"/>
          <w:szCs w:val="24"/>
        </w:rPr>
        <w:t xml:space="preserve"> a</w:t>
      </w:r>
      <w:r w:rsidRPr="002B3D8A">
        <w:rPr>
          <w:rFonts w:ascii="Arial" w:eastAsia="Times New Roman" w:hAnsi="Arial" w:cs="Arial"/>
          <w:color w:val="000000" w:themeColor="text1"/>
          <w:sz w:val="24"/>
          <w:szCs w:val="24"/>
        </w:rPr>
        <w:t xml:space="preserve"> previous history of </w:t>
      </w:r>
      <w:r w:rsidR="00862972" w:rsidRPr="002B3D8A">
        <w:rPr>
          <w:rFonts w:ascii="Arial" w:eastAsia="Times New Roman" w:hAnsi="Arial" w:cs="Arial"/>
          <w:color w:val="000000" w:themeColor="text1"/>
          <w:sz w:val="24"/>
          <w:szCs w:val="24"/>
        </w:rPr>
        <w:t xml:space="preserve">SRN </w:t>
      </w:r>
      <w:r w:rsidRPr="002B3D8A">
        <w:rPr>
          <w:rFonts w:ascii="Arial" w:eastAsia="Times New Roman" w:hAnsi="Arial" w:cs="Arial"/>
          <w:color w:val="000000" w:themeColor="text1"/>
          <w:sz w:val="24"/>
          <w:szCs w:val="24"/>
        </w:rPr>
        <w:t xml:space="preserve">infestation </w:t>
      </w:r>
      <w:r w:rsidR="00CF4EDE" w:rsidRPr="002B3D8A">
        <w:rPr>
          <w:rFonts w:ascii="Arial" w:eastAsia="Times New Roman" w:hAnsi="Arial" w:cs="Arial"/>
          <w:color w:val="000000" w:themeColor="text1"/>
          <w:sz w:val="24"/>
          <w:szCs w:val="24"/>
        </w:rPr>
        <w:t>to identify a hot spot for bulk soil sampling for use in the glasshouse experiment</w:t>
      </w:r>
      <w:r w:rsidR="00F10B79">
        <w:rPr>
          <w:rFonts w:ascii="Arial" w:eastAsia="Times New Roman" w:hAnsi="Arial" w:cs="Arial"/>
          <w:color w:val="000000" w:themeColor="text1"/>
          <w:sz w:val="24"/>
          <w:szCs w:val="24"/>
        </w:rPr>
        <w:t>.</w:t>
      </w:r>
      <w:r w:rsidR="00CF4EDE" w:rsidRPr="002B3D8A">
        <w:rPr>
          <w:rFonts w:ascii="Arial" w:eastAsia="Times New Roman" w:hAnsi="Arial" w:cs="Arial"/>
          <w:color w:val="000000" w:themeColor="text1"/>
          <w:sz w:val="24"/>
          <w:szCs w:val="24"/>
        </w:rPr>
        <w:t xml:space="preserve"> </w:t>
      </w:r>
      <w:r w:rsidR="00CF4EDE" w:rsidRPr="002B3D8A">
        <w:rPr>
          <w:rFonts w:ascii="Arial" w:hAnsi="Arial" w:cs="Arial"/>
          <w:color w:val="000000" w:themeColor="text1"/>
          <w:sz w:val="24"/>
          <w:szCs w:val="24"/>
        </w:rPr>
        <w:t xml:space="preserve">Three </w:t>
      </w:r>
      <w:r w:rsidR="00F10B79">
        <w:rPr>
          <w:rFonts w:ascii="Arial" w:hAnsi="Arial" w:cs="Arial"/>
          <w:color w:val="000000" w:themeColor="text1"/>
          <w:sz w:val="24"/>
          <w:szCs w:val="24"/>
        </w:rPr>
        <w:t>s</w:t>
      </w:r>
      <w:r w:rsidR="00F10B79" w:rsidRPr="002B3D8A">
        <w:rPr>
          <w:rFonts w:ascii="Arial" w:hAnsi="Arial" w:cs="Arial"/>
          <w:color w:val="000000" w:themeColor="text1"/>
          <w:sz w:val="24"/>
          <w:szCs w:val="24"/>
        </w:rPr>
        <w:t xml:space="preserve">ites </w:t>
      </w:r>
      <w:r w:rsidR="00CF4EDE" w:rsidRPr="002B3D8A">
        <w:rPr>
          <w:rFonts w:ascii="Arial" w:hAnsi="Arial" w:cs="Arial"/>
          <w:color w:val="000000" w:themeColor="text1"/>
          <w:sz w:val="24"/>
          <w:szCs w:val="24"/>
        </w:rPr>
        <w:t xml:space="preserve">at Harper Adams </w:t>
      </w:r>
      <w:r w:rsidR="00F10B79">
        <w:rPr>
          <w:rFonts w:ascii="Arial" w:hAnsi="Arial" w:cs="Arial"/>
          <w:color w:val="000000" w:themeColor="text1"/>
          <w:sz w:val="24"/>
          <w:szCs w:val="24"/>
        </w:rPr>
        <w:t>U</w:t>
      </w:r>
      <w:r w:rsidR="00F10B79" w:rsidRPr="002B3D8A">
        <w:rPr>
          <w:rFonts w:ascii="Arial" w:hAnsi="Arial" w:cs="Arial"/>
          <w:color w:val="000000" w:themeColor="text1"/>
          <w:sz w:val="24"/>
          <w:szCs w:val="24"/>
        </w:rPr>
        <w:t xml:space="preserve">niversity </w:t>
      </w:r>
      <w:r w:rsidR="00CF4EDE" w:rsidRPr="002B3D8A">
        <w:rPr>
          <w:rFonts w:ascii="Arial" w:hAnsi="Arial" w:cs="Arial"/>
          <w:color w:val="000000" w:themeColor="text1"/>
          <w:sz w:val="24"/>
          <w:szCs w:val="24"/>
        </w:rPr>
        <w:t>with</w:t>
      </w:r>
      <w:r w:rsidR="00F10B79">
        <w:rPr>
          <w:rFonts w:ascii="Arial" w:hAnsi="Arial" w:cs="Arial"/>
          <w:color w:val="000000" w:themeColor="text1"/>
          <w:sz w:val="24"/>
          <w:szCs w:val="24"/>
        </w:rPr>
        <w:t xml:space="preserve"> a</w:t>
      </w:r>
      <w:r w:rsidR="00CF4EDE" w:rsidRPr="002B3D8A">
        <w:rPr>
          <w:rFonts w:ascii="Arial" w:hAnsi="Arial" w:cs="Arial"/>
          <w:color w:val="000000" w:themeColor="text1"/>
          <w:sz w:val="24"/>
          <w:szCs w:val="24"/>
        </w:rPr>
        <w:t xml:space="preserve"> previous history of SRN infestation</w:t>
      </w:r>
      <w:r w:rsidR="009F038C">
        <w:rPr>
          <w:rFonts w:ascii="Arial" w:hAnsi="Arial" w:cs="Arial"/>
          <w:color w:val="000000" w:themeColor="text1"/>
          <w:sz w:val="24"/>
          <w:szCs w:val="24"/>
        </w:rPr>
        <w:t xml:space="preserve"> and t</w:t>
      </w:r>
      <w:r w:rsidR="009F038C" w:rsidRPr="002B3D8A">
        <w:rPr>
          <w:rFonts w:ascii="Arial" w:hAnsi="Arial" w:cs="Arial"/>
          <w:color w:val="000000" w:themeColor="text1"/>
          <w:sz w:val="24"/>
          <w:szCs w:val="24"/>
        </w:rPr>
        <w:t>wo nearby farms where sugar beet was grown</w:t>
      </w:r>
      <w:r w:rsidR="00CF4EDE" w:rsidRPr="002B3D8A">
        <w:rPr>
          <w:rFonts w:ascii="Arial" w:hAnsi="Arial" w:cs="Arial"/>
          <w:color w:val="000000" w:themeColor="text1"/>
          <w:sz w:val="24"/>
          <w:szCs w:val="24"/>
        </w:rPr>
        <w:t xml:space="preserve"> were selected</w:t>
      </w:r>
      <w:r w:rsidR="009F038C">
        <w:rPr>
          <w:rFonts w:ascii="Arial" w:hAnsi="Arial" w:cs="Arial"/>
          <w:color w:val="000000" w:themeColor="text1"/>
          <w:sz w:val="24"/>
          <w:szCs w:val="24"/>
        </w:rPr>
        <w:t xml:space="preserve">, </w:t>
      </w:r>
      <w:r w:rsidR="00CF4EDE" w:rsidRPr="002B3D8A">
        <w:rPr>
          <w:rFonts w:ascii="Arial" w:hAnsi="Arial" w:cs="Arial"/>
          <w:color w:val="000000" w:themeColor="text1"/>
          <w:sz w:val="24"/>
          <w:szCs w:val="24"/>
        </w:rPr>
        <w:t>were also selected. A total 5 sites were sampled</w:t>
      </w:r>
      <w:r w:rsidR="00175E17" w:rsidRPr="002B3D8A">
        <w:rPr>
          <w:rFonts w:ascii="Arial" w:hAnsi="Arial" w:cs="Arial"/>
          <w:color w:val="000000" w:themeColor="text1"/>
          <w:sz w:val="24"/>
          <w:szCs w:val="24"/>
        </w:rPr>
        <w:t>.</w:t>
      </w:r>
      <w:r w:rsidR="00CF4EDE" w:rsidRPr="002B3D8A">
        <w:rPr>
          <w:rFonts w:ascii="Arial" w:hAnsi="Arial" w:cs="Arial"/>
          <w:color w:val="000000" w:themeColor="text1"/>
          <w:sz w:val="24"/>
          <w:szCs w:val="24"/>
        </w:rPr>
        <w:t xml:space="preserve"> </w:t>
      </w:r>
      <w:r w:rsidR="00CF4EDE" w:rsidRPr="002B3D8A">
        <w:rPr>
          <w:rFonts w:ascii="Arial" w:eastAsia="Times New Roman" w:hAnsi="Arial" w:cs="Arial"/>
          <w:color w:val="000000" w:themeColor="text1"/>
          <w:sz w:val="24"/>
          <w:szCs w:val="24"/>
        </w:rPr>
        <w:t>The area to be sample</w:t>
      </w:r>
      <w:r w:rsidR="00F10B79">
        <w:rPr>
          <w:rFonts w:ascii="Arial" w:eastAsia="Times New Roman" w:hAnsi="Arial" w:cs="Arial"/>
          <w:color w:val="000000" w:themeColor="text1"/>
          <w:sz w:val="24"/>
          <w:szCs w:val="24"/>
        </w:rPr>
        <w:t>d</w:t>
      </w:r>
      <w:r w:rsidR="00CF4EDE" w:rsidRPr="002B3D8A">
        <w:rPr>
          <w:rFonts w:ascii="Arial" w:eastAsia="Times New Roman" w:hAnsi="Arial" w:cs="Arial"/>
          <w:color w:val="000000" w:themeColor="text1"/>
          <w:sz w:val="24"/>
          <w:szCs w:val="24"/>
        </w:rPr>
        <w:t xml:space="preserve"> was divided into smaller subdivisions and sampling points evenly distributed between each subsample in order to obtain a sample of at </w:t>
      </w:r>
      <w:r w:rsidR="005634C2" w:rsidRPr="002B3D8A">
        <w:rPr>
          <w:rFonts w:ascii="Arial" w:eastAsia="Times New Roman" w:hAnsi="Arial" w:cs="Arial"/>
          <w:color w:val="000000" w:themeColor="text1"/>
          <w:sz w:val="24"/>
          <w:szCs w:val="24"/>
        </w:rPr>
        <w:t xml:space="preserve">1-1.5 kg of </w:t>
      </w:r>
      <w:r w:rsidR="00CF4EDE" w:rsidRPr="002B3D8A">
        <w:rPr>
          <w:rFonts w:ascii="Arial" w:eastAsia="Times New Roman" w:hAnsi="Arial" w:cs="Arial"/>
          <w:color w:val="000000" w:themeColor="text1"/>
          <w:sz w:val="24"/>
          <w:szCs w:val="24"/>
        </w:rPr>
        <w:t>soil. At each sampling point, detritus on the soil surface such as dead plant material was removed before sampling. At least 30 small cores were taken to make a composite sample. A W shape sampling pattern was used with random sampling points along the pattern</w:t>
      </w:r>
      <w:r w:rsidR="00F10B79">
        <w:rPr>
          <w:rFonts w:ascii="Arial" w:eastAsia="Times New Roman" w:hAnsi="Arial" w:cs="Arial"/>
          <w:color w:val="000000" w:themeColor="text1"/>
          <w:sz w:val="24"/>
          <w:szCs w:val="24"/>
        </w:rPr>
        <w:t>.</w:t>
      </w:r>
      <w:r w:rsidR="00CF4EDE" w:rsidRPr="002B3D8A">
        <w:rPr>
          <w:rFonts w:ascii="Arial" w:eastAsia="Times New Roman" w:hAnsi="Arial" w:cs="Arial"/>
          <w:color w:val="000000" w:themeColor="text1"/>
          <w:sz w:val="24"/>
          <w:szCs w:val="24"/>
        </w:rPr>
        <w:t xml:space="preserve"> Soil was placed in labelled plastic zip-lock bag and taken to the lab for</w:t>
      </w:r>
      <w:r w:rsidR="00F10B79">
        <w:rPr>
          <w:rFonts w:ascii="Arial" w:eastAsia="Times New Roman" w:hAnsi="Arial" w:cs="Arial"/>
          <w:color w:val="000000" w:themeColor="text1"/>
          <w:sz w:val="24"/>
          <w:szCs w:val="24"/>
        </w:rPr>
        <w:t xml:space="preserve"> nematode</w:t>
      </w:r>
      <w:r w:rsidR="00CF4EDE" w:rsidRPr="002B3D8A">
        <w:rPr>
          <w:rFonts w:ascii="Arial" w:eastAsia="Times New Roman" w:hAnsi="Arial" w:cs="Arial"/>
          <w:color w:val="000000" w:themeColor="text1"/>
          <w:sz w:val="24"/>
          <w:szCs w:val="24"/>
        </w:rPr>
        <w:t xml:space="preserve"> extraction </w:t>
      </w:r>
      <w:r w:rsidR="00CF4EDE" w:rsidRPr="002B3D8A">
        <w:rPr>
          <w:rFonts w:ascii="Arial" w:eastAsia="Times New Roman" w:hAnsi="Arial" w:cs="Arial"/>
          <w:color w:val="000000" w:themeColor="text1"/>
          <w:sz w:val="24"/>
          <w:szCs w:val="24"/>
        </w:rPr>
        <w:fldChar w:fldCharType="begin" w:fldLock="1"/>
      </w:r>
      <w:r w:rsidR="003A449C" w:rsidRPr="002B3D8A">
        <w:rPr>
          <w:rFonts w:ascii="Arial" w:eastAsia="Times New Roman" w:hAnsi="Arial" w:cs="Arial"/>
          <w:color w:val="000000" w:themeColor="text1"/>
          <w:sz w:val="24"/>
          <w:szCs w:val="24"/>
        </w:rPr>
        <w:instrText>ADDIN CSL_CITATION {"citationItems":[{"id":"ITEM-1","itemData":{"DOI":"10.1111/j.1365-2338.2009.02314.x","ISSN":"13652338","abstract":"Specific scope This standard describes the sampling and testing of soil in which propagation and certified stocks of the following crops are to be planted: PM 4/8 (Vitis spp.), PM 4/9 (Ribes spp.), PM 4/10 (Rubus spp.), PM 4/11 (Fragaria x ananassa), PM 4/16 (Humulus lupulus), PM 4/29 (Prunus avium, Prunus cerasus and their rootstocks), PM 4/30 (Prunus armeniaca, Prunus domestica, Prunus dulcis, Prunus persica, Prunus salicina and their rootstocks), PM 4/17 (Olea europea), PM 4/32 (Sambuscus spp.), PM 4/33 (Populus spp. and Salix spp.). © 2009 OEPP/EPPO.","author":[{"dropping-particle":"","family":"Anonymous","given":"","non-dropping-particle":"","parse-names":false,"suffix":""}],"container-title":"EPPO Bulletin","id":"ITEM-1","issue":"3","issued":{"date-parts":[["2009"]]},"page":"284-288","title":"Soil test for virus-vector nematodes in the framework of EPPO Standard PM 4 Schemes for the production of healthy plants for planting of fruit crops, grapevine, Populus and Salix","type":"article-journal","volume":"39"},"uris":["http://www.mendeley.com/documents/?uuid=70540607-1ea7-483c-a9e7-2407a6903aea"]}],"mendeley":{"formattedCitation":"(Anonymous, 2009)","plainTextFormattedCitation":"(Anonymous, 2009)","previouslyFormattedCitation":"(Anonymous, 2009)"},"properties":{"noteIndex":0},"schema":"https://github.com/citation-style-language/schema/raw/master/csl-citation.json"}</w:instrText>
      </w:r>
      <w:r w:rsidR="00CF4EDE" w:rsidRPr="002B3D8A">
        <w:rPr>
          <w:rFonts w:ascii="Arial" w:eastAsia="Times New Roman" w:hAnsi="Arial" w:cs="Arial"/>
          <w:color w:val="000000" w:themeColor="text1"/>
          <w:sz w:val="24"/>
          <w:szCs w:val="24"/>
        </w:rPr>
        <w:fldChar w:fldCharType="separate"/>
      </w:r>
      <w:r w:rsidR="00CF4EDE" w:rsidRPr="002B3D8A">
        <w:rPr>
          <w:rFonts w:ascii="Arial" w:eastAsia="Times New Roman" w:hAnsi="Arial" w:cs="Arial"/>
          <w:noProof/>
          <w:color w:val="000000" w:themeColor="text1"/>
          <w:sz w:val="24"/>
          <w:szCs w:val="24"/>
        </w:rPr>
        <w:t>(Anonymous, 2009)</w:t>
      </w:r>
      <w:r w:rsidR="00CF4EDE" w:rsidRPr="002B3D8A">
        <w:rPr>
          <w:rFonts w:ascii="Arial" w:eastAsia="Times New Roman" w:hAnsi="Arial" w:cs="Arial"/>
          <w:color w:val="000000" w:themeColor="text1"/>
          <w:sz w:val="24"/>
          <w:szCs w:val="24"/>
        </w:rPr>
        <w:fldChar w:fldCharType="end"/>
      </w:r>
      <w:r w:rsidR="00CF4EDE" w:rsidRPr="002B3D8A">
        <w:rPr>
          <w:rFonts w:ascii="Arial" w:eastAsia="Times New Roman" w:hAnsi="Arial" w:cs="Arial"/>
          <w:color w:val="000000" w:themeColor="text1"/>
          <w:sz w:val="24"/>
          <w:szCs w:val="24"/>
        </w:rPr>
        <w:t xml:space="preserve">. Nematodes were extracted and quantified </w:t>
      </w:r>
      <w:r w:rsidR="005467DC">
        <w:rPr>
          <w:rFonts w:ascii="Arial" w:eastAsia="Times New Roman" w:hAnsi="Arial" w:cs="Arial"/>
          <w:color w:val="000000" w:themeColor="text1"/>
          <w:sz w:val="24"/>
          <w:szCs w:val="24"/>
        </w:rPr>
        <w:t>to enable</w:t>
      </w:r>
      <w:r w:rsidR="00F10B79">
        <w:rPr>
          <w:rFonts w:ascii="Arial" w:eastAsia="Times New Roman" w:hAnsi="Arial" w:cs="Arial"/>
          <w:color w:val="000000" w:themeColor="text1"/>
          <w:sz w:val="24"/>
          <w:szCs w:val="24"/>
        </w:rPr>
        <w:t xml:space="preserve"> discrete</w:t>
      </w:r>
      <w:r w:rsidR="00CF4EDE" w:rsidRPr="002B3D8A">
        <w:rPr>
          <w:rFonts w:ascii="Arial" w:eastAsia="Times New Roman" w:hAnsi="Arial" w:cs="Arial"/>
          <w:color w:val="000000" w:themeColor="text1"/>
          <w:sz w:val="24"/>
          <w:szCs w:val="24"/>
        </w:rPr>
        <w:t xml:space="preserve"> </w:t>
      </w:r>
      <w:r w:rsidR="00F10B79">
        <w:rPr>
          <w:rFonts w:ascii="Arial" w:eastAsia="Times New Roman" w:hAnsi="Arial" w:cs="Arial"/>
          <w:color w:val="000000" w:themeColor="text1"/>
          <w:sz w:val="24"/>
          <w:szCs w:val="24"/>
        </w:rPr>
        <w:t>areas with higher SRN population densities</w:t>
      </w:r>
      <w:r w:rsidR="00CF4EDE" w:rsidRPr="002B3D8A">
        <w:rPr>
          <w:rFonts w:ascii="Arial" w:eastAsia="Times New Roman" w:hAnsi="Arial" w:cs="Arial"/>
          <w:color w:val="000000" w:themeColor="text1"/>
          <w:sz w:val="24"/>
          <w:szCs w:val="24"/>
        </w:rPr>
        <w:t xml:space="preserve"> identified. </w:t>
      </w:r>
      <w:r w:rsidR="009F038C">
        <w:rPr>
          <w:rFonts w:ascii="Arial" w:eastAsia="Times New Roman" w:hAnsi="Arial" w:cs="Arial"/>
          <w:color w:val="000000" w:themeColor="text1"/>
          <w:sz w:val="24"/>
          <w:szCs w:val="24"/>
        </w:rPr>
        <w:t xml:space="preserve">Approximately, </w:t>
      </w:r>
      <w:r w:rsidR="009F038C" w:rsidRPr="002B3D8A">
        <w:rPr>
          <w:rFonts w:ascii="Arial" w:eastAsia="Times New Roman" w:hAnsi="Arial" w:cs="Arial"/>
          <w:color w:val="000000" w:themeColor="text1"/>
          <w:sz w:val="24"/>
          <w:szCs w:val="24"/>
        </w:rPr>
        <w:t>200</w:t>
      </w:r>
      <w:r w:rsidR="003C629E" w:rsidRPr="002B3D8A">
        <w:rPr>
          <w:rFonts w:ascii="Arial" w:hAnsi="Arial" w:cs="Arial"/>
          <w:color w:val="000000" w:themeColor="text1"/>
          <w:sz w:val="24"/>
          <w:szCs w:val="24"/>
        </w:rPr>
        <w:t xml:space="preserve"> kg soil was collected </w:t>
      </w:r>
      <w:r w:rsidR="00CF4EDE" w:rsidRPr="002B3D8A">
        <w:rPr>
          <w:rFonts w:ascii="Arial" w:hAnsi="Arial" w:cs="Arial"/>
          <w:color w:val="000000" w:themeColor="text1"/>
          <w:sz w:val="24"/>
          <w:szCs w:val="24"/>
        </w:rPr>
        <w:t>from th</w:t>
      </w:r>
      <w:r w:rsidR="005467DC">
        <w:rPr>
          <w:rFonts w:ascii="Arial" w:hAnsi="Arial" w:cs="Arial"/>
          <w:color w:val="000000" w:themeColor="text1"/>
          <w:sz w:val="24"/>
          <w:szCs w:val="24"/>
        </w:rPr>
        <w:t>e area known to have high population densities of SRN; soil was carefully removed using a spade at a depth of 30cm</w:t>
      </w:r>
      <w:r w:rsidR="003C629E" w:rsidRPr="002B3D8A">
        <w:rPr>
          <w:rFonts w:ascii="Arial" w:hAnsi="Arial" w:cs="Arial"/>
          <w:color w:val="000000" w:themeColor="text1"/>
          <w:sz w:val="24"/>
          <w:szCs w:val="24"/>
        </w:rPr>
        <w:t>. The soil was gently mixed and potted,</w:t>
      </w:r>
      <w:r w:rsidR="005467DC">
        <w:rPr>
          <w:rFonts w:ascii="Arial" w:hAnsi="Arial" w:cs="Arial"/>
          <w:color w:val="000000" w:themeColor="text1"/>
          <w:sz w:val="24"/>
          <w:szCs w:val="24"/>
        </w:rPr>
        <w:t xml:space="preserve"> before</w:t>
      </w:r>
      <w:r w:rsidR="003C629E" w:rsidRPr="002B3D8A">
        <w:rPr>
          <w:rFonts w:ascii="Arial" w:hAnsi="Arial" w:cs="Arial"/>
          <w:color w:val="000000" w:themeColor="text1"/>
          <w:sz w:val="24"/>
          <w:szCs w:val="24"/>
        </w:rPr>
        <w:t xml:space="preserve"> the pots were randomly allocated</w:t>
      </w:r>
      <w:r w:rsidR="005467DC">
        <w:rPr>
          <w:rFonts w:ascii="Arial" w:hAnsi="Arial" w:cs="Arial"/>
          <w:color w:val="000000" w:themeColor="text1"/>
          <w:sz w:val="24"/>
          <w:szCs w:val="24"/>
        </w:rPr>
        <w:t xml:space="preserve"> treatments (cover crop)</w:t>
      </w:r>
      <w:r w:rsidR="003C629E" w:rsidRPr="002B3D8A">
        <w:rPr>
          <w:rFonts w:ascii="Arial" w:hAnsi="Arial" w:cs="Arial"/>
          <w:color w:val="000000" w:themeColor="text1"/>
          <w:sz w:val="24"/>
          <w:szCs w:val="24"/>
        </w:rPr>
        <w:t xml:space="preserve"> </w:t>
      </w:r>
      <w:r w:rsidR="005467DC">
        <w:rPr>
          <w:rFonts w:ascii="Arial" w:hAnsi="Arial" w:cs="Arial"/>
          <w:color w:val="000000" w:themeColor="text1"/>
          <w:sz w:val="24"/>
          <w:szCs w:val="24"/>
        </w:rPr>
        <w:t>and labelled accordingly</w:t>
      </w:r>
      <w:r w:rsidR="003C629E" w:rsidRPr="002B3D8A">
        <w:rPr>
          <w:rFonts w:ascii="Arial" w:hAnsi="Arial" w:cs="Arial"/>
          <w:color w:val="000000" w:themeColor="text1"/>
          <w:sz w:val="24"/>
          <w:szCs w:val="24"/>
        </w:rPr>
        <w:t xml:space="preserve">. </w:t>
      </w:r>
    </w:p>
    <w:p w14:paraId="70D8329A" w14:textId="1FBD0169" w:rsidR="00582323" w:rsidRPr="002B3D8A" w:rsidRDefault="00A238B1" w:rsidP="006E49E2">
      <w:pPr>
        <w:pStyle w:val="Heading3"/>
        <w:spacing w:line="360" w:lineRule="auto"/>
        <w:rPr>
          <w:rFonts w:ascii="Arial" w:hAnsi="Arial" w:cs="Arial"/>
          <w:b/>
          <w:color w:val="000000" w:themeColor="text1"/>
          <w:sz w:val="24"/>
          <w:szCs w:val="24"/>
        </w:rPr>
      </w:pPr>
      <w:bookmarkStart w:id="45" w:name="_Toc110341292"/>
      <w:r w:rsidRPr="002B3D8A">
        <w:rPr>
          <w:rFonts w:ascii="Arial" w:hAnsi="Arial" w:cs="Arial"/>
          <w:b/>
          <w:color w:val="000000" w:themeColor="text1"/>
          <w:sz w:val="24"/>
          <w:szCs w:val="24"/>
        </w:rPr>
        <w:t>2.2.</w:t>
      </w:r>
      <w:r w:rsidR="00CC23C4">
        <w:rPr>
          <w:rFonts w:ascii="Arial" w:hAnsi="Arial" w:cs="Arial"/>
          <w:b/>
          <w:color w:val="000000" w:themeColor="text1"/>
          <w:sz w:val="24"/>
          <w:szCs w:val="24"/>
        </w:rPr>
        <w:t>1</w:t>
      </w:r>
      <w:r w:rsidRPr="002B3D8A">
        <w:rPr>
          <w:rFonts w:ascii="Arial" w:hAnsi="Arial" w:cs="Arial"/>
          <w:b/>
          <w:color w:val="000000" w:themeColor="text1"/>
          <w:sz w:val="24"/>
          <w:szCs w:val="24"/>
        </w:rPr>
        <w:t xml:space="preserve"> </w:t>
      </w:r>
      <w:r w:rsidR="00582323" w:rsidRPr="002B3D8A">
        <w:rPr>
          <w:rFonts w:ascii="Arial" w:hAnsi="Arial" w:cs="Arial"/>
          <w:b/>
          <w:color w:val="000000" w:themeColor="text1"/>
          <w:sz w:val="24"/>
          <w:szCs w:val="24"/>
        </w:rPr>
        <w:t xml:space="preserve">Nematode extraction and </w:t>
      </w:r>
      <w:r w:rsidR="00F10B79">
        <w:rPr>
          <w:rFonts w:ascii="Arial" w:hAnsi="Arial" w:cs="Arial"/>
          <w:b/>
          <w:color w:val="000000" w:themeColor="text1"/>
          <w:sz w:val="24"/>
          <w:szCs w:val="24"/>
        </w:rPr>
        <w:t>q</w:t>
      </w:r>
      <w:r w:rsidR="00F10B79" w:rsidRPr="002B3D8A">
        <w:rPr>
          <w:rFonts w:ascii="Arial" w:hAnsi="Arial" w:cs="Arial"/>
          <w:b/>
          <w:color w:val="000000" w:themeColor="text1"/>
          <w:sz w:val="24"/>
          <w:szCs w:val="24"/>
        </w:rPr>
        <w:t>uantification</w:t>
      </w:r>
      <w:bookmarkEnd w:id="45"/>
      <w:r w:rsidR="00F10B79" w:rsidRPr="002B3D8A">
        <w:rPr>
          <w:rFonts w:ascii="Arial" w:hAnsi="Arial" w:cs="Arial"/>
          <w:b/>
          <w:color w:val="000000" w:themeColor="text1"/>
          <w:sz w:val="24"/>
          <w:szCs w:val="24"/>
        </w:rPr>
        <w:t xml:space="preserve"> </w:t>
      </w:r>
    </w:p>
    <w:p w14:paraId="1E01B75E" w14:textId="7695FEF7" w:rsidR="00582323" w:rsidRPr="002B3D8A" w:rsidRDefault="00582323" w:rsidP="00474F68">
      <w:pPr>
        <w:spacing w:line="360" w:lineRule="auto"/>
        <w:ind w:left="-426"/>
        <w:jc w:val="both"/>
        <w:rPr>
          <w:rFonts w:ascii="Arial" w:hAnsi="Arial" w:cs="Arial"/>
          <w:b/>
          <w:color w:val="000000" w:themeColor="text1"/>
          <w:sz w:val="24"/>
          <w:szCs w:val="24"/>
        </w:rPr>
      </w:pPr>
      <w:r w:rsidRPr="002B3D8A">
        <w:rPr>
          <w:rFonts w:ascii="Arial" w:hAnsi="Arial" w:cs="Arial"/>
          <w:color w:val="000000" w:themeColor="text1"/>
          <w:sz w:val="24"/>
          <w:szCs w:val="24"/>
        </w:rPr>
        <w:t>Prior to seeding the pots with the different cover crop species, 100 grams soil was sampled from every individual pot using a soil auger for later extraction and quantification of initial trichodorid densities per pot (Pi)</w:t>
      </w:r>
      <w:r w:rsidRPr="002B3D8A">
        <w:rPr>
          <w:rFonts w:ascii="Arial" w:hAnsi="Arial" w:cs="Arial"/>
          <w:b/>
          <w:color w:val="000000" w:themeColor="text1"/>
          <w:sz w:val="24"/>
          <w:szCs w:val="24"/>
        </w:rPr>
        <w:t xml:space="preserve">. </w:t>
      </w:r>
      <w:r w:rsidR="005467DC">
        <w:rPr>
          <w:rFonts w:ascii="Arial" w:hAnsi="Arial" w:cs="Arial"/>
          <w:color w:val="000000" w:themeColor="text1"/>
          <w:sz w:val="24"/>
          <w:szCs w:val="24"/>
        </w:rPr>
        <w:t>Eight weeks after planting</w:t>
      </w:r>
      <w:r w:rsidRPr="002B3D8A">
        <w:rPr>
          <w:rFonts w:ascii="Arial" w:hAnsi="Arial" w:cs="Arial"/>
          <w:color w:val="000000" w:themeColor="text1"/>
          <w:sz w:val="24"/>
          <w:szCs w:val="24"/>
        </w:rPr>
        <w:t>, 100 grams of soil was sampled from each pot to establish the final nematode densities (Pf). Nematodes were extracted using centrifugal floatation method with MgS0</w:t>
      </w:r>
      <w:r w:rsidRPr="002B3D8A">
        <w:rPr>
          <w:rFonts w:ascii="Arial" w:hAnsi="Arial" w:cs="Arial"/>
          <w:color w:val="000000" w:themeColor="text1"/>
          <w:sz w:val="24"/>
          <w:szCs w:val="24"/>
          <w:vertAlign w:val="subscript"/>
        </w:rPr>
        <w:t>4</w:t>
      </w:r>
      <w:r w:rsidRPr="002B3D8A">
        <w:rPr>
          <w:rFonts w:ascii="Arial" w:hAnsi="Arial" w:cs="Arial"/>
          <w:color w:val="000000" w:themeColor="text1"/>
          <w:sz w:val="24"/>
          <w:szCs w:val="24"/>
        </w:rPr>
        <w:t>.7H</w:t>
      </w:r>
      <w:r w:rsidRPr="002B3D8A">
        <w:rPr>
          <w:rFonts w:ascii="Arial" w:hAnsi="Arial" w:cs="Arial"/>
          <w:color w:val="000000" w:themeColor="text1"/>
          <w:sz w:val="24"/>
          <w:szCs w:val="24"/>
          <w:vertAlign w:val="subscript"/>
        </w:rPr>
        <w:t>2</w:t>
      </w:r>
      <w:r w:rsidRPr="002B3D8A">
        <w:rPr>
          <w:rFonts w:ascii="Arial" w:hAnsi="Arial" w:cs="Arial"/>
          <w:color w:val="000000" w:themeColor="text1"/>
          <w:sz w:val="24"/>
          <w:szCs w:val="24"/>
        </w:rPr>
        <w:t>0. 12.5 grams soil was distributed into eight 50 ml centrifugation tubes and 20ml of MgS0</w:t>
      </w:r>
      <w:r w:rsidRPr="002B3D8A">
        <w:rPr>
          <w:rFonts w:ascii="Arial" w:hAnsi="Arial" w:cs="Arial"/>
          <w:color w:val="000000" w:themeColor="text1"/>
          <w:sz w:val="24"/>
          <w:szCs w:val="24"/>
          <w:vertAlign w:val="subscript"/>
        </w:rPr>
        <w:t>4</w:t>
      </w:r>
      <w:r w:rsidRPr="002B3D8A">
        <w:rPr>
          <w:rFonts w:ascii="Arial" w:hAnsi="Arial" w:cs="Arial"/>
          <w:color w:val="000000" w:themeColor="text1"/>
          <w:sz w:val="24"/>
          <w:szCs w:val="24"/>
        </w:rPr>
        <w:t>.7H</w:t>
      </w:r>
      <w:r w:rsidRPr="002B3D8A">
        <w:rPr>
          <w:rFonts w:ascii="Arial" w:hAnsi="Arial" w:cs="Arial"/>
          <w:color w:val="000000" w:themeColor="text1"/>
          <w:sz w:val="24"/>
          <w:szCs w:val="24"/>
          <w:vertAlign w:val="subscript"/>
        </w:rPr>
        <w:t>2</w:t>
      </w:r>
      <w:r w:rsidRPr="002B3D8A">
        <w:rPr>
          <w:rFonts w:ascii="Arial" w:hAnsi="Arial" w:cs="Arial"/>
          <w:color w:val="000000" w:themeColor="text1"/>
          <w:sz w:val="24"/>
          <w:szCs w:val="24"/>
        </w:rPr>
        <w:t>0 of 1.15 specific gravity added into each tube. The tubes were gently shaken to mix the soil with the extraction liquid. The sample was then centrifuged at 1150g for 5 minutes after which the supernatant was decanted into 215 µm and 53µm sieves. Nematodes were washed into 50ml sample bottles awaiting quantification. Whole nematode suspension was counted by pipetting suspension into a counting chamber, under a compound microscope at 20</w:t>
      </w:r>
      <w:r w:rsidR="005467DC">
        <w:rPr>
          <w:rFonts w:ascii="Arial" w:hAnsi="Arial" w:cs="Arial"/>
          <w:color w:val="000000" w:themeColor="text1"/>
          <w:sz w:val="24"/>
          <w:szCs w:val="24"/>
        </w:rPr>
        <w:t>x</w:t>
      </w:r>
      <w:r w:rsidRPr="002B3D8A">
        <w:rPr>
          <w:rFonts w:ascii="Arial" w:hAnsi="Arial" w:cs="Arial"/>
          <w:color w:val="000000" w:themeColor="text1"/>
          <w:sz w:val="24"/>
          <w:szCs w:val="24"/>
        </w:rPr>
        <w:t xml:space="preserve"> Magnification. Nematode genera of the family Trichodoridae and other plant parasitic nematodes were quantified.</w:t>
      </w:r>
    </w:p>
    <w:p w14:paraId="7E218746" w14:textId="67660261" w:rsidR="00214B8F" w:rsidRPr="002B3D8A" w:rsidRDefault="00A238B1" w:rsidP="002E152F">
      <w:pPr>
        <w:pStyle w:val="Heading2"/>
        <w:spacing w:line="360" w:lineRule="auto"/>
        <w:jc w:val="both"/>
        <w:rPr>
          <w:rFonts w:ascii="Arial" w:hAnsi="Arial" w:cs="Arial"/>
          <w:b/>
          <w:color w:val="000000" w:themeColor="text1"/>
          <w:sz w:val="24"/>
          <w:szCs w:val="24"/>
        </w:rPr>
      </w:pPr>
      <w:bookmarkStart w:id="46" w:name="_Toc110341293"/>
      <w:r w:rsidRPr="002B3D8A">
        <w:rPr>
          <w:rFonts w:ascii="Arial" w:hAnsi="Arial" w:cs="Arial"/>
          <w:b/>
          <w:color w:val="000000" w:themeColor="text1"/>
          <w:sz w:val="24"/>
          <w:szCs w:val="24"/>
        </w:rPr>
        <w:lastRenderedPageBreak/>
        <w:t>2.3</w:t>
      </w:r>
      <w:r w:rsidR="00541BC1">
        <w:rPr>
          <w:rFonts w:ascii="Arial" w:hAnsi="Arial" w:cs="Arial"/>
          <w:b/>
          <w:color w:val="000000" w:themeColor="text1"/>
          <w:sz w:val="24"/>
          <w:szCs w:val="24"/>
        </w:rPr>
        <w:t xml:space="preserve"> </w:t>
      </w:r>
      <w:r w:rsidR="00B15B35">
        <w:rPr>
          <w:rFonts w:ascii="Arial" w:hAnsi="Arial" w:cs="Arial"/>
          <w:b/>
          <w:color w:val="000000" w:themeColor="text1"/>
          <w:sz w:val="24"/>
          <w:szCs w:val="24"/>
        </w:rPr>
        <w:t xml:space="preserve">Evaluation of potential of biofumigant cover crops under </w:t>
      </w:r>
      <w:r w:rsidR="00354F2B" w:rsidRPr="002B3D8A">
        <w:rPr>
          <w:rFonts w:ascii="Arial" w:hAnsi="Arial" w:cs="Arial"/>
          <w:b/>
          <w:color w:val="000000" w:themeColor="text1"/>
          <w:sz w:val="24"/>
          <w:szCs w:val="24"/>
        </w:rPr>
        <w:t xml:space="preserve">Field </w:t>
      </w:r>
      <w:r w:rsidR="00B15B35">
        <w:rPr>
          <w:rFonts w:ascii="Arial" w:hAnsi="Arial" w:cs="Arial"/>
          <w:b/>
          <w:color w:val="000000" w:themeColor="text1"/>
          <w:sz w:val="24"/>
          <w:szCs w:val="24"/>
        </w:rPr>
        <w:t>conditions</w:t>
      </w:r>
      <w:bookmarkEnd w:id="46"/>
      <w:r w:rsidR="00B15B35">
        <w:rPr>
          <w:rFonts w:ascii="Arial" w:hAnsi="Arial" w:cs="Arial"/>
          <w:b/>
          <w:color w:val="000000" w:themeColor="text1"/>
          <w:sz w:val="24"/>
          <w:szCs w:val="24"/>
        </w:rPr>
        <w:t xml:space="preserve"> </w:t>
      </w:r>
    </w:p>
    <w:p w14:paraId="18921D9E" w14:textId="4D3B1A12" w:rsidR="00541BC1" w:rsidRPr="00434961" w:rsidRDefault="00B15B35" w:rsidP="00474F68">
      <w:pPr>
        <w:spacing w:line="360" w:lineRule="auto"/>
        <w:ind w:left="-284"/>
        <w:jc w:val="both"/>
        <w:rPr>
          <w:rFonts w:ascii="Arial" w:hAnsi="Arial" w:cs="Arial"/>
          <w:b/>
          <w:color w:val="000000" w:themeColor="text1"/>
          <w:sz w:val="24"/>
          <w:szCs w:val="24"/>
        </w:rPr>
      </w:pPr>
      <w:r>
        <w:rPr>
          <w:rFonts w:ascii="Arial" w:hAnsi="Arial" w:cs="Arial"/>
          <w:color w:val="000000" w:themeColor="text1"/>
          <w:sz w:val="24"/>
          <w:szCs w:val="24"/>
        </w:rPr>
        <w:t xml:space="preserve">The objective of the experiment was to </w:t>
      </w:r>
      <w:r w:rsidR="00235B98">
        <w:rPr>
          <w:rFonts w:ascii="Arial" w:hAnsi="Arial" w:cs="Arial"/>
          <w:color w:val="000000" w:themeColor="text1"/>
          <w:sz w:val="24"/>
          <w:szCs w:val="24"/>
        </w:rPr>
        <w:t>assess the potential of biofumigant cover crops in suppression of stubby root nematodes</w:t>
      </w:r>
      <w:r w:rsidR="00507874" w:rsidRPr="002B3D8A">
        <w:rPr>
          <w:rFonts w:ascii="Arial" w:hAnsi="Arial" w:cs="Arial"/>
          <w:color w:val="000000" w:themeColor="text1"/>
          <w:sz w:val="24"/>
          <w:szCs w:val="24"/>
        </w:rPr>
        <w:t xml:space="preserve"> </w:t>
      </w:r>
      <w:r w:rsidR="00235B98">
        <w:rPr>
          <w:rFonts w:ascii="Arial" w:hAnsi="Arial" w:cs="Arial"/>
          <w:color w:val="000000" w:themeColor="text1"/>
          <w:sz w:val="24"/>
          <w:szCs w:val="24"/>
        </w:rPr>
        <w:t>The</w:t>
      </w:r>
      <w:r w:rsidR="00582323" w:rsidRPr="002B3D8A">
        <w:rPr>
          <w:rFonts w:ascii="Arial" w:hAnsi="Arial" w:cs="Arial"/>
          <w:color w:val="000000" w:themeColor="text1"/>
          <w:sz w:val="24"/>
          <w:szCs w:val="24"/>
        </w:rPr>
        <w:t xml:space="preserve"> </w:t>
      </w:r>
      <w:r w:rsidR="00F5328C" w:rsidRPr="002B3D8A">
        <w:rPr>
          <w:rFonts w:ascii="Arial" w:hAnsi="Arial" w:cs="Arial"/>
          <w:color w:val="000000" w:themeColor="text1"/>
          <w:sz w:val="24"/>
          <w:szCs w:val="24"/>
        </w:rPr>
        <w:t xml:space="preserve">field </w:t>
      </w:r>
      <w:r w:rsidR="00354F2B" w:rsidRPr="002B3D8A">
        <w:rPr>
          <w:rFonts w:ascii="Arial" w:hAnsi="Arial" w:cs="Arial"/>
          <w:color w:val="000000" w:themeColor="text1"/>
          <w:sz w:val="24"/>
          <w:szCs w:val="24"/>
        </w:rPr>
        <w:t>experiment was conducted in a site at Bury St</w:t>
      </w:r>
      <w:r w:rsidR="005467DC">
        <w:rPr>
          <w:rFonts w:ascii="Arial" w:hAnsi="Arial" w:cs="Arial"/>
          <w:color w:val="000000" w:themeColor="text1"/>
          <w:sz w:val="24"/>
          <w:szCs w:val="24"/>
        </w:rPr>
        <w:t>.</w:t>
      </w:r>
      <w:r w:rsidR="00354F2B" w:rsidRPr="002B3D8A">
        <w:rPr>
          <w:rFonts w:ascii="Arial" w:hAnsi="Arial" w:cs="Arial"/>
          <w:color w:val="000000" w:themeColor="text1"/>
          <w:sz w:val="24"/>
          <w:szCs w:val="24"/>
        </w:rPr>
        <w:t xml:space="preserve"> </w:t>
      </w:r>
      <w:r w:rsidR="00B0443A" w:rsidRPr="002B3D8A">
        <w:rPr>
          <w:rFonts w:ascii="Arial" w:hAnsi="Arial" w:cs="Arial"/>
          <w:color w:val="000000" w:themeColor="text1"/>
          <w:sz w:val="24"/>
          <w:szCs w:val="24"/>
        </w:rPr>
        <w:t>E</w:t>
      </w:r>
      <w:r w:rsidR="00354F2B" w:rsidRPr="002B3D8A">
        <w:rPr>
          <w:rFonts w:ascii="Arial" w:hAnsi="Arial" w:cs="Arial"/>
          <w:color w:val="000000" w:themeColor="text1"/>
          <w:sz w:val="24"/>
          <w:szCs w:val="24"/>
        </w:rPr>
        <w:t>dmunds, Suffolk. Plots</w:t>
      </w:r>
      <w:r w:rsidR="004E6998">
        <w:rPr>
          <w:rFonts w:ascii="Arial" w:hAnsi="Arial" w:cs="Arial"/>
          <w:color w:val="000000" w:themeColor="text1"/>
          <w:sz w:val="24"/>
          <w:szCs w:val="24"/>
        </w:rPr>
        <w:t xml:space="preserve"> </w:t>
      </w:r>
      <w:r w:rsidR="00354F2B" w:rsidRPr="002B3D8A">
        <w:rPr>
          <w:rFonts w:ascii="Arial" w:hAnsi="Arial" w:cs="Arial"/>
          <w:color w:val="000000" w:themeColor="text1"/>
          <w:sz w:val="24"/>
          <w:szCs w:val="24"/>
        </w:rPr>
        <w:t xml:space="preserve">measuring 22m by </w:t>
      </w:r>
      <w:r w:rsidR="00862972" w:rsidRPr="002B3D8A">
        <w:rPr>
          <w:rFonts w:ascii="Arial" w:hAnsi="Arial" w:cs="Arial"/>
          <w:color w:val="000000" w:themeColor="text1"/>
          <w:sz w:val="24"/>
          <w:szCs w:val="24"/>
        </w:rPr>
        <w:t>4</w:t>
      </w:r>
      <w:r w:rsidR="00354F2B" w:rsidRPr="002B3D8A">
        <w:rPr>
          <w:rFonts w:ascii="Arial" w:hAnsi="Arial" w:cs="Arial"/>
          <w:color w:val="000000" w:themeColor="text1"/>
          <w:sz w:val="24"/>
          <w:szCs w:val="24"/>
        </w:rPr>
        <w:t>m were marked</w:t>
      </w:r>
      <w:r w:rsidR="00235B98">
        <w:rPr>
          <w:rFonts w:ascii="Arial" w:hAnsi="Arial" w:cs="Arial"/>
          <w:color w:val="000000" w:themeColor="text1"/>
          <w:sz w:val="24"/>
          <w:szCs w:val="24"/>
        </w:rPr>
        <w:t xml:space="preserve"> out</w:t>
      </w:r>
      <w:r w:rsidR="004E6998">
        <w:rPr>
          <w:rFonts w:ascii="Arial" w:hAnsi="Arial" w:cs="Arial"/>
          <w:color w:val="000000" w:themeColor="text1"/>
          <w:sz w:val="24"/>
          <w:szCs w:val="24"/>
        </w:rPr>
        <w:t>. Four treatments (Table 5) were assigned across five blocks in a randomised complete block design. Blocks were spaced 6m</w:t>
      </w:r>
      <w:r w:rsidR="00235B98">
        <w:rPr>
          <w:rFonts w:ascii="Arial" w:hAnsi="Arial" w:cs="Arial"/>
          <w:color w:val="000000" w:themeColor="text1"/>
          <w:sz w:val="24"/>
          <w:szCs w:val="24"/>
        </w:rPr>
        <w:t xml:space="preserve"> </w:t>
      </w:r>
      <w:r w:rsidR="004E6998">
        <w:rPr>
          <w:rFonts w:ascii="Arial" w:hAnsi="Arial" w:cs="Arial"/>
          <w:color w:val="000000" w:themeColor="text1"/>
          <w:sz w:val="24"/>
          <w:szCs w:val="24"/>
        </w:rPr>
        <w:t xml:space="preserve">apart to allow movement of machinery without damage to nearby plots. </w:t>
      </w:r>
    </w:p>
    <w:tbl>
      <w:tblPr>
        <w:tblStyle w:val="TableGrid"/>
        <w:tblW w:w="992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2254"/>
        <w:gridCol w:w="2254"/>
        <w:gridCol w:w="2872"/>
      </w:tblGrid>
      <w:tr w:rsidR="002B3D8A" w:rsidRPr="002B3D8A" w14:paraId="5D96B12C" w14:textId="77777777" w:rsidTr="00B0443A">
        <w:trPr>
          <w:trHeight w:val="235"/>
        </w:trPr>
        <w:tc>
          <w:tcPr>
            <w:tcW w:w="9923" w:type="dxa"/>
            <w:gridSpan w:val="4"/>
            <w:tcBorders>
              <w:bottom w:val="single" w:sz="4" w:space="0" w:color="auto"/>
            </w:tcBorders>
          </w:tcPr>
          <w:p w14:paraId="76776626" w14:textId="6C5C5287" w:rsidR="00105463" w:rsidRPr="00502C77" w:rsidRDefault="00B0443A" w:rsidP="00311149">
            <w:pPr>
              <w:spacing w:line="360" w:lineRule="auto"/>
              <w:rPr>
                <w:rFonts w:ascii="Arial" w:hAnsi="Arial" w:cs="Arial"/>
                <w:color w:val="000000" w:themeColor="text1"/>
                <w:sz w:val="22"/>
                <w:szCs w:val="22"/>
              </w:rPr>
            </w:pPr>
            <w:bookmarkStart w:id="47" w:name="_Toc110343304"/>
            <w:r w:rsidRPr="00502C77">
              <w:rPr>
                <w:rFonts w:ascii="Arial" w:hAnsi="Arial" w:cs="Arial"/>
                <w:color w:val="000000" w:themeColor="text1"/>
                <w:sz w:val="22"/>
                <w:szCs w:val="22"/>
              </w:rPr>
              <w:t xml:space="preserve">Table </w:t>
            </w:r>
            <w:r w:rsidRPr="00502C77">
              <w:rPr>
                <w:rFonts w:ascii="Arial" w:hAnsi="Arial" w:cs="Arial"/>
                <w:color w:val="000000" w:themeColor="text1"/>
              </w:rPr>
              <w:fldChar w:fldCharType="begin"/>
            </w:r>
            <w:r w:rsidRPr="00502C77">
              <w:rPr>
                <w:rFonts w:ascii="Arial" w:hAnsi="Arial" w:cs="Arial"/>
                <w:color w:val="000000" w:themeColor="text1"/>
                <w:sz w:val="22"/>
                <w:szCs w:val="22"/>
              </w:rPr>
              <w:instrText xml:space="preserve"> SEQ Table \* ARABIC </w:instrText>
            </w:r>
            <w:r w:rsidRPr="00502C77">
              <w:rPr>
                <w:rFonts w:ascii="Arial" w:hAnsi="Arial" w:cs="Arial"/>
                <w:color w:val="000000" w:themeColor="text1"/>
              </w:rPr>
              <w:fldChar w:fldCharType="separate"/>
            </w:r>
            <w:r w:rsidR="00DD3BE0">
              <w:rPr>
                <w:rFonts w:ascii="Arial" w:hAnsi="Arial" w:cs="Arial"/>
                <w:noProof/>
                <w:color w:val="000000" w:themeColor="text1"/>
                <w:sz w:val="22"/>
                <w:szCs w:val="22"/>
              </w:rPr>
              <w:t>5</w:t>
            </w:r>
            <w:r w:rsidRPr="00502C77">
              <w:rPr>
                <w:rFonts w:ascii="Arial" w:hAnsi="Arial" w:cs="Arial"/>
                <w:color w:val="000000" w:themeColor="text1"/>
              </w:rPr>
              <w:fldChar w:fldCharType="end"/>
            </w:r>
            <w:r w:rsidRPr="00502C77">
              <w:rPr>
                <w:rFonts w:ascii="Arial" w:hAnsi="Arial" w:cs="Arial"/>
                <w:color w:val="000000" w:themeColor="text1"/>
                <w:sz w:val="22"/>
                <w:szCs w:val="22"/>
              </w:rPr>
              <w:t>: Cover crop treatments for field experiment</w:t>
            </w:r>
            <w:bookmarkEnd w:id="47"/>
            <w:r w:rsidRPr="00502C77">
              <w:rPr>
                <w:rFonts w:ascii="Arial" w:hAnsi="Arial" w:cs="Arial"/>
                <w:color w:val="000000" w:themeColor="text1"/>
                <w:sz w:val="22"/>
                <w:szCs w:val="22"/>
              </w:rPr>
              <w:t xml:space="preserve"> </w:t>
            </w:r>
          </w:p>
        </w:tc>
      </w:tr>
      <w:tr w:rsidR="002B3D8A" w:rsidRPr="002B3D8A" w14:paraId="1B20A95C" w14:textId="77777777" w:rsidTr="00B0443A">
        <w:tc>
          <w:tcPr>
            <w:tcW w:w="2543" w:type="dxa"/>
            <w:tcBorders>
              <w:top w:val="single" w:sz="4" w:space="0" w:color="auto"/>
              <w:bottom w:val="single" w:sz="4" w:space="0" w:color="auto"/>
            </w:tcBorders>
          </w:tcPr>
          <w:p w14:paraId="7917C39E" w14:textId="4AE912B4" w:rsidR="00105463" w:rsidRPr="002B3D8A" w:rsidRDefault="00105463" w:rsidP="00311149">
            <w:pPr>
              <w:spacing w:line="360" w:lineRule="auto"/>
              <w:rPr>
                <w:rFonts w:ascii="Arial" w:hAnsi="Arial" w:cs="Arial"/>
                <w:b/>
                <w:color w:val="000000" w:themeColor="text1"/>
                <w:sz w:val="24"/>
                <w:szCs w:val="24"/>
              </w:rPr>
            </w:pPr>
            <w:r w:rsidRPr="002B3D8A">
              <w:rPr>
                <w:rFonts w:ascii="Arial" w:hAnsi="Arial" w:cs="Arial"/>
                <w:b/>
                <w:color w:val="000000" w:themeColor="text1"/>
                <w:sz w:val="24"/>
                <w:szCs w:val="24"/>
              </w:rPr>
              <w:t xml:space="preserve">Species name </w:t>
            </w:r>
          </w:p>
        </w:tc>
        <w:tc>
          <w:tcPr>
            <w:tcW w:w="2254" w:type="dxa"/>
            <w:tcBorders>
              <w:top w:val="single" w:sz="4" w:space="0" w:color="auto"/>
              <w:bottom w:val="single" w:sz="4" w:space="0" w:color="auto"/>
            </w:tcBorders>
          </w:tcPr>
          <w:p w14:paraId="1FB86E0D" w14:textId="60B6EE05" w:rsidR="00105463" w:rsidRPr="002B3D8A" w:rsidRDefault="00105463" w:rsidP="00311149">
            <w:pPr>
              <w:spacing w:line="360" w:lineRule="auto"/>
              <w:rPr>
                <w:rFonts w:ascii="Arial" w:hAnsi="Arial" w:cs="Arial"/>
                <w:b/>
                <w:color w:val="000000" w:themeColor="text1"/>
                <w:sz w:val="24"/>
                <w:szCs w:val="24"/>
              </w:rPr>
            </w:pPr>
            <w:r w:rsidRPr="002B3D8A">
              <w:rPr>
                <w:rFonts w:ascii="Arial" w:hAnsi="Arial" w:cs="Arial"/>
                <w:b/>
                <w:color w:val="000000" w:themeColor="text1"/>
                <w:sz w:val="24"/>
                <w:szCs w:val="24"/>
              </w:rPr>
              <w:t xml:space="preserve">Common name </w:t>
            </w:r>
          </w:p>
        </w:tc>
        <w:tc>
          <w:tcPr>
            <w:tcW w:w="2254" w:type="dxa"/>
            <w:tcBorders>
              <w:top w:val="single" w:sz="4" w:space="0" w:color="auto"/>
              <w:bottom w:val="single" w:sz="4" w:space="0" w:color="auto"/>
            </w:tcBorders>
          </w:tcPr>
          <w:p w14:paraId="0162A0B3" w14:textId="5FD34473" w:rsidR="00105463" w:rsidRPr="002B3D8A" w:rsidRDefault="00105463" w:rsidP="00311149">
            <w:pPr>
              <w:spacing w:line="360" w:lineRule="auto"/>
              <w:rPr>
                <w:rFonts w:ascii="Arial" w:hAnsi="Arial" w:cs="Arial"/>
                <w:b/>
                <w:color w:val="000000" w:themeColor="text1"/>
                <w:sz w:val="24"/>
                <w:szCs w:val="24"/>
              </w:rPr>
            </w:pPr>
            <w:r w:rsidRPr="002B3D8A">
              <w:rPr>
                <w:rFonts w:ascii="Arial" w:hAnsi="Arial" w:cs="Arial"/>
                <w:b/>
                <w:color w:val="000000" w:themeColor="text1"/>
                <w:sz w:val="24"/>
                <w:szCs w:val="24"/>
              </w:rPr>
              <w:t xml:space="preserve">Variety </w:t>
            </w:r>
          </w:p>
        </w:tc>
        <w:tc>
          <w:tcPr>
            <w:tcW w:w="2872" w:type="dxa"/>
            <w:tcBorders>
              <w:top w:val="single" w:sz="4" w:space="0" w:color="auto"/>
              <w:bottom w:val="single" w:sz="4" w:space="0" w:color="auto"/>
            </w:tcBorders>
          </w:tcPr>
          <w:p w14:paraId="3FBB9A71" w14:textId="03B2DD50" w:rsidR="00105463" w:rsidRPr="002B3D8A" w:rsidRDefault="00105463" w:rsidP="00311149">
            <w:pPr>
              <w:spacing w:line="360" w:lineRule="auto"/>
              <w:rPr>
                <w:rFonts w:ascii="Arial" w:hAnsi="Arial" w:cs="Arial"/>
                <w:b/>
                <w:color w:val="000000" w:themeColor="text1"/>
                <w:sz w:val="24"/>
                <w:szCs w:val="24"/>
              </w:rPr>
            </w:pPr>
            <w:r w:rsidRPr="002B3D8A">
              <w:rPr>
                <w:rFonts w:ascii="Arial" w:hAnsi="Arial" w:cs="Arial"/>
                <w:b/>
                <w:color w:val="000000" w:themeColor="text1"/>
                <w:sz w:val="24"/>
                <w:szCs w:val="24"/>
              </w:rPr>
              <w:t xml:space="preserve">Seed rate </w:t>
            </w:r>
          </w:p>
        </w:tc>
      </w:tr>
      <w:tr w:rsidR="002B3D8A" w:rsidRPr="002B3D8A" w14:paraId="3787F96F" w14:textId="77777777" w:rsidTr="00B0443A">
        <w:tc>
          <w:tcPr>
            <w:tcW w:w="2543" w:type="dxa"/>
            <w:tcBorders>
              <w:top w:val="single" w:sz="4" w:space="0" w:color="auto"/>
            </w:tcBorders>
          </w:tcPr>
          <w:p w14:paraId="4F0DF83A" w14:textId="7A23CA1D" w:rsidR="00105463" w:rsidRPr="002B3D8A" w:rsidRDefault="00105463" w:rsidP="00311149">
            <w:pPr>
              <w:spacing w:line="360" w:lineRule="auto"/>
              <w:rPr>
                <w:rFonts w:ascii="Arial" w:hAnsi="Arial" w:cs="Arial"/>
                <w:i/>
                <w:color w:val="000000" w:themeColor="text1"/>
                <w:sz w:val="24"/>
                <w:szCs w:val="24"/>
              </w:rPr>
            </w:pPr>
            <w:r w:rsidRPr="002B3D8A">
              <w:rPr>
                <w:rFonts w:ascii="Arial" w:hAnsi="Arial" w:cs="Arial"/>
                <w:i/>
                <w:color w:val="000000" w:themeColor="text1"/>
                <w:sz w:val="24"/>
                <w:szCs w:val="24"/>
              </w:rPr>
              <w:t xml:space="preserve">Brassicae juncea </w:t>
            </w:r>
          </w:p>
        </w:tc>
        <w:tc>
          <w:tcPr>
            <w:tcW w:w="2254" w:type="dxa"/>
            <w:tcBorders>
              <w:top w:val="single" w:sz="4" w:space="0" w:color="auto"/>
            </w:tcBorders>
          </w:tcPr>
          <w:p w14:paraId="65F89FAF" w14:textId="79BC8B4D" w:rsidR="00105463" w:rsidRPr="002B3D8A" w:rsidRDefault="00105463" w:rsidP="00311149">
            <w:pPr>
              <w:spacing w:line="360" w:lineRule="auto"/>
              <w:rPr>
                <w:rFonts w:ascii="Arial" w:hAnsi="Arial" w:cs="Arial"/>
                <w:color w:val="000000" w:themeColor="text1"/>
                <w:sz w:val="24"/>
                <w:szCs w:val="24"/>
              </w:rPr>
            </w:pPr>
            <w:r w:rsidRPr="002B3D8A">
              <w:rPr>
                <w:rFonts w:ascii="Arial" w:hAnsi="Arial" w:cs="Arial"/>
                <w:color w:val="000000" w:themeColor="text1"/>
                <w:sz w:val="24"/>
                <w:szCs w:val="24"/>
              </w:rPr>
              <w:t xml:space="preserve">Indian mustard </w:t>
            </w:r>
          </w:p>
        </w:tc>
        <w:tc>
          <w:tcPr>
            <w:tcW w:w="2254" w:type="dxa"/>
            <w:tcBorders>
              <w:top w:val="single" w:sz="4" w:space="0" w:color="auto"/>
            </w:tcBorders>
          </w:tcPr>
          <w:p w14:paraId="0E12FBE1" w14:textId="029089DE" w:rsidR="00105463" w:rsidRPr="002B3D8A" w:rsidRDefault="00105463" w:rsidP="00311149">
            <w:pPr>
              <w:spacing w:line="360" w:lineRule="auto"/>
              <w:rPr>
                <w:rFonts w:ascii="Arial" w:hAnsi="Arial" w:cs="Arial"/>
                <w:color w:val="000000" w:themeColor="text1"/>
                <w:sz w:val="24"/>
                <w:szCs w:val="24"/>
              </w:rPr>
            </w:pPr>
            <w:r w:rsidRPr="002B3D8A">
              <w:rPr>
                <w:rFonts w:ascii="Arial" w:hAnsi="Arial" w:cs="Arial"/>
                <w:color w:val="000000" w:themeColor="text1"/>
                <w:sz w:val="24"/>
                <w:szCs w:val="24"/>
              </w:rPr>
              <w:t xml:space="preserve">Brons </w:t>
            </w:r>
          </w:p>
        </w:tc>
        <w:tc>
          <w:tcPr>
            <w:tcW w:w="2872" w:type="dxa"/>
            <w:tcBorders>
              <w:top w:val="single" w:sz="4" w:space="0" w:color="auto"/>
            </w:tcBorders>
          </w:tcPr>
          <w:p w14:paraId="0955B185" w14:textId="7809764A" w:rsidR="00105463" w:rsidRPr="002B3D8A" w:rsidRDefault="00105463" w:rsidP="00311149">
            <w:pPr>
              <w:spacing w:line="360" w:lineRule="auto"/>
              <w:rPr>
                <w:rFonts w:ascii="Arial" w:hAnsi="Arial" w:cs="Arial"/>
                <w:color w:val="000000" w:themeColor="text1"/>
                <w:sz w:val="24"/>
                <w:szCs w:val="24"/>
              </w:rPr>
            </w:pPr>
            <w:r w:rsidRPr="002B3D8A">
              <w:rPr>
                <w:rFonts w:ascii="Arial" w:hAnsi="Arial" w:cs="Arial"/>
                <w:color w:val="000000" w:themeColor="text1"/>
                <w:sz w:val="24"/>
                <w:szCs w:val="24"/>
              </w:rPr>
              <w:t>10Kg/Ha</w:t>
            </w:r>
          </w:p>
        </w:tc>
      </w:tr>
      <w:tr w:rsidR="002B3D8A" w:rsidRPr="002B3D8A" w14:paraId="098AA18C" w14:textId="77777777" w:rsidTr="00B0443A">
        <w:tc>
          <w:tcPr>
            <w:tcW w:w="2543" w:type="dxa"/>
          </w:tcPr>
          <w:p w14:paraId="7678E10D" w14:textId="2294FFF0" w:rsidR="00105463" w:rsidRPr="002B3D8A" w:rsidRDefault="00105463" w:rsidP="00311149">
            <w:pPr>
              <w:spacing w:line="360" w:lineRule="auto"/>
              <w:rPr>
                <w:rFonts w:ascii="Arial" w:hAnsi="Arial" w:cs="Arial"/>
                <w:i/>
                <w:color w:val="000000" w:themeColor="text1"/>
                <w:sz w:val="24"/>
                <w:szCs w:val="24"/>
              </w:rPr>
            </w:pPr>
            <w:r w:rsidRPr="002B3D8A">
              <w:rPr>
                <w:rFonts w:ascii="Arial" w:hAnsi="Arial" w:cs="Arial"/>
                <w:i/>
                <w:color w:val="000000" w:themeColor="text1"/>
                <w:sz w:val="24"/>
                <w:szCs w:val="24"/>
              </w:rPr>
              <w:t xml:space="preserve">Raphanus sativus </w:t>
            </w:r>
          </w:p>
        </w:tc>
        <w:tc>
          <w:tcPr>
            <w:tcW w:w="2254" w:type="dxa"/>
          </w:tcPr>
          <w:p w14:paraId="165EA5BD" w14:textId="5FCF8507" w:rsidR="00105463" w:rsidRPr="002B3D8A" w:rsidRDefault="00105463" w:rsidP="00311149">
            <w:pPr>
              <w:spacing w:line="360" w:lineRule="auto"/>
              <w:rPr>
                <w:rFonts w:ascii="Arial" w:hAnsi="Arial" w:cs="Arial"/>
                <w:color w:val="000000" w:themeColor="text1"/>
                <w:sz w:val="24"/>
                <w:szCs w:val="24"/>
              </w:rPr>
            </w:pPr>
            <w:r w:rsidRPr="002B3D8A">
              <w:rPr>
                <w:rFonts w:ascii="Arial" w:hAnsi="Arial" w:cs="Arial"/>
                <w:color w:val="000000" w:themeColor="text1"/>
                <w:sz w:val="24"/>
                <w:szCs w:val="24"/>
              </w:rPr>
              <w:t>Oil seed radish</w:t>
            </w:r>
          </w:p>
        </w:tc>
        <w:tc>
          <w:tcPr>
            <w:tcW w:w="2254" w:type="dxa"/>
          </w:tcPr>
          <w:p w14:paraId="4808FA6F" w14:textId="558DD14E" w:rsidR="00105463" w:rsidRPr="002B3D8A" w:rsidRDefault="00105463" w:rsidP="00311149">
            <w:pPr>
              <w:spacing w:line="360" w:lineRule="auto"/>
              <w:rPr>
                <w:rFonts w:ascii="Arial" w:hAnsi="Arial" w:cs="Arial"/>
                <w:color w:val="000000" w:themeColor="text1"/>
                <w:sz w:val="24"/>
                <w:szCs w:val="24"/>
              </w:rPr>
            </w:pPr>
            <w:r w:rsidRPr="002B3D8A">
              <w:rPr>
                <w:rFonts w:ascii="Arial" w:hAnsi="Arial" w:cs="Arial"/>
                <w:color w:val="000000" w:themeColor="text1"/>
                <w:sz w:val="24"/>
                <w:szCs w:val="24"/>
              </w:rPr>
              <w:t xml:space="preserve">Terranova </w:t>
            </w:r>
          </w:p>
        </w:tc>
        <w:tc>
          <w:tcPr>
            <w:tcW w:w="2872" w:type="dxa"/>
          </w:tcPr>
          <w:p w14:paraId="1B7C45B3" w14:textId="780A7755" w:rsidR="00105463" w:rsidRPr="002B3D8A" w:rsidRDefault="00105463" w:rsidP="00311149">
            <w:pPr>
              <w:spacing w:line="360" w:lineRule="auto"/>
              <w:rPr>
                <w:rFonts w:ascii="Arial" w:hAnsi="Arial" w:cs="Arial"/>
                <w:color w:val="000000" w:themeColor="text1"/>
                <w:sz w:val="24"/>
                <w:szCs w:val="24"/>
              </w:rPr>
            </w:pPr>
            <w:r w:rsidRPr="002B3D8A">
              <w:rPr>
                <w:rFonts w:ascii="Arial" w:hAnsi="Arial" w:cs="Arial"/>
                <w:color w:val="000000" w:themeColor="text1"/>
                <w:sz w:val="24"/>
                <w:szCs w:val="24"/>
              </w:rPr>
              <w:t>20kg/Ha</w:t>
            </w:r>
          </w:p>
        </w:tc>
      </w:tr>
      <w:tr w:rsidR="002B3D8A" w:rsidRPr="002B3D8A" w14:paraId="00D0A7D2" w14:textId="77777777" w:rsidTr="00B0443A">
        <w:tc>
          <w:tcPr>
            <w:tcW w:w="2543" w:type="dxa"/>
          </w:tcPr>
          <w:p w14:paraId="4223C794" w14:textId="1949D883" w:rsidR="00105463" w:rsidRPr="002B3D8A" w:rsidRDefault="00105463" w:rsidP="00311149">
            <w:pPr>
              <w:spacing w:line="360" w:lineRule="auto"/>
              <w:rPr>
                <w:rFonts w:ascii="Arial" w:hAnsi="Arial" w:cs="Arial"/>
                <w:i/>
                <w:color w:val="000000" w:themeColor="text1"/>
                <w:sz w:val="24"/>
                <w:szCs w:val="24"/>
              </w:rPr>
            </w:pPr>
            <w:r w:rsidRPr="002B3D8A">
              <w:rPr>
                <w:rFonts w:ascii="Arial" w:hAnsi="Arial" w:cs="Arial"/>
                <w:i/>
                <w:color w:val="000000" w:themeColor="text1"/>
                <w:sz w:val="24"/>
                <w:szCs w:val="24"/>
              </w:rPr>
              <w:t xml:space="preserve">Raphanus sativus </w:t>
            </w:r>
          </w:p>
        </w:tc>
        <w:tc>
          <w:tcPr>
            <w:tcW w:w="2254" w:type="dxa"/>
          </w:tcPr>
          <w:p w14:paraId="71AC5B25" w14:textId="1D9CD5E7" w:rsidR="00105463" w:rsidRPr="002B3D8A" w:rsidRDefault="00105463" w:rsidP="00311149">
            <w:pPr>
              <w:spacing w:line="360" w:lineRule="auto"/>
              <w:rPr>
                <w:rFonts w:ascii="Arial" w:hAnsi="Arial" w:cs="Arial"/>
                <w:color w:val="000000" w:themeColor="text1"/>
                <w:sz w:val="24"/>
                <w:szCs w:val="24"/>
              </w:rPr>
            </w:pPr>
            <w:r w:rsidRPr="002B3D8A">
              <w:rPr>
                <w:rFonts w:ascii="Arial" w:hAnsi="Arial" w:cs="Arial"/>
                <w:color w:val="000000" w:themeColor="text1"/>
                <w:sz w:val="24"/>
                <w:szCs w:val="24"/>
              </w:rPr>
              <w:t>Daikon radish</w:t>
            </w:r>
          </w:p>
        </w:tc>
        <w:tc>
          <w:tcPr>
            <w:tcW w:w="2254" w:type="dxa"/>
          </w:tcPr>
          <w:p w14:paraId="7C31873C" w14:textId="3F619BB2" w:rsidR="00105463" w:rsidRPr="002B3D8A" w:rsidRDefault="00105463" w:rsidP="00311149">
            <w:pPr>
              <w:spacing w:line="360" w:lineRule="auto"/>
              <w:rPr>
                <w:rFonts w:ascii="Arial" w:hAnsi="Arial" w:cs="Arial"/>
                <w:color w:val="000000" w:themeColor="text1"/>
                <w:sz w:val="24"/>
                <w:szCs w:val="24"/>
              </w:rPr>
            </w:pPr>
            <w:r w:rsidRPr="002B3D8A">
              <w:rPr>
                <w:rFonts w:ascii="Arial" w:hAnsi="Arial" w:cs="Arial"/>
                <w:color w:val="000000" w:themeColor="text1"/>
                <w:sz w:val="24"/>
                <w:szCs w:val="24"/>
              </w:rPr>
              <w:t>Longipinnatus</w:t>
            </w:r>
          </w:p>
        </w:tc>
        <w:tc>
          <w:tcPr>
            <w:tcW w:w="2872" w:type="dxa"/>
          </w:tcPr>
          <w:p w14:paraId="131DFF1D" w14:textId="2484FCBF" w:rsidR="00105463" w:rsidRPr="002B3D8A" w:rsidRDefault="00105463" w:rsidP="00311149">
            <w:pPr>
              <w:spacing w:line="360" w:lineRule="auto"/>
              <w:rPr>
                <w:rFonts w:ascii="Arial" w:hAnsi="Arial" w:cs="Arial"/>
                <w:color w:val="000000" w:themeColor="text1"/>
                <w:sz w:val="24"/>
                <w:szCs w:val="24"/>
              </w:rPr>
            </w:pPr>
            <w:r w:rsidRPr="002B3D8A">
              <w:rPr>
                <w:rFonts w:ascii="Arial" w:hAnsi="Arial" w:cs="Arial"/>
                <w:color w:val="000000" w:themeColor="text1"/>
                <w:sz w:val="24"/>
                <w:szCs w:val="24"/>
              </w:rPr>
              <w:t>20Kg/Ha</w:t>
            </w:r>
          </w:p>
        </w:tc>
      </w:tr>
      <w:tr w:rsidR="002B3D8A" w:rsidRPr="002B3D8A" w14:paraId="608E106D" w14:textId="77777777" w:rsidTr="00B0443A">
        <w:tc>
          <w:tcPr>
            <w:tcW w:w="2543" w:type="dxa"/>
            <w:tcBorders>
              <w:bottom w:val="single" w:sz="4" w:space="0" w:color="auto"/>
            </w:tcBorders>
          </w:tcPr>
          <w:p w14:paraId="10A28C17" w14:textId="7A19FE17" w:rsidR="00105463" w:rsidRPr="002B3D8A" w:rsidRDefault="00105463" w:rsidP="00311149">
            <w:pPr>
              <w:spacing w:line="360" w:lineRule="auto"/>
              <w:rPr>
                <w:rFonts w:ascii="Arial" w:hAnsi="Arial" w:cs="Arial"/>
                <w:color w:val="000000" w:themeColor="text1"/>
                <w:sz w:val="24"/>
                <w:szCs w:val="24"/>
              </w:rPr>
            </w:pPr>
            <w:r w:rsidRPr="002B3D8A">
              <w:rPr>
                <w:rFonts w:ascii="Arial" w:hAnsi="Arial" w:cs="Arial"/>
                <w:color w:val="000000" w:themeColor="text1"/>
                <w:sz w:val="24"/>
                <w:szCs w:val="24"/>
              </w:rPr>
              <w:t xml:space="preserve">Fallow </w:t>
            </w:r>
          </w:p>
        </w:tc>
        <w:tc>
          <w:tcPr>
            <w:tcW w:w="2254" w:type="dxa"/>
            <w:tcBorders>
              <w:bottom w:val="single" w:sz="4" w:space="0" w:color="auto"/>
            </w:tcBorders>
          </w:tcPr>
          <w:p w14:paraId="46E50919" w14:textId="4AF37A19" w:rsidR="00105463" w:rsidRPr="002B3D8A" w:rsidRDefault="00105463" w:rsidP="00311149">
            <w:pPr>
              <w:spacing w:line="360" w:lineRule="auto"/>
              <w:rPr>
                <w:rFonts w:ascii="Arial" w:hAnsi="Arial" w:cs="Arial"/>
                <w:color w:val="000000" w:themeColor="text1"/>
                <w:sz w:val="24"/>
                <w:szCs w:val="24"/>
              </w:rPr>
            </w:pPr>
            <w:r w:rsidRPr="002B3D8A">
              <w:rPr>
                <w:rFonts w:ascii="Arial" w:hAnsi="Arial" w:cs="Arial"/>
                <w:color w:val="000000" w:themeColor="text1"/>
                <w:sz w:val="24"/>
                <w:szCs w:val="24"/>
              </w:rPr>
              <w:t xml:space="preserve">Control </w:t>
            </w:r>
          </w:p>
        </w:tc>
        <w:tc>
          <w:tcPr>
            <w:tcW w:w="2254" w:type="dxa"/>
            <w:tcBorders>
              <w:bottom w:val="single" w:sz="4" w:space="0" w:color="auto"/>
            </w:tcBorders>
          </w:tcPr>
          <w:p w14:paraId="5B9AED81" w14:textId="688BF6E1" w:rsidR="00105463" w:rsidRPr="002B3D8A" w:rsidRDefault="00105463" w:rsidP="00311149">
            <w:pPr>
              <w:spacing w:line="360" w:lineRule="auto"/>
              <w:rPr>
                <w:rFonts w:ascii="Arial" w:hAnsi="Arial" w:cs="Arial"/>
                <w:color w:val="000000" w:themeColor="text1"/>
                <w:sz w:val="24"/>
                <w:szCs w:val="24"/>
              </w:rPr>
            </w:pPr>
            <w:r w:rsidRPr="002B3D8A">
              <w:rPr>
                <w:rFonts w:ascii="Arial" w:hAnsi="Arial" w:cs="Arial"/>
                <w:color w:val="000000" w:themeColor="text1"/>
                <w:sz w:val="24"/>
                <w:szCs w:val="24"/>
              </w:rPr>
              <w:t xml:space="preserve">Control </w:t>
            </w:r>
          </w:p>
        </w:tc>
        <w:tc>
          <w:tcPr>
            <w:tcW w:w="2872" w:type="dxa"/>
            <w:tcBorders>
              <w:bottom w:val="single" w:sz="4" w:space="0" w:color="auto"/>
            </w:tcBorders>
          </w:tcPr>
          <w:p w14:paraId="61965D81" w14:textId="30F3D577" w:rsidR="00105463" w:rsidRPr="002B3D8A" w:rsidRDefault="00105463" w:rsidP="00311149">
            <w:pPr>
              <w:spacing w:line="360" w:lineRule="auto"/>
              <w:rPr>
                <w:rFonts w:ascii="Arial" w:hAnsi="Arial" w:cs="Arial"/>
                <w:color w:val="000000" w:themeColor="text1"/>
                <w:sz w:val="24"/>
                <w:szCs w:val="24"/>
              </w:rPr>
            </w:pPr>
            <w:r w:rsidRPr="002B3D8A">
              <w:rPr>
                <w:rFonts w:ascii="Arial" w:hAnsi="Arial" w:cs="Arial"/>
                <w:color w:val="000000" w:themeColor="text1"/>
                <w:sz w:val="24"/>
                <w:szCs w:val="24"/>
              </w:rPr>
              <w:t>------</w:t>
            </w:r>
          </w:p>
        </w:tc>
      </w:tr>
    </w:tbl>
    <w:p w14:paraId="48E5F79B" w14:textId="24390446" w:rsidR="00214B8F" w:rsidRPr="002B3D8A" w:rsidRDefault="00A238B1" w:rsidP="006E49E2">
      <w:pPr>
        <w:pStyle w:val="Heading3"/>
        <w:spacing w:line="360" w:lineRule="auto"/>
        <w:rPr>
          <w:rFonts w:ascii="Arial" w:hAnsi="Arial" w:cs="Arial"/>
          <w:b/>
          <w:color w:val="000000" w:themeColor="text1"/>
          <w:sz w:val="24"/>
          <w:szCs w:val="24"/>
        </w:rPr>
      </w:pPr>
      <w:bookmarkStart w:id="48" w:name="_Toc110341294"/>
      <w:r w:rsidRPr="002B3D8A">
        <w:rPr>
          <w:rFonts w:ascii="Arial" w:hAnsi="Arial" w:cs="Arial"/>
          <w:b/>
          <w:color w:val="000000" w:themeColor="text1"/>
          <w:sz w:val="24"/>
          <w:szCs w:val="24"/>
        </w:rPr>
        <w:t>2.3.2</w:t>
      </w:r>
      <w:r w:rsidR="00F5328C" w:rsidRPr="002B3D8A">
        <w:rPr>
          <w:rFonts w:ascii="Arial" w:hAnsi="Arial" w:cs="Arial"/>
          <w:b/>
          <w:color w:val="000000" w:themeColor="text1"/>
          <w:sz w:val="24"/>
          <w:szCs w:val="24"/>
        </w:rPr>
        <w:t xml:space="preserve"> </w:t>
      </w:r>
      <w:r w:rsidR="00577B0E" w:rsidRPr="002B3D8A">
        <w:rPr>
          <w:rFonts w:ascii="Arial" w:hAnsi="Arial" w:cs="Arial"/>
          <w:b/>
          <w:color w:val="000000" w:themeColor="text1"/>
          <w:sz w:val="24"/>
          <w:szCs w:val="24"/>
        </w:rPr>
        <w:t>Field s</w:t>
      </w:r>
      <w:r w:rsidR="00B0443A" w:rsidRPr="002B3D8A">
        <w:rPr>
          <w:rFonts w:ascii="Arial" w:hAnsi="Arial" w:cs="Arial"/>
          <w:b/>
          <w:color w:val="000000" w:themeColor="text1"/>
          <w:sz w:val="24"/>
          <w:szCs w:val="24"/>
        </w:rPr>
        <w:t>oil sampling</w:t>
      </w:r>
      <w:bookmarkEnd w:id="48"/>
      <w:r w:rsidR="00B0443A" w:rsidRPr="002B3D8A">
        <w:rPr>
          <w:rFonts w:ascii="Arial" w:hAnsi="Arial" w:cs="Arial"/>
          <w:b/>
          <w:color w:val="000000" w:themeColor="text1"/>
          <w:sz w:val="24"/>
          <w:szCs w:val="24"/>
        </w:rPr>
        <w:t xml:space="preserve"> </w:t>
      </w:r>
    </w:p>
    <w:p w14:paraId="15743AF8" w14:textId="73A22BDC" w:rsidR="00235B98" w:rsidRDefault="00B0443A" w:rsidP="00616CDC">
      <w:pPr>
        <w:spacing w:line="360" w:lineRule="auto"/>
        <w:ind w:left="-426"/>
        <w:jc w:val="both"/>
        <w:rPr>
          <w:rFonts w:ascii="Arial" w:hAnsi="Arial" w:cs="Arial"/>
          <w:color w:val="000000" w:themeColor="text1"/>
          <w:sz w:val="24"/>
          <w:szCs w:val="24"/>
        </w:rPr>
      </w:pPr>
      <w:r w:rsidRPr="002B3D8A">
        <w:rPr>
          <w:rFonts w:ascii="Arial" w:hAnsi="Arial" w:cs="Arial"/>
          <w:color w:val="000000" w:themeColor="text1"/>
          <w:sz w:val="24"/>
          <w:szCs w:val="24"/>
        </w:rPr>
        <w:t>Prior to cover crop drilling, soil sampling was conducted in every plot to establish the initial nematode densities of SRN (Pi)</w:t>
      </w:r>
      <w:r w:rsidR="00214B8F" w:rsidRPr="002B3D8A">
        <w:rPr>
          <w:rFonts w:ascii="Arial" w:hAnsi="Arial" w:cs="Arial"/>
          <w:color w:val="000000" w:themeColor="text1"/>
          <w:sz w:val="24"/>
          <w:szCs w:val="24"/>
        </w:rPr>
        <w:t xml:space="preserve"> and sampled again four weeks after drilling of the cover crop</w:t>
      </w:r>
      <w:r w:rsidRPr="002B3D8A">
        <w:rPr>
          <w:rFonts w:ascii="Arial" w:hAnsi="Arial" w:cs="Arial"/>
          <w:color w:val="000000" w:themeColor="text1"/>
          <w:sz w:val="24"/>
          <w:szCs w:val="24"/>
        </w:rPr>
        <w:t>. This was done on 1</w:t>
      </w:r>
      <w:r w:rsidR="00F5328C" w:rsidRPr="002B3D8A">
        <w:rPr>
          <w:rFonts w:ascii="Arial" w:hAnsi="Arial" w:cs="Arial"/>
          <w:color w:val="000000" w:themeColor="text1"/>
          <w:sz w:val="24"/>
          <w:szCs w:val="24"/>
        </w:rPr>
        <w:t>5</w:t>
      </w:r>
      <w:r w:rsidRPr="002B3D8A">
        <w:rPr>
          <w:rFonts w:ascii="Arial" w:hAnsi="Arial" w:cs="Arial"/>
          <w:color w:val="000000" w:themeColor="text1"/>
          <w:sz w:val="24"/>
          <w:szCs w:val="24"/>
        </w:rPr>
        <w:t>m by 3m area with</w:t>
      </w:r>
      <w:r w:rsidR="00F5328C" w:rsidRPr="002B3D8A">
        <w:rPr>
          <w:rFonts w:ascii="Arial" w:hAnsi="Arial" w:cs="Arial"/>
          <w:color w:val="000000" w:themeColor="text1"/>
          <w:sz w:val="24"/>
          <w:szCs w:val="24"/>
        </w:rPr>
        <w:t>in</w:t>
      </w:r>
      <w:r w:rsidRPr="002B3D8A">
        <w:rPr>
          <w:rFonts w:ascii="Arial" w:hAnsi="Arial" w:cs="Arial"/>
          <w:color w:val="000000" w:themeColor="text1"/>
          <w:sz w:val="24"/>
          <w:szCs w:val="24"/>
        </w:rPr>
        <w:t xml:space="preserve"> the plot</w:t>
      </w:r>
      <w:r w:rsidR="004E6998">
        <w:rPr>
          <w:rFonts w:ascii="Arial" w:hAnsi="Arial" w:cs="Arial"/>
          <w:color w:val="000000" w:themeColor="text1"/>
          <w:sz w:val="24"/>
          <w:szCs w:val="24"/>
        </w:rPr>
        <w:t xml:space="preserve">, targeting the middle of the plot in a </w:t>
      </w:r>
      <w:r w:rsidR="00F5328C" w:rsidRPr="002B3D8A">
        <w:rPr>
          <w:rFonts w:ascii="Arial" w:hAnsi="Arial" w:cs="Arial"/>
          <w:color w:val="000000" w:themeColor="text1"/>
          <w:sz w:val="24"/>
          <w:szCs w:val="24"/>
        </w:rPr>
        <w:t>W</w:t>
      </w:r>
      <w:r w:rsidRPr="002B3D8A">
        <w:rPr>
          <w:rFonts w:ascii="Arial" w:hAnsi="Arial" w:cs="Arial"/>
          <w:color w:val="000000" w:themeColor="text1"/>
          <w:sz w:val="24"/>
          <w:szCs w:val="24"/>
        </w:rPr>
        <w:t xml:space="preserve"> </w:t>
      </w:r>
      <w:r w:rsidR="00F5328C" w:rsidRPr="002B3D8A">
        <w:rPr>
          <w:rFonts w:ascii="Arial" w:hAnsi="Arial" w:cs="Arial"/>
          <w:color w:val="000000" w:themeColor="text1"/>
          <w:sz w:val="24"/>
          <w:szCs w:val="24"/>
        </w:rPr>
        <w:t>sampling</w:t>
      </w:r>
      <w:r w:rsidRPr="002B3D8A">
        <w:rPr>
          <w:rFonts w:ascii="Arial" w:hAnsi="Arial" w:cs="Arial"/>
          <w:color w:val="000000" w:themeColor="text1"/>
          <w:sz w:val="24"/>
          <w:szCs w:val="24"/>
        </w:rPr>
        <w:t xml:space="preserve"> </w:t>
      </w:r>
      <w:r w:rsidR="00F5328C" w:rsidRPr="002B3D8A">
        <w:rPr>
          <w:rFonts w:ascii="Arial" w:hAnsi="Arial" w:cs="Arial"/>
          <w:color w:val="000000" w:themeColor="text1"/>
          <w:sz w:val="24"/>
          <w:szCs w:val="24"/>
        </w:rPr>
        <w:t>pattern</w:t>
      </w:r>
      <w:r w:rsidR="004E6998">
        <w:rPr>
          <w:rFonts w:ascii="Arial" w:hAnsi="Arial" w:cs="Arial"/>
          <w:color w:val="000000" w:themeColor="text1"/>
          <w:sz w:val="24"/>
          <w:szCs w:val="24"/>
        </w:rPr>
        <w:t xml:space="preserve">. A total of 28 cores were sampled at a 30cm depth to obtain a composite sample of 1-1.5kg from each plot. </w:t>
      </w:r>
      <w:r w:rsidR="00C04158" w:rsidRPr="002B3D8A">
        <w:rPr>
          <w:rFonts w:ascii="Arial" w:hAnsi="Arial" w:cs="Arial"/>
          <w:color w:val="000000" w:themeColor="text1"/>
          <w:sz w:val="24"/>
          <w:szCs w:val="24"/>
        </w:rPr>
        <w:t>Figure</w:t>
      </w:r>
      <w:r w:rsidR="009C62F4">
        <w:rPr>
          <w:rFonts w:ascii="Arial" w:hAnsi="Arial" w:cs="Arial"/>
          <w:color w:val="000000" w:themeColor="text1"/>
          <w:sz w:val="24"/>
          <w:szCs w:val="24"/>
        </w:rPr>
        <w:t xml:space="preserve"> 14</w:t>
      </w:r>
      <w:r w:rsidR="00C04158" w:rsidRPr="002B3D8A">
        <w:rPr>
          <w:rFonts w:ascii="Arial" w:hAnsi="Arial" w:cs="Arial"/>
          <w:color w:val="000000" w:themeColor="text1"/>
          <w:sz w:val="24"/>
          <w:szCs w:val="24"/>
        </w:rPr>
        <w:t xml:space="preserve"> </w:t>
      </w:r>
      <w:r w:rsidR="0041318E" w:rsidRPr="002B3D8A">
        <w:rPr>
          <w:rFonts w:ascii="Arial" w:hAnsi="Arial" w:cs="Arial"/>
          <w:color w:val="000000" w:themeColor="text1"/>
          <w:sz w:val="24"/>
          <w:szCs w:val="24"/>
        </w:rPr>
        <w:t>shows the sampling pattern</w:t>
      </w:r>
      <w:r w:rsidR="00235B98">
        <w:rPr>
          <w:rFonts w:ascii="Arial" w:hAnsi="Arial" w:cs="Arial"/>
          <w:color w:val="000000" w:themeColor="text1"/>
          <w:sz w:val="24"/>
          <w:szCs w:val="24"/>
        </w:rPr>
        <w:t xml:space="preserve"> </w:t>
      </w:r>
      <w:r w:rsidR="00C04158" w:rsidRPr="002B3D8A">
        <w:rPr>
          <w:rFonts w:ascii="Arial" w:hAnsi="Arial" w:cs="Arial"/>
          <w:color w:val="000000" w:themeColor="text1"/>
          <w:sz w:val="24"/>
          <w:szCs w:val="24"/>
        </w:rPr>
        <w:t>used</w:t>
      </w:r>
      <w:r w:rsidR="00CC23C4">
        <w:rPr>
          <w:rFonts w:ascii="Arial" w:hAnsi="Arial" w:cs="Arial"/>
          <w:color w:val="000000" w:themeColor="text1"/>
          <w:sz w:val="24"/>
          <w:szCs w:val="24"/>
        </w:rPr>
        <w:t>.</w:t>
      </w:r>
    </w:p>
    <w:p w14:paraId="68461471" w14:textId="0E8EC04E" w:rsidR="009C62F4" w:rsidRDefault="00B34484" w:rsidP="00646DDF">
      <w:pPr>
        <w:spacing w:line="360" w:lineRule="auto"/>
        <w:jc w:val="both"/>
        <w:rPr>
          <w:rFonts w:ascii="Arial" w:hAnsi="Arial" w:cs="Arial"/>
          <w:color w:val="000000" w:themeColor="text1"/>
        </w:rPr>
      </w:pPr>
      <w:r>
        <w:rPr>
          <w:rFonts w:ascii="Arial" w:hAnsi="Arial" w:cs="Arial"/>
          <w:b/>
          <w:noProof/>
          <w:color w:val="000000" w:themeColor="text1"/>
          <w:sz w:val="24"/>
          <w:szCs w:val="24"/>
        </w:rPr>
        <w:drawing>
          <wp:inline distT="0" distB="0" distL="0" distR="0" wp14:anchorId="6412CA5B" wp14:editId="7C9CB8CF">
            <wp:extent cx="5886450" cy="32592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2405" cy="3262553"/>
                    </a:xfrm>
                    <a:prstGeom prst="rect">
                      <a:avLst/>
                    </a:prstGeom>
                    <a:noFill/>
                  </pic:spPr>
                </pic:pic>
              </a:graphicData>
            </a:graphic>
          </wp:inline>
        </w:drawing>
      </w:r>
    </w:p>
    <w:p w14:paraId="4909B09A" w14:textId="7D35D59C" w:rsidR="00CB5EEC" w:rsidRPr="00502C77" w:rsidRDefault="00B26A3E" w:rsidP="006A155D">
      <w:pPr>
        <w:rPr>
          <w:rFonts w:ascii="Arial" w:hAnsi="Arial" w:cs="Arial"/>
          <w:b/>
          <w:color w:val="000000" w:themeColor="text1"/>
        </w:rPr>
      </w:pPr>
      <w:bookmarkStart w:id="49" w:name="_Toc110342112"/>
      <w:r w:rsidRPr="00502C77">
        <w:rPr>
          <w:rFonts w:ascii="Arial" w:hAnsi="Arial" w:cs="Arial"/>
          <w:color w:val="000000" w:themeColor="text1"/>
        </w:rPr>
        <w:t xml:space="preserve">Figure </w:t>
      </w:r>
      <w:r w:rsidRPr="00502C77">
        <w:rPr>
          <w:rFonts w:ascii="Arial" w:hAnsi="Arial" w:cs="Arial"/>
          <w:color w:val="000000" w:themeColor="text1"/>
        </w:rPr>
        <w:fldChar w:fldCharType="begin"/>
      </w:r>
      <w:r w:rsidRPr="00502C77">
        <w:rPr>
          <w:rFonts w:ascii="Arial" w:hAnsi="Arial" w:cs="Arial"/>
          <w:color w:val="000000" w:themeColor="text1"/>
        </w:rPr>
        <w:instrText xml:space="preserve"> SEQ Figure \* ARABIC </w:instrText>
      </w:r>
      <w:r w:rsidRPr="00502C77">
        <w:rPr>
          <w:rFonts w:ascii="Arial" w:hAnsi="Arial" w:cs="Arial"/>
          <w:color w:val="000000" w:themeColor="text1"/>
        </w:rPr>
        <w:fldChar w:fldCharType="separate"/>
      </w:r>
      <w:r w:rsidR="00C10D2B">
        <w:rPr>
          <w:rFonts w:ascii="Arial" w:hAnsi="Arial" w:cs="Arial"/>
          <w:noProof/>
          <w:color w:val="000000" w:themeColor="text1"/>
        </w:rPr>
        <w:t>9</w:t>
      </w:r>
      <w:r w:rsidRPr="00502C77">
        <w:rPr>
          <w:rFonts w:ascii="Arial" w:hAnsi="Arial" w:cs="Arial"/>
          <w:color w:val="000000" w:themeColor="text1"/>
        </w:rPr>
        <w:fldChar w:fldCharType="end"/>
      </w:r>
      <w:r w:rsidRPr="00502C77">
        <w:rPr>
          <w:rFonts w:ascii="Arial" w:hAnsi="Arial" w:cs="Arial"/>
          <w:color w:val="000000" w:themeColor="text1"/>
        </w:rPr>
        <w:t xml:space="preserve">: Soil sampling of experimental plots at Bury </w:t>
      </w:r>
      <w:r w:rsidR="00C04158" w:rsidRPr="00502C77">
        <w:rPr>
          <w:rFonts w:ascii="Arial" w:hAnsi="Arial" w:cs="Arial"/>
          <w:color w:val="000000" w:themeColor="text1"/>
        </w:rPr>
        <w:t>St. Edmunds</w:t>
      </w:r>
      <w:r w:rsidRPr="00502C77">
        <w:rPr>
          <w:rFonts w:ascii="Arial" w:hAnsi="Arial" w:cs="Arial"/>
          <w:color w:val="000000" w:themeColor="text1"/>
        </w:rPr>
        <w:t xml:space="preserve"> site</w:t>
      </w:r>
      <w:r w:rsidR="00214B8F" w:rsidRPr="00502C77">
        <w:rPr>
          <w:rFonts w:ascii="Arial" w:hAnsi="Arial" w:cs="Arial"/>
          <w:color w:val="000000" w:themeColor="text1"/>
        </w:rPr>
        <w:t>, Suffolk</w:t>
      </w:r>
      <w:bookmarkEnd w:id="49"/>
      <w:r w:rsidRPr="00502C77">
        <w:rPr>
          <w:rFonts w:ascii="Arial" w:hAnsi="Arial" w:cs="Arial"/>
          <w:b/>
          <w:color w:val="000000" w:themeColor="text1"/>
        </w:rPr>
        <w:tab/>
      </w:r>
    </w:p>
    <w:p w14:paraId="40F52BDA" w14:textId="31492296" w:rsidR="00B26A3E" w:rsidRPr="002B3D8A" w:rsidRDefault="00A238B1" w:rsidP="006E49E2">
      <w:pPr>
        <w:pStyle w:val="Heading3"/>
        <w:spacing w:line="360" w:lineRule="auto"/>
        <w:rPr>
          <w:rFonts w:ascii="Arial" w:hAnsi="Arial" w:cs="Arial"/>
          <w:b/>
          <w:color w:val="000000" w:themeColor="text1"/>
          <w:sz w:val="24"/>
          <w:szCs w:val="24"/>
        </w:rPr>
      </w:pPr>
      <w:bookmarkStart w:id="50" w:name="_Toc110341295"/>
      <w:r w:rsidRPr="002B3D8A">
        <w:rPr>
          <w:rFonts w:ascii="Arial" w:hAnsi="Arial" w:cs="Arial"/>
          <w:b/>
          <w:color w:val="000000" w:themeColor="text1"/>
          <w:sz w:val="24"/>
          <w:szCs w:val="24"/>
        </w:rPr>
        <w:lastRenderedPageBreak/>
        <w:t>2</w:t>
      </w:r>
      <w:r w:rsidR="00F5328C" w:rsidRPr="002B3D8A">
        <w:rPr>
          <w:rFonts w:ascii="Arial" w:hAnsi="Arial" w:cs="Arial"/>
          <w:b/>
          <w:color w:val="000000" w:themeColor="text1"/>
          <w:sz w:val="24"/>
          <w:szCs w:val="24"/>
        </w:rPr>
        <w:t>.</w:t>
      </w:r>
      <w:r w:rsidR="00013FB4" w:rsidRPr="002B3D8A">
        <w:rPr>
          <w:rFonts w:ascii="Arial" w:hAnsi="Arial" w:cs="Arial"/>
          <w:b/>
          <w:color w:val="000000" w:themeColor="text1"/>
          <w:sz w:val="24"/>
          <w:szCs w:val="24"/>
        </w:rPr>
        <w:t>2</w:t>
      </w:r>
      <w:r w:rsidR="00F5328C" w:rsidRPr="002B3D8A">
        <w:rPr>
          <w:rFonts w:ascii="Arial" w:hAnsi="Arial" w:cs="Arial"/>
          <w:b/>
          <w:color w:val="000000" w:themeColor="text1"/>
          <w:sz w:val="24"/>
          <w:szCs w:val="24"/>
        </w:rPr>
        <w:t>.</w:t>
      </w:r>
      <w:r w:rsidRPr="002B3D8A">
        <w:rPr>
          <w:rFonts w:ascii="Arial" w:hAnsi="Arial" w:cs="Arial"/>
          <w:b/>
          <w:color w:val="000000" w:themeColor="text1"/>
          <w:sz w:val="24"/>
          <w:szCs w:val="24"/>
        </w:rPr>
        <w:t>3</w:t>
      </w:r>
      <w:r w:rsidR="00F5328C" w:rsidRPr="002B3D8A">
        <w:rPr>
          <w:rFonts w:ascii="Arial" w:hAnsi="Arial" w:cs="Arial"/>
          <w:b/>
          <w:color w:val="000000" w:themeColor="text1"/>
          <w:sz w:val="24"/>
          <w:szCs w:val="24"/>
        </w:rPr>
        <w:t xml:space="preserve"> </w:t>
      </w:r>
      <w:r w:rsidR="00C04158" w:rsidRPr="002B3D8A">
        <w:rPr>
          <w:rFonts w:ascii="Arial" w:hAnsi="Arial" w:cs="Arial"/>
          <w:b/>
          <w:color w:val="000000" w:themeColor="text1"/>
          <w:sz w:val="24"/>
          <w:szCs w:val="24"/>
        </w:rPr>
        <w:t xml:space="preserve">Nematode </w:t>
      </w:r>
      <w:r w:rsidR="00577B0E" w:rsidRPr="002B3D8A">
        <w:rPr>
          <w:rFonts w:ascii="Arial" w:hAnsi="Arial" w:cs="Arial"/>
          <w:b/>
          <w:color w:val="000000" w:themeColor="text1"/>
          <w:sz w:val="24"/>
          <w:szCs w:val="24"/>
        </w:rPr>
        <w:t>extraction</w:t>
      </w:r>
      <w:r w:rsidR="00013FB4" w:rsidRPr="002B3D8A">
        <w:rPr>
          <w:rFonts w:ascii="Arial" w:hAnsi="Arial" w:cs="Arial"/>
          <w:b/>
          <w:color w:val="000000" w:themeColor="text1"/>
          <w:sz w:val="24"/>
          <w:szCs w:val="24"/>
        </w:rPr>
        <w:t xml:space="preserve">, Identification and </w:t>
      </w:r>
      <w:r w:rsidR="00577B0E" w:rsidRPr="002B3D8A">
        <w:rPr>
          <w:rFonts w:ascii="Arial" w:hAnsi="Arial" w:cs="Arial"/>
          <w:b/>
          <w:color w:val="000000" w:themeColor="text1"/>
          <w:sz w:val="24"/>
          <w:szCs w:val="24"/>
        </w:rPr>
        <w:t>quantification</w:t>
      </w:r>
      <w:bookmarkEnd w:id="50"/>
      <w:r w:rsidR="00577B0E" w:rsidRPr="002B3D8A">
        <w:rPr>
          <w:rFonts w:ascii="Arial" w:hAnsi="Arial" w:cs="Arial"/>
          <w:b/>
          <w:color w:val="000000" w:themeColor="text1"/>
          <w:sz w:val="24"/>
          <w:szCs w:val="24"/>
        </w:rPr>
        <w:t xml:space="preserve"> </w:t>
      </w:r>
    </w:p>
    <w:p w14:paraId="183BB224" w14:textId="5D0C089B" w:rsidR="00F449CA" w:rsidRDefault="00F5328C" w:rsidP="00616CDC">
      <w:pPr>
        <w:tabs>
          <w:tab w:val="left" w:pos="5854"/>
        </w:tabs>
        <w:spacing w:line="360" w:lineRule="auto"/>
        <w:ind w:left="-284"/>
        <w:jc w:val="both"/>
        <w:rPr>
          <w:rFonts w:ascii="Arial" w:hAnsi="Arial" w:cs="Arial"/>
          <w:color w:val="000000" w:themeColor="text1"/>
          <w:sz w:val="24"/>
          <w:szCs w:val="24"/>
        </w:rPr>
      </w:pPr>
      <w:r w:rsidRPr="002B3D8A">
        <w:rPr>
          <w:rFonts w:ascii="Arial" w:hAnsi="Arial" w:cs="Arial"/>
          <w:color w:val="000000" w:themeColor="text1"/>
          <w:sz w:val="24"/>
          <w:szCs w:val="24"/>
        </w:rPr>
        <w:t xml:space="preserve">Nematodes were </w:t>
      </w:r>
      <w:r w:rsidR="00C04158" w:rsidRPr="002B3D8A">
        <w:rPr>
          <w:rFonts w:ascii="Arial" w:hAnsi="Arial" w:cs="Arial"/>
          <w:color w:val="000000" w:themeColor="text1"/>
          <w:sz w:val="24"/>
          <w:szCs w:val="24"/>
        </w:rPr>
        <w:t xml:space="preserve">extracted using centrifugal flotation method. </w:t>
      </w:r>
      <w:r w:rsidRPr="002B3D8A">
        <w:rPr>
          <w:rFonts w:ascii="Arial" w:hAnsi="Arial" w:cs="Arial"/>
          <w:color w:val="000000" w:themeColor="text1"/>
          <w:sz w:val="24"/>
          <w:szCs w:val="24"/>
        </w:rPr>
        <w:t xml:space="preserve">The bulk sample was gently mixed and a 200ml subsample taken for extraction. </w:t>
      </w:r>
      <w:r w:rsidR="007F38A1" w:rsidRPr="002B3D8A">
        <w:rPr>
          <w:rFonts w:ascii="Arial" w:hAnsi="Arial" w:cs="Arial"/>
          <w:color w:val="000000" w:themeColor="text1"/>
          <w:sz w:val="24"/>
          <w:szCs w:val="24"/>
        </w:rPr>
        <w:t xml:space="preserve">The soil was divided into four 250 ml </w:t>
      </w:r>
      <w:r w:rsidRPr="002B3D8A">
        <w:rPr>
          <w:rFonts w:ascii="Arial" w:hAnsi="Arial" w:cs="Arial"/>
          <w:color w:val="000000" w:themeColor="text1"/>
          <w:sz w:val="24"/>
          <w:szCs w:val="24"/>
        </w:rPr>
        <w:t xml:space="preserve">centrifuge </w:t>
      </w:r>
      <w:r w:rsidR="007F38A1" w:rsidRPr="002B3D8A">
        <w:rPr>
          <w:rFonts w:ascii="Arial" w:hAnsi="Arial" w:cs="Arial"/>
          <w:color w:val="000000" w:themeColor="text1"/>
          <w:sz w:val="24"/>
          <w:szCs w:val="24"/>
        </w:rPr>
        <w:t>tubes and 80ml of extraction fluid (MgS0</w:t>
      </w:r>
      <w:r w:rsidR="007F38A1" w:rsidRPr="002B3D8A">
        <w:rPr>
          <w:rFonts w:ascii="Arial" w:hAnsi="Arial" w:cs="Arial"/>
          <w:color w:val="000000" w:themeColor="text1"/>
          <w:sz w:val="24"/>
          <w:szCs w:val="24"/>
          <w:vertAlign w:val="subscript"/>
        </w:rPr>
        <w:t>4</w:t>
      </w:r>
      <w:r w:rsidR="007F38A1" w:rsidRPr="002B3D8A">
        <w:rPr>
          <w:rFonts w:ascii="Arial" w:hAnsi="Arial" w:cs="Arial"/>
          <w:color w:val="000000" w:themeColor="text1"/>
          <w:sz w:val="24"/>
          <w:szCs w:val="24"/>
        </w:rPr>
        <w:t>.7H</w:t>
      </w:r>
      <w:r w:rsidR="007F38A1" w:rsidRPr="002B3D8A">
        <w:rPr>
          <w:rFonts w:ascii="Arial" w:hAnsi="Arial" w:cs="Arial"/>
          <w:color w:val="000000" w:themeColor="text1"/>
          <w:sz w:val="24"/>
          <w:szCs w:val="24"/>
          <w:vertAlign w:val="subscript"/>
        </w:rPr>
        <w:t>2</w:t>
      </w:r>
      <w:r w:rsidR="007F38A1" w:rsidRPr="002B3D8A">
        <w:rPr>
          <w:rFonts w:ascii="Arial" w:hAnsi="Arial" w:cs="Arial"/>
          <w:color w:val="000000" w:themeColor="text1"/>
          <w:sz w:val="24"/>
          <w:szCs w:val="24"/>
        </w:rPr>
        <w:t>0) added into each. The tubes were gently agitated to mix the fluid and the soil and then centrifuge</w:t>
      </w:r>
      <w:r w:rsidRPr="002B3D8A">
        <w:rPr>
          <w:rFonts w:ascii="Arial" w:hAnsi="Arial" w:cs="Arial"/>
          <w:color w:val="000000" w:themeColor="text1"/>
          <w:sz w:val="24"/>
          <w:szCs w:val="24"/>
        </w:rPr>
        <w:t xml:space="preserve">d </w:t>
      </w:r>
      <w:r w:rsidR="007F38A1" w:rsidRPr="002B3D8A">
        <w:rPr>
          <w:rFonts w:ascii="Arial" w:hAnsi="Arial" w:cs="Arial"/>
          <w:color w:val="000000" w:themeColor="text1"/>
          <w:sz w:val="24"/>
          <w:szCs w:val="24"/>
        </w:rPr>
        <w:t>at 1150 g for 5 minutes extraction time. The supernatant was then decanted into 215 µm and 53µm sieves and washed into sample bottles. The suspension was concentrated into a smaller volume which was wholly quantified under a compound microscope at 20</w:t>
      </w:r>
      <w:r w:rsidR="00F449CA">
        <w:rPr>
          <w:rFonts w:ascii="Arial" w:hAnsi="Arial" w:cs="Arial"/>
          <w:color w:val="000000" w:themeColor="text1"/>
          <w:sz w:val="24"/>
          <w:szCs w:val="24"/>
        </w:rPr>
        <w:t>x</w:t>
      </w:r>
      <w:r w:rsidR="007F38A1" w:rsidRPr="002B3D8A">
        <w:rPr>
          <w:rFonts w:ascii="Arial" w:hAnsi="Arial" w:cs="Arial"/>
          <w:color w:val="000000" w:themeColor="text1"/>
          <w:sz w:val="24"/>
          <w:szCs w:val="24"/>
        </w:rPr>
        <w:t xml:space="preserve"> magnification. Morphological characteristics e.g. spicule shape in males, body cuticle and vaginal characteristics of the females was used to distinguish the genus </w:t>
      </w:r>
      <w:r w:rsidR="007F38A1" w:rsidRPr="002B3D8A">
        <w:rPr>
          <w:rFonts w:ascii="Arial" w:hAnsi="Arial" w:cs="Arial"/>
          <w:i/>
          <w:color w:val="000000" w:themeColor="text1"/>
          <w:sz w:val="24"/>
          <w:szCs w:val="24"/>
        </w:rPr>
        <w:t>Trichodorus</w:t>
      </w:r>
      <w:r w:rsidR="007F38A1" w:rsidRPr="002B3D8A">
        <w:rPr>
          <w:rFonts w:ascii="Arial" w:hAnsi="Arial" w:cs="Arial"/>
          <w:color w:val="000000" w:themeColor="text1"/>
          <w:sz w:val="24"/>
          <w:szCs w:val="24"/>
        </w:rPr>
        <w:t xml:space="preserve"> and </w:t>
      </w:r>
      <w:r w:rsidR="007F38A1" w:rsidRPr="002B3D8A">
        <w:rPr>
          <w:rFonts w:ascii="Arial" w:hAnsi="Arial" w:cs="Arial"/>
          <w:i/>
          <w:color w:val="000000" w:themeColor="text1"/>
          <w:sz w:val="24"/>
          <w:szCs w:val="24"/>
        </w:rPr>
        <w:t>Paratrichodorus</w:t>
      </w:r>
      <w:r w:rsidR="007F38A1" w:rsidRPr="002B3D8A">
        <w:rPr>
          <w:rFonts w:ascii="Arial" w:hAnsi="Arial" w:cs="Arial"/>
          <w:color w:val="000000" w:themeColor="text1"/>
          <w:sz w:val="24"/>
          <w:szCs w:val="24"/>
        </w:rPr>
        <w:t xml:space="preserve"> spp</w:t>
      </w:r>
      <w:r w:rsidR="00577B0E" w:rsidRPr="002B3D8A">
        <w:rPr>
          <w:rFonts w:ascii="Arial" w:hAnsi="Arial" w:cs="Arial"/>
          <w:color w:val="000000" w:themeColor="text1"/>
          <w:sz w:val="24"/>
          <w:szCs w:val="24"/>
        </w:rPr>
        <w:t xml:space="preserve"> Other prevalent PPNs in the soil sample were also quantified. </w:t>
      </w:r>
    </w:p>
    <w:p w14:paraId="07935301" w14:textId="4B88DB21" w:rsidR="00F449CA" w:rsidRDefault="009C62F4" w:rsidP="006E49E2">
      <w:pPr>
        <w:tabs>
          <w:tab w:val="left" w:pos="5854"/>
        </w:tabs>
        <w:spacing w:line="360" w:lineRule="auto"/>
        <w:jc w:val="both"/>
        <w:rPr>
          <w:rFonts w:ascii="Arial" w:hAnsi="Arial" w:cs="Arial"/>
          <w:color w:val="000000" w:themeColor="text1"/>
          <w:sz w:val="24"/>
          <w:szCs w:val="24"/>
        </w:rPr>
      </w:pPr>
      <w:r w:rsidRPr="002B3D8A">
        <w:rPr>
          <w:rFonts w:ascii="Arial" w:hAnsi="Arial" w:cs="Arial"/>
          <w:noProof/>
          <w:color w:val="000000" w:themeColor="text1"/>
          <w:sz w:val="24"/>
          <w:szCs w:val="24"/>
        </w:rPr>
        <w:drawing>
          <wp:inline distT="0" distB="0" distL="0" distR="0" wp14:anchorId="27A8CFD4" wp14:editId="74039D10">
            <wp:extent cx="2302867" cy="25228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ytomous key for Trichodorid identification.PNG"/>
                    <pic:cNvPicPr/>
                  </pic:nvPicPr>
                  <pic:blipFill>
                    <a:blip r:embed="rId29">
                      <a:extLst>
                        <a:ext uri="{28A0092B-C50C-407E-A947-70E740481C1C}">
                          <a14:useLocalDpi xmlns:a14="http://schemas.microsoft.com/office/drawing/2010/main" val="0"/>
                        </a:ext>
                      </a:extLst>
                    </a:blip>
                    <a:stretch>
                      <a:fillRect/>
                    </a:stretch>
                  </pic:blipFill>
                  <pic:spPr>
                    <a:xfrm>
                      <a:off x="0" y="0"/>
                      <a:ext cx="2379177" cy="2606403"/>
                    </a:xfrm>
                    <a:prstGeom prst="rect">
                      <a:avLst/>
                    </a:prstGeom>
                  </pic:spPr>
                </pic:pic>
              </a:graphicData>
            </a:graphic>
          </wp:inline>
        </w:drawing>
      </w:r>
      <w:r w:rsidRPr="002B3D8A">
        <w:rPr>
          <w:rFonts w:ascii="Arial" w:hAnsi="Arial" w:cs="Arial"/>
          <w:noProof/>
          <w:color w:val="000000" w:themeColor="text1"/>
          <w:sz w:val="24"/>
          <w:szCs w:val="24"/>
        </w:rPr>
        <w:drawing>
          <wp:inline distT="0" distB="0" distL="0" distR="0" wp14:anchorId="5C4B56A1" wp14:editId="51474FEE">
            <wp:extent cx="2206752" cy="2491587"/>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lytomous key 2.PNG"/>
                    <pic:cNvPicPr/>
                  </pic:nvPicPr>
                  <pic:blipFill rotWithShape="1">
                    <a:blip r:embed="rId30">
                      <a:extLst>
                        <a:ext uri="{28A0092B-C50C-407E-A947-70E740481C1C}">
                          <a14:useLocalDpi xmlns:a14="http://schemas.microsoft.com/office/drawing/2010/main" val="0"/>
                        </a:ext>
                      </a:extLst>
                    </a:blip>
                    <a:srcRect t="1467" b="1"/>
                    <a:stretch/>
                  </pic:blipFill>
                  <pic:spPr bwMode="auto">
                    <a:xfrm>
                      <a:off x="0" y="0"/>
                      <a:ext cx="2261102" cy="2552952"/>
                    </a:xfrm>
                    <a:prstGeom prst="rect">
                      <a:avLst/>
                    </a:prstGeom>
                    <a:ln>
                      <a:noFill/>
                    </a:ln>
                    <a:extLst>
                      <a:ext uri="{53640926-AAD7-44D8-BBD7-CCE9431645EC}">
                        <a14:shadowObscured xmlns:a14="http://schemas.microsoft.com/office/drawing/2010/main"/>
                      </a:ext>
                    </a:extLst>
                  </pic:spPr>
                </pic:pic>
              </a:graphicData>
            </a:graphic>
          </wp:inline>
        </w:drawing>
      </w:r>
    </w:p>
    <w:p w14:paraId="652855BE" w14:textId="6C218D93" w:rsidR="007F38A1" w:rsidRPr="00502C77" w:rsidRDefault="00577B0E" w:rsidP="009C62F4">
      <w:pPr>
        <w:tabs>
          <w:tab w:val="left" w:pos="5854"/>
        </w:tabs>
        <w:spacing w:line="360" w:lineRule="auto"/>
        <w:jc w:val="both"/>
        <w:rPr>
          <w:rFonts w:ascii="Arial" w:hAnsi="Arial" w:cs="Arial"/>
          <w:color w:val="000000" w:themeColor="text1"/>
        </w:rPr>
      </w:pPr>
      <w:bookmarkStart w:id="51" w:name="_Toc110342113"/>
      <w:r w:rsidRPr="00502C77">
        <w:rPr>
          <w:rFonts w:ascii="Arial" w:hAnsi="Arial" w:cs="Arial"/>
          <w:color w:val="000000" w:themeColor="text1"/>
        </w:rPr>
        <w:t xml:space="preserve">Figure </w:t>
      </w:r>
      <w:r w:rsidRPr="00502C77">
        <w:rPr>
          <w:rFonts w:ascii="Arial" w:hAnsi="Arial" w:cs="Arial"/>
          <w:color w:val="000000" w:themeColor="text1"/>
        </w:rPr>
        <w:fldChar w:fldCharType="begin"/>
      </w:r>
      <w:r w:rsidRPr="00502C77">
        <w:rPr>
          <w:rFonts w:ascii="Arial" w:hAnsi="Arial" w:cs="Arial"/>
          <w:color w:val="000000" w:themeColor="text1"/>
        </w:rPr>
        <w:instrText xml:space="preserve"> SEQ Figure \* ARABIC </w:instrText>
      </w:r>
      <w:r w:rsidRPr="00502C77">
        <w:rPr>
          <w:rFonts w:ascii="Arial" w:hAnsi="Arial" w:cs="Arial"/>
          <w:color w:val="000000" w:themeColor="text1"/>
        </w:rPr>
        <w:fldChar w:fldCharType="separate"/>
      </w:r>
      <w:r w:rsidR="00C10D2B">
        <w:rPr>
          <w:rFonts w:ascii="Arial" w:hAnsi="Arial" w:cs="Arial"/>
          <w:noProof/>
          <w:color w:val="000000" w:themeColor="text1"/>
        </w:rPr>
        <w:t>10</w:t>
      </w:r>
      <w:r w:rsidRPr="00502C77">
        <w:rPr>
          <w:rFonts w:ascii="Arial" w:hAnsi="Arial" w:cs="Arial"/>
          <w:color w:val="000000" w:themeColor="text1"/>
        </w:rPr>
        <w:fldChar w:fldCharType="end"/>
      </w:r>
      <w:r w:rsidRPr="00502C77">
        <w:rPr>
          <w:rFonts w:ascii="Arial" w:hAnsi="Arial" w:cs="Arial"/>
          <w:color w:val="000000" w:themeColor="text1"/>
        </w:rPr>
        <w:t xml:space="preserve">: </w:t>
      </w:r>
      <w:r w:rsidR="00B765C4" w:rsidRPr="00502C77">
        <w:rPr>
          <w:rFonts w:ascii="Arial" w:hAnsi="Arial" w:cs="Arial"/>
          <w:color w:val="000000" w:themeColor="text1"/>
        </w:rPr>
        <w:t>Polytomous key for m</w:t>
      </w:r>
      <w:r w:rsidRPr="00502C77">
        <w:rPr>
          <w:rFonts w:ascii="Arial" w:hAnsi="Arial" w:cs="Arial"/>
          <w:color w:val="000000" w:themeColor="text1"/>
        </w:rPr>
        <w:t>orphological</w:t>
      </w:r>
      <w:r w:rsidR="00F850EC" w:rsidRPr="00502C77">
        <w:rPr>
          <w:rFonts w:ascii="Arial" w:hAnsi="Arial" w:cs="Arial"/>
          <w:color w:val="000000" w:themeColor="text1"/>
        </w:rPr>
        <w:t xml:space="preserve"> identification</w:t>
      </w:r>
      <w:r w:rsidRPr="00502C77">
        <w:rPr>
          <w:rFonts w:ascii="Arial" w:hAnsi="Arial" w:cs="Arial"/>
          <w:color w:val="000000" w:themeColor="text1"/>
        </w:rPr>
        <w:t xml:space="preserve"> of nematodes in the family Trichodoridae </w:t>
      </w:r>
      <w:r w:rsidR="00B765C4" w:rsidRPr="00502C77">
        <w:rPr>
          <w:rFonts w:ascii="Arial" w:hAnsi="Arial" w:cs="Arial"/>
          <w:color w:val="000000" w:themeColor="text1"/>
        </w:rPr>
        <w:fldChar w:fldCharType="begin" w:fldLock="1"/>
      </w:r>
      <w:r w:rsidR="00E13293">
        <w:rPr>
          <w:rFonts w:ascii="Arial" w:hAnsi="Arial" w:cs="Arial"/>
          <w:color w:val="000000" w:themeColor="text1"/>
        </w:rPr>
        <w:instrText>ADDIN CSL_CITATION {"citationItems":[{"id":"ITEM-1","itemData":{"ISSN":"11645571","abstract":"The species of the family Trichodoridae are listed with their current taxonomical status. A polytomous key to males and females of the 90 species of the family is presented. To avoid misidentification at genus level, the species of the four genera of the family are treated as a single group in the present polytomous key.","author":[{"dropping-particle":"","family":"Decraemer","given":"Wilfrida","non-dropping-particle":"","parse-names":false,"suffix":""},{"dropping-particle":"","family":"Baujard","given":"Pierre","non-dropping-particle":"","parse-names":false,"suffix":""}],"container-title":"Fundamental and Applied Nematology","id":"ITEM-1","issue":"1","issued":{"date-parts":[["1998"]]},"page":"37-62","title":"A polytomous key for the identification of species of the family Trichodoridae Thorne, 1935 (Nematoda: Triplonchida)","type":"article-journal","volume":"21"},"uris":["http://www.mendeley.com/documents/?uuid=efc7dd69-286b-48a6-902f-541325a8ff0d"]}],"mendeley":{"formattedCitation":"(Decraemer and Baujard, 1998)","plainTextFormattedCitation":"(Decraemer and Baujard, 1998)","previouslyFormattedCitation":"(Decraemer and Baujard, 1998)"},"properties":{"noteIndex":0},"schema":"https://github.com/citation-style-language/schema/raw/master/csl-citation.json"}</w:instrText>
      </w:r>
      <w:r w:rsidR="00B765C4" w:rsidRPr="00502C77">
        <w:rPr>
          <w:rFonts w:ascii="Arial" w:hAnsi="Arial" w:cs="Arial"/>
          <w:color w:val="000000" w:themeColor="text1"/>
        </w:rPr>
        <w:fldChar w:fldCharType="separate"/>
      </w:r>
      <w:r w:rsidR="00E13293" w:rsidRPr="00E13293">
        <w:rPr>
          <w:rFonts w:ascii="Arial" w:hAnsi="Arial" w:cs="Arial"/>
          <w:noProof/>
          <w:color w:val="000000" w:themeColor="text1"/>
        </w:rPr>
        <w:t>(Decraemer and Baujard, 1998)</w:t>
      </w:r>
      <w:bookmarkEnd w:id="51"/>
      <w:r w:rsidR="00B765C4" w:rsidRPr="00502C77">
        <w:rPr>
          <w:rFonts w:ascii="Arial" w:hAnsi="Arial" w:cs="Arial"/>
          <w:color w:val="000000" w:themeColor="text1"/>
        </w:rPr>
        <w:fldChar w:fldCharType="end"/>
      </w:r>
    </w:p>
    <w:p w14:paraId="6707BAD0" w14:textId="08208F5A" w:rsidR="00CB5EEC" w:rsidRPr="002B3D8A" w:rsidRDefault="00A238B1" w:rsidP="006E49E2">
      <w:pPr>
        <w:pStyle w:val="Heading2"/>
        <w:spacing w:line="360" w:lineRule="auto"/>
        <w:rPr>
          <w:rFonts w:ascii="Arial" w:hAnsi="Arial" w:cs="Arial"/>
          <w:b/>
          <w:color w:val="000000" w:themeColor="text1"/>
          <w:sz w:val="24"/>
          <w:szCs w:val="24"/>
        </w:rPr>
      </w:pPr>
      <w:bookmarkStart w:id="52" w:name="_Toc110341296"/>
      <w:r w:rsidRPr="002B3D8A">
        <w:rPr>
          <w:rFonts w:ascii="Arial" w:hAnsi="Arial" w:cs="Arial"/>
          <w:b/>
          <w:color w:val="000000" w:themeColor="text1"/>
          <w:sz w:val="24"/>
          <w:szCs w:val="24"/>
        </w:rPr>
        <w:t xml:space="preserve">2.4 </w:t>
      </w:r>
      <w:r w:rsidR="00577B0E" w:rsidRPr="002B3D8A">
        <w:rPr>
          <w:rFonts w:ascii="Arial" w:hAnsi="Arial" w:cs="Arial"/>
          <w:b/>
          <w:color w:val="000000" w:themeColor="text1"/>
          <w:sz w:val="24"/>
          <w:szCs w:val="24"/>
        </w:rPr>
        <w:t>Statistical analysis</w:t>
      </w:r>
      <w:bookmarkEnd w:id="52"/>
      <w:r w:rsidR="00577B0E" w:rsidRPr="002B3D8A">
        <w:rPr>
          <w:rFonts w:ascii="Arial" w:hAnsi="Arial" w:cs="Arial"/>
          <w:b/>
          <w:color w:val="000000" w:themeColor="text1"/>
          <w:sz w:val="24"/>
          <w:szCs w:val="24"/>
        </w:rPr>
        <w:t xml:space="preserve"> </w:t>
      </w:r>
    </w:p>
    <w:p w14:paraId="7766E154" w14:textId="77777777" w:rsidR="00CC23C4" w:rsidRDefault="00491C1F" w:rsidP="00796310">
      <w:pPr>
        <w:spacing w:line="360" w:lineRule="auto"/>
        <w:ind w:left="-284"/>
        <w:jc w:val="both"/>
        <w:rPr>
          <w:rFonts w:ascii="Arial" w:hAnsi="Arial" w:cs="Arial"/>
          <w:color w:val="000000" w:themeColor="text1"/>
          <w:sz w:val="24"/>
          <w:szCs w:val="24"/>
        </w:rPr>
      </w:pPr>
      <w:r w:rsidRPr="009A2737">
        <w:rPr>
          <w:rFonts w:ascii="Arial" w:hAnsi="Arial" w:cs="Arial"/>
          <w:color w:val="000000" w:themeColor="text1"/>
          <w:sz w:val="24"/>
          <w:szCs w:val="24"/>
        </w:rPr>
        <w:t>Data was analysed using R software</w:t>
      </w:r>
      <w:r w:rsidR="00F449CA" w:rsidRPr="009A2737">
        <w:rPr>
          <w:rFonts w:ascii="Arial" w:hAnsi="Arial" w:cs="Arial"/>
          <w:color w:val="000000" w:themeColor="text1"/>
          <w:sz w:val="24"/>
          <w:szCs w:val="24"/>
        </w:rPr>
        <w:t>.</w:t>
      </w:r>
      <w:r w:rsidRPr="009A2737">
        <w:rPr>
          <w:rFonts w:ascii="Arial" w:hAnsi="Arial" w:cs="Arial"/>
          <w:color w:val="000000" w:themeColor="text1"/>
          <w:sz w:val="24"/>
          <w:szCs w:val="24"/>
        </w:rPr>
        <w:t xml:space="preserve"> </w:t>
      </w:r>
      <w:r w:rsidR="00235B98" w:rsidRPr="002E152F">
        <w:rPr>
          <w:rFonts w:ascii="Arial" w:hAnsi="Arial" w:cs="Arial"/>
          <w:sz w:val="24"/>
          <w:szCs w:val="24"/>
        </w:rPr>
        <w:t xml:space="preserve">Treatment effects for ANOVA analysed data were compared using Tukey’s multiple range test at 95% confidence </w:t>
      </w:r>
      <w:r w:rsidR="00F850EC" w:rsidRPr="009A2737">
        <w:rPr>
          <w:rFonts w:ascii="Arial" w:hAnsi="Arial" w:cs="Arial"/>
          <w:color w:val="000000" w:themeColor="text1"/>
          <w:sz w:val="24"/>
          <w:szCs w:val="24"/>
        </w:rPr>
        <w:t>Non</w:t>
      </w:r>
      <w:r w:rsidRPr="009A2737">
        <w:rPr>
          <w:rFonts w:ascii="Arial" w:hAnsi="Arial" w:cs="Arial"/>
          <w:color w:val="000000" w:themeColor="text1"/>
          <w:sz w:val="24"/>
          <w:szCs w:val="24"/>
        </w:rPr>
        <w:t xml:space="preserve">-parametric data was analysed using Kruskal </w:t>
      </w:r>
      <w:r w:rsidR="00434961" w:rsidRPr="009A2737">
        <w:rPr>
          <w:rFonts w:ascii="Arial" w:hAnsi="Arial" w:cs="Arial"/>
          <w:color w:val="000000" w:themeColor="text1"/>
          <w:sz w:val="24"/>
          <w:szCs w:val="24"/>
        </w:rPr>
        <w:t>Wallis</w:t>
      </w:r>
      <w:r w:rsidRPr="009A2737">
        <w:rPr>
          <w:rFonts w:ascii="Arial" w:hAnsi="Arial" w:cs="Arial"/>
          <w:color w:val="000000" w:themeColor="text1"/>
          <w:sz w:val="24"/>
          <w:szCs w:val="24"/>
        </w:rPr>
        <w:t xml:space="preserve"> test and Dunn multiple comparison test used</w:t>
      </w:r>
      <w:r w:rsidR="009C62F4" w:rsidRPr="009A2737">
        <w:rPr>
          <w:rFonts w:ascii="Arial" w:hAnsi="Arial" w:cs="Arial"/>
          <w:color w:val="000000" w:themeColor="text1"/>
          <w:sz w:val="24"/>
          <w:szCs w:val="24"/>
        </w:rPr>
        <w:t xml:space="preserve"> to for multiple pairwise comparison </w:t>
      </w:r>
      <w:r w:rsidRPr="009A2737">
        <w:rPr>
          <w:rFonts w:ascii="Arial" w:hAnsi="Arial" w:cs="Arial"/>
          <w:color w:val="000000" w:themeColor="text1"/>
          <w:sz w:val="24"/>
          <w:szCs w:val="24"/>
        </w:rPr>
        <w:t xml:space="preserve">(P&lt;0.05). </w:t>
      </w:r>
    </w:p>
    <w:p w14:paraId="328B3BC8" w14:textId="77777777" w:rsidR="00796310" w:rsidRDefault="00796310" w:rsidP="00796310">
      <w:pPr>
        <w:spacing w:line="360" w:lineRule="auto"/>
        <w:ind w:left="-284"/>
        <w:jc w:val="both"/>
        <w:rPr>
          <w:rFonts w:ascii="Arial" w:hAnsi="Arial" w:cs="Arial"/>
          <w:color w:val="000000" w:themeColor="text1"/>
          <w:sz w:val="24"/>
          <w:szCs w:val="24"/>
        </w:rPr>
      </w:pPr>
    </w:p>
    <w:p w14:paraId="54049271" w14:textId="6D0D4E8C" w:rsidR="00796310" w:rsidRDefault="00796310" w:rsidP="00616CDC">
      <w:pPr>
        <w:spacing w:line="360" w:lineRule="auto"/>
        <w:ind w:left="-284"/>
        <w:jc w:val="both"/>
        <w:rPr>
          <w:rFonts w:ascii="Arial" w:hAnsi="Arial" w:cs="Arial"/>
          <w:color w:val="000000" w:themeColor="text1"/>
          <w:sz w:val="24"/>
          <w:szCs w:val="24"/>
        </w:rPr>
        <w:sectPr w:rsidR="00796310" w:rsidSect="002572CD">
          <w:pgSz w:w="11906" w:h="16838"/>
          <w:pgMar w:top="1440" w:right="1440" w:bottom="1440" w:left="1440" w:header="708" w:footer="708" w:gutter="0"/>
          <w:cols w:space="708"/>
          <w:docGrid w:linePitch="360"/>
        </w:sectPr>
      </w:pPr>
    </w:p>
    <w:p w14:paraId="2799932B" w14:textId="70297B21" w:rsidR="009637F9" w:rsidRPr="002B3D8A" w:rsidRDefault="00A238B1" w:rsidP="006E49E2">
      <w:pPr>
        <w:pStyle w:val="Heading2"/>
        <w:spacing w:line="360" w:lineRule="auto"/>
        <w:rPr>
          <w:rFonts w:ascii="Arial" w:hAnsi="Arial" w:cs="Arial"/>
          <w:b/>
          <w:color w:val="000000" w:themeColor="text1"/>
          <w:sz w:val="24"/>
          <w:szCs w:val="24"/>
        </w:rPr>
      </w:pPr>
      <w:bookmarkStart w:id="53" w:name="_Toc110341297"/>
      <w:r w:rsidRPr="002B3D8A">
        <w:rPr>
          <w:rFonts w:ascii="Arial" w:hAnsi="Arial" w:cs="Arial"/>
          <w:b/>
          <w:color w:val="000000" w:themeColor="text1"/>
          <w:sz w:val="24"/>
          <w:szCs w:val="24"/>
        </w:rPr>
        <w:lastRenderedPageBreak/>
        <w:t xml:space="preserve">2.5 </w:t>
      </w:r>
      <w:r w:rsidR="00AD46A9" w:rsidRPr="002B3D8A">
        <w:rPr>
          <w:rFonts w:ascii="Arial" w:hAnsi="Arial" w:cs="Arial"/>
          <w:b/>
          <w:color w:val="000000" w:themeColor="text1"/>
          <w:sz w:val="24"/>
          <w:szCs w:val="24"/>
        </w:rPr>
        <w:t>Results</w:t>
      </w:r>
      <w:bookmarkEnd w:id="53"/>
      <w:r w:rsidR="00BA7C97" w:rsidRPr="002B3D8A">
        <w:rPr>
          <w:rFonts w:ascii="Arial" w:hAnsi="Arial" w:cs="Arial"/>
          <w:b/>
          <w:color w:val="000000" w:themeColor="text1"/>
          <w:sz w:val="24"/>
          <w:szCs w:val="24"/>
        </w:rPr>
        <w:t xml:space="preserve"> </w:t>
      </w:r>
    </w:p>
    <w:p w14:paraId="3AC945B9" w14:textId="77777777" w:rsidR="00F850EC" w:rsidRPr="002B3D8A" w:rsidRDefault="002033AB" w:rsidP="006E49E2">
      <w:pPr>
        <w:spacing w:line="360" w:lineRule="auto"/>
        <w:rPr>
          <w:rFonts w:ascii="Arial" w:hAnsi="Arial" w:cs="Arial"/>
          <w:b/>
          <w:color w:val="000000" w:themeColor="text1"/>
          <w:sz w:val="24"/>
          <w:szCs w:val="24"/>
        </w:rPr>
      </w:pPr>
      <w:r w:rsidRPr="002B3D8A">
        <w:rPr>
          <w:rFonts w:ascii="Arial" w:hAnsi="Arial" w:cs="Arial"/>
          <w:b/>
          <w:color w:val="000000" w:themeColor="text1"/>
          <w:sz w:val="24"/>
          <w:szCs w:val="24"/>
        </w:rPr>
        <w:t xml:space="preserve">Experiment 1: </w:t>
      </w:r>
    </w:p>
    <w:p w14:paraId="34DB2D83" w14:textId="7E1A8C62" w:rsidR="008B3F6B" w:rsidRPr="002B3D8A" w:rsidRDefault="00A238B1" w:rsidP="006E49E2">
      <w:pPr>
        <w:pStyle w:val="Heading3"/>
        <w:spacing w:line="360" w:lineRule="auto"/>
        <w:rPr>
          <w:rFonts w:ascii="Arial" w:hAnsi="Arial" w:cs="Arial"/>
          <w:b/>
          <w:color w:val="000000" w:themeColor="text1"/>
          <w:sz w:val="24"/>
          <w:szCs w:val="24"/>
        </w:rPr>
      </w:pPr>
      <w:bookmarkStart w:id="54" w:name="_Toc110341298"/>
      <w:r w:rsidRPr="002B3D8A">
        <w:rPr>
          <w:rFonts w:ascii="Arial" w:hAnsi="Arial" w:cs="Arial"/>
          <w:b/>
          <w:color w:val="000000" w:themeColor="text1"/>
          <w:sz w:val="24"/>
          <w:szCs w:val="24"/>
        </w:rPr>
        <w:t xml:space="preserve">2.5.1 </w:t>
      </w:r>
      <w:r w:rsidR="003B3626" w:rsidRPr="002B3D8A">
        <w:rPr>
          <w:rFonts w:ascii="Arial" w:hAnsi="Arial" w:cs="Arial"/>
          <w:b/>
          <w:color w:val="000000" w:themeColor="text1"/>
          <w:sz w:val="24"/>
          <w:szCs w:val="24"/>
        </w:rPr>
        <w:t>Selection of extraction method</w:t>
      </w:r>
      <w:bookmarkEnd w:id="54"/>
      <w:r w:rsidR="003B3626" w:rsidRPr="002B3D8A">
        <w:rPr>
          <w:rFonts w:ascii="Arial" w:hAnsi="Arial" w:cs="Arial"/>
          <w:b/>
          <w:color w:val="000000" w:themeColor="text1"/>
          <w:sz w:val="24"/>
          <w:szCs w:val="24"/>
        </w:rPr>
        <w:t xml:space="preserve"> </w:t>
      </w:r>
    </w:p>
    <w:p w14:paraId="621F87CD" w14:textId="1C3897E8" w:rsidR="00AD46A9" w:rsidRPr="002B3D8A" w:rsidRDefault="00BF1B6A" w:rsidP="006E49E2">
      <w:pPr>
        <w:spacing w:line="360" w:lineRule="auto"/>
        <w:jc w:val="both"/>
        <w:rPr>
          <w:rFonts w:ascii="Arial" w:hAnsi="Arial" w:cs="Arial"/>
          <w:color w:val="000000" w:themeColor="text1"/>
          <w:sz w:val="24"/>
          <w:szCs w:val="24"/>
        </w:rPr>
      </w:pPr>
      <w:r w:rsidRPr="002B3D8A">
        <w:rPr>
          <w:rFonts w:ascii="Arial" w:hAnsi="Arial" w:cs="Arial"/>
          <w:color w:val="000000" w:themeColor="text1"/>
          <w:sz w:val="24"/>
          <w:szCs w:val="24"/>
        </w:rPr>
        <w:t>The</w:t>
      </w:r>
      <w:r w:rsidR="00125974">
        <w:rPr>
          <w:rFonts w:ascii="Arial" w:hAnsi="Arial" w:cs="Arial"/>
          <w:color w:val="000000" w:themeColor="text1"/>
          <w:sz w:val="24"/>
          <w:szCs w:val="24"/>
        </w:rPr>
        <w:t xml:space="preserve"> first</w:t>
      </w:r>
      <w:r w:rsidRPr="002B3D8A">
        <w:rPr>
          <w:rFonts w:ascii="Arial" w:hAnsi="Arial" w:cs="Arial"/>
          <w:color w:val="000000" w:themeColor="text1"/>
          <w:sz w:val="24"/>
          <w:szCs w:val="24"/>
        </w:rPr>
        <w:t xml:space="preserve"> objective was to select an extraction fluid </w:t>
      </w:r>
      <w:r w:rsidR="00125974">
        <w:rPr>
          <w:rFonts w:ascii="Arial" w:hAnsi="Arial" w:cs="Arial"/>
          <w:color w:val="000000" w:themeColor="text1"/>
          <w:sz w:val="24"/>
          <w:szCs w:val="24"/>
        </w:rPr>
        <w:t xml:space="preserve">in the process of centrifugal </w:t>
      </w:r>
      <w:proofErr w:type="spellStart"/>
      <w:proofErr w:type="gramStart"/>
      <w:r w:rsidR="00125974">
        <w:rPr>
          <w:rFonts w:ascii="Arial" w:hAnsi="Arial" w:cs="Arial"/>
          <w:color w:val="000000" w:themeColor="text1"/>
          <w:sz w:val="24"/>
          <w:szCs w:val="24"/>
        </w:rPr>
        <w:t>floatation,</w:t>
      </w:r>
      <w:r w:rsidRPr="002B3D8A">
        <w:rPr>
          <w:rFonts w:ascii="Arial" w:hAnsi="Arial" w:cs="Arial"/>
          <w:color w:val="000000" w:themeColor="text1"/>
          <w:sz w:val="24"/>
          <w:szCs w:val="24"/>
        </w:rPr>
        <w:t>that</w:t>
      </w:r>
      <w:proofErr w:type="spellEnd"/>
      <w:proofErr w:type="gramEnd"/>
      <w:r w:rsidRPr="002B3D8A">
        <w:rPr>
          <w:rFonts w:ascii="Arial" w:hAnsi="Arial" w:cs="Arial"/>
          <w:color w:val="000000" w:themeColor="text1"/>
          <w:sz w:val="24"/>
          <w:szCs w:val="24"/>
        </w:rPr>
        <w:t xml:space="preserve"> maintained the integrity of the nematode for ease of identification and </w:t>
      </w:r>
      <w:r w:rsidR="00F850EC" w:rsidRPr="002B3D8A">
        <w:rPr>
          <w:rFonts w:ascii="Arial" w:hAnsi="Arial" w:cs="Arial"/>
          <w:color w:val="000000" w:themeColor="text1"/>
          <w:sz w:val="24"/>
          <w:szCs w:val="24"/>
        </w:rPr>
        <w:t xml:space="preserve">quantification. </w:t>
      </w:r>
      <w:r w:rsidR="00F449CA">
        <w:rPr>
          <w:rFonts w:ascii="Arial" w:hAnsi="Arial" w:cs="Arial"/>
          <w:color w:val="000000" w:themeColor="text1"/>
          <w:sz w:val="24"/>
          <w:szCs w:val="24"/>
        </w:rPr>
        <w:t>There were no significant differences</w:t>
      </w:r>
      <w:r w:rsidR="00795733" w:rsidRPr="002B3D8A">
        <w:rPr>
          <w:rFonts w:ascii="Arial" w:hAnsi="Arial" w:cs="Arial"/>
          <w:color w:val="000000" w:themeColor="text1"/>
          <w:sz w:val="24"/>
          <w:szCs w:val="24"/>
        </w:rPr>
        <w:t xml:space="preserve"> </w:t>
      </w:r>
      <w:r w:rsidR="00F449CA">
        <w:rPr>
          <w:rFonts w:ascii="Arial" w:hAnsi="Arial" w:cs="Arial"/>
          <w:color w:val="000000" w:themeColor="text1"/>
          <w:sz w:val="24"/>
          <w:szCs w:val="24"/>
        </w:rPr>
        <w:t>(</w:t>
      </w:r>
      <w:r w:rsidR="00F449CA" w:rsidRPr="002B3D8A">
        <w:rPr>
          <w:rFonts w:ascii="Arial" w:hAnsi="Arial" w:cs="Arial"/>
          <w:color w:val="000000" w:themeColor="text1"/>
          <w:sz w:val="24"/>
          <w:szCs w:val="24"/>
        </w:rPr>
        <w:t>P&gt;0.05</w:t>
      </w:r>
      <w:r w:rsidR="00F449CA">
        <w:rPr>
          <w:rFonts w:ascii="Arial" w:hAnsi="Arial" w:cs="Arial"/>
          <w:color w:val="000000" w:themeColor="text1"/>
          <w:sz w:val="24"/>
          <w:szCs w:val="24"/>
        </w:rPr>
        <w:t xml:space="preserve">) between </w:t>
      </w:r>
      <w:r w:rsidR="00AB1DD7" w:rsidRPr="002B3D8A">
        <w:rPr>
          <w:rFonts w:ascii="Arial" w:hAnsi="Arial" w:cs="Arial"/>
          <w:color w:val="000000" w:themeColor="text1"/>
          <w:sz w:val="24"/>
          <w:szCs w:val="24"/>
        </w:rPr>
        <w:t xml:space="preserve">nematode densities extracted </w:t>
      </w:r>
      <w:r w:rsidRPr="002B3D8A">
        <w:rPr>
          <w:rFonts w:ascii="Arial" w:hAnsi="Arial" w:cs="Arial"/>
          <w:color w:val="000000" w:themeColor="text1"/>
          <w:sz w:val="24"/>
          <w:szCs w:val="24"/>
        </w:rPr>
        <w:t xml:space="preserve">using </w:t>
      </w:r>
      <w:r w:rsidR="00795733" w:rsidRPr="002B3D8A">
        <w:rPr>
          <w:rFonts w:ascii="Arial" w:hAnsi="Arial" w:cs="Arial"/>
          <w:color w:val="000000" w:themeColor="text1"/>
          <w:sz w:val="24"/>
          <w:szCs w:val="24"/>
        </w:rPr>
        <w:t>the two fluids</w:t>
      </w:r>
      <w:r w:rsidR="00125974">
        <w:rPr>
          <w:rFonts w:ascii="Arial" w:hAnsi="Arial" w:cs="Arial"/>
          <w:color w:val="000000" w:themeColor="text1"/>
          <w:sz w:val="24"/>
          <w:szCs w:val="24"/>
        </w:rPr>
        <w:t xml:space="preserve"> </w:t>
      </w:r>
      <w:proofErr w:type="spellStart"/>
      <w:proofErr w:type="gramStart"/>
      <w:r w:rsidR="00125974">
        <w:rPr>
          <w:rFonts w:ascii="Arial" w:hAnsi="Arial" w:cs="Arial"/>
          <w:color w:val="000000" w:themeColor="text1"/>
          <w:sz w:val="24"/>
          <w:szCs w:val="24"/>
        </w:rPr>
        <w:t>i.e</w:t>
      </w:r>
      <w:proofErr w:type="spellEnd"/>
      <w:r w:rsidR="00125974">
        <w:rPr>
          <w:rFonts w:ascii="Arial" w:hAnsi="Arial" w:cs="Arial"/>
          <w:color w:val="000000" w:themeColor="text1"/>
          <w:sz w:val="24"/>
          <w:szCs w:val="24"/>
        </w:rPr>
        <w:t xml:space="preserve"> </w:t>
      </w:r>
      <w:r w:rsidR="00F850EC" w:rsidRPr="002B3D8A">
        <w:rPr>
          <w:rFonts w:ascii="Arial" w:hAnsi="Arial" w:cs="Arial"/>
          <w:color w:val="000000" w:themeColor="text1"/>
          <w:sz w:val="24"/>
          <w:szCs w:val="24"/>
        </w:rPr>
        <w:t>.</w:t>
      </w:r>
      <w:proofErr w:type="gramEnd"/>
      <w:r w:rsidR="00F850EC" w:rsidRPr="002B3D8A">
        <w:rPr>
          <w:rFonts w:ascii="Arial" w:hAnsi="Arial" w:cs="Arial"/>
          <w:color w:val="000000" w:themeColor="text1"/>
          <w:sz w:val="24"/>
          <w:szCs w:val="24"/>
        </w:rPr>
        <w:t xml:space="preserve"> </w:t>
      </w:r>
      <w:r w:rsidR="00F449CA">
        <w:rPr>
          <w:rFonts w:ascii="Arial" w:hAnsi="Arial" w:cs="Arial"/>
          <w:color w:val="000000" w:themeColor="text1"/>
          <w:sz w:val="24"/>
          <w:szCs w:val="24"/>
        </w:rPr>
        <w:t>Both</w:t>
      </w:r>
      <w:r w:rsidRPr="002B3D8A">
        <w:rPr>
          <w:rFonts w:ascii="Arial" w:hAnsi="Arial" w:cs="Arial"/>
          <w:color w:val="000000" w:themeColor="text1"/>
          <w:sz w:val="24"/>
          <w:szCs w:val="24"/>
        </w:rPr>
        <w:t xml:space="preserve"> fluids equally maintained the integrity of the nematode for accurate identification and quantification</w:t>
      </w:r>
      <w:r w:rsidR="00516762" w:rsidRPr="002B3D8A">
        <w:rPr>
          <w:rFonts w:ascii="Arial" w:hAnsi="Arial" w:cs="Arial"/>
          <w:color w:val="000000" w:themeColor="text1"/>
          <w:sz w:val="24"/>
          <w:szCs w:val="24"/>
        </w:rPr>
        <w:t xml:space="preserve"> (Figure</w:t>
      </w:r>
      <w:r w:rsidR="008B3F6B" w:rsidRPr="002B3D8A">
        <w:rPr>
          <w:rFonts w:ascii="Arial" w:hAnsi="Arial" w:cs="Arial"/>
          <w:color w:val="000000" w:themeColor="text1"/>
          <w:sz w:val="24"/>
          <w:szCs w:val="24"/>
        </w:rPr>
        <w:t xml:space="preserve"> </w:t>
      </w:r>
      <w:r w:rsidR="00921C87">
        <w:rPr>
          <w:rFonts w:ascii="Arial" w:hAnsi="Arial" w:cs="Arial"/>
          <w:color w:val="000000" w:themeColor="text1"/>
          <w:sz w:val="24"/>
          <w:szCs w:val="24"/>
        </w:rPr>
        <w:t>1</w:t>
      </w:r>
      <w:r w:rsidR="00125974">
        <w:rPr>
          <w:rFonts w:ascii="Arial" w:hAnsi="Arial" w:cs="Arial"/>
          <w:color w:val="000000" w:themeColor="text1"/>
          <w:sz w:val="24"/>
          <w:szCs w:val="24"/>
        </w:rPr>
        <w:t>5</w:t>
      </w:r>
      <w:r w:rsidR="008B3F6B" w:rsidRPr="002B3D8A">
        <w:rPr>
          <w:rFonts w:ascii="Arial" w:hAnsi="Arial" w:cs="Arial"/>
          <w:color w:val="000000" w:themeColor="text1"/>
          <w:sz w:val="24"/>
          <w:szCs w:val="24"/>
        </w:rPr>
        <w:t>)</w:t>
      </w:r>
      <w:r w:rsidR="00F449CA">
        <w:rPr>
          <w:rFonts w:ascii="Arial" w:hAnsi="Arial" w:cs="Arial"/>
          <w:color w:val="000000" w:themeColor="text1"/>
          <w:sz w:val="24"/>
          <w:szCs w:val="24"/>
        </w:rPr>
        <w:t>.</w:t>
      </w:r>
      <w:r w:rsidR="00795733" w:rsidRPr="002B3D8A">
        <w:rPr>
          <w:rFonts w:ascii="Arial" w:hAnsi="Arial" w:cs="Arial"/>
          <w:color w:val="000000" w:themeColor="text1"/>
          <w:sz w:val="24"/>
          <w:szCs w:val="24"/>
        </w:rPr>
        <w:t xml:space="preserve"> </w:t>
      </w:r>
    </w:p>
    <w:p w14:paraId="7ED37766" w14:textId="3DE758BB" w:rsidR="00AD46A9" w:rsidRPr="002B3D8A" w:rsidRDefault="002253AF" w:rsidP="00311149">
      <w:pPr>
        <w:spacing w:line="360" w:lineRule="auto"/>
        <w:rPr>
          <w:rFonts w:ascii="Arial" w:hAnsi="Arial" w:cs="Arial"/>
          <w:b/>
          <w:color w:val="000000" w:themeColor="text1"/>
          <w:sz w:val="24"/>
          <w:szCs w:val="24"/>
        </w:rPr>
      </w:pPr>
      <w:r w:rsidRPr="002B3D8A">
        <w:rPr>
          <w:rFonts w:ascii="Arial" w:hAnsi="Arial" w:cs="Arial"/>
          <w:noProof/>
          <w:color w:val="000000" w:themeColor="text1"/>
          <w:sz w:val="24"/>
          <w:szCs w:val="24"/>
        </w:rPr>
        <w:drawing>
          <wp:inline distT="0" distB="0" distL="0" distR="0" wp14:anchorId="674AB8C6" wp14:editId="704E2EDB">
            <wp:extent cx="4366517" cy="3893905"/>
            <wp:effectExtent l="0" t="0" r="15240" b="11430"/>
            <wp:docPr id="74" name="Chart 74">
              <a:extLst xmlns:a="http://schemas.openxmlformats.org/drawingml/2006/main">
                <a:ext uri="{FF2B5EF4-FFF2-40B4-BE49-F238E27FC236}">
                  <a16:creationId xmlns:a16="http://schemas.microsoft.com/office/drawing/2014/main" id="{1BA30872-96CE-41F3-8564-D8D119F642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F5EF00" w14:textId="1378DA06" w:rsidR="00162A5E" w:rsidRPr="00502C77" w:rsidRDefault="008B3637" w:rsidP="00C12249">
      <w:pPr>
        <w:rPr>
          <w:rFonts w:ascii="Arial" w:hAnsi="Arial" w:cs="Arial"/>
          <w:b/>
          <w:color w:val="000000" w:themeColor="text1"/>
        </w:rPr>
      </w:pPr>
      <w:bookmarkStart w:id="55" w:name="_Toc110342114"/>
      <w:r w:rsidRPr="00502C77">
        <w:rPr>
          <w:rFonts w:ascii="Arial" w:hAnsi="Arial" w:cs="Arial"/>
          <w:color w:val="000000" w:themeColor="text1"/>
        </w:rPr>
        <w:t xml:space="preserve">Figure </w:t>
      </w:r>
      <w:r w:rsidRPr="00502C77">
        <w:rPr>
          <w:rFonts w:ascii="Arial" w:hAnsi="Arial" w:cs="Arial"/>
          <w:color w:val="000000" w:themeColor="text1"/>
        </w:rPr>
        <w:fldChar w:fldCharType="begin"/>
      </w:r>
      <w:r w:rsidRPr="00502C77">
        <w:rPr>
          <w:rFonts w:ascii="Arial" w:hAnsi="Arial" w:cs="Arial"/>
          <w:color w:val="000000" w:themeColor="text1"/>
        </w:rPr>
        <w:instrText xml:space="preserve"> SEQ Figure \* ARABIC </w:instrText>
      </w:r>
      <w:r w:rsidRPr="00502C77">
        <w:rPr>
          <w:rFonts w:ascii="Arial" w:hAnsi="Arial" w:cs="Arial"/>
          <w:color w:val="000000" w:themeColor="text1"/>
        </w:rPr>
        <w:fldChar w:fldCharType="separate"/>
      </w:r>
      <w:r w:rsidR="00C10D2B">
        <w:rPr>
          <w:rFonts w:ascii="Arial" w:hAnsi="Arial" w:cs="Arial"/>
          <w:noProof/>
          <w:color w:val="000000" w:themeColor="text1"/>
        </w:rPr>
        <w:t>11</w:t>
      </w:r>
      <w:r w:rsidRPr="00502C77">
        <w:rPr>
          <w:rFonts w:ascii="Arial" w:hAnsi="Arial" w:cs="Arial"/>
          <w:color w:val="000000" w:themeColor="text1"/>
        </w:rPr>
        <w:fldChar w:fldCharType="end"/>
      </w:r>
      <w:r w:rsidR="008B3F6B" w:rsidRPr="00502C77">
        <w:rPr>
          <w:rFonts w:ascii="Arial" w:hAnsi="Arial" w:cs="Arial"/>
          <w:color w:val="000000" w:themeColor="text1"/>
        </w:rPr>
        <w:t>: Average densities (±SE) of S</w:t>
      </w:r>
      <w:r w:rsidR="009A2737">
        <w:rPr>
          <w:rFonts w:ascii="Arial" w:hAnsi="Arial" w:cs="Arial"/>
          <w:color w:val="000000" w:themeColor="text1"/>
        </w:rPr>
        <w:t>tubby toot nematodes (S</w:t>
      </w:r>
      <w:r w:rsidR="008B3F6B" w:rsidRPr="00502C77">
        <w:rPr>
          <w:rFonts w:ascii="Arial" w:hAnsi="Arial" w:cs="Arial"/>
          <w:color w:val="000000" w:themeColor="text1"/>
        </w:rPr>
        <w:t>RN</w:t>
      </w:r>
      <w:r w:rsidR="009A2737">
        <w:rPr>
          <w:rFonts w:ascii="Arial" w:hAnsi="Arial" w:cs="Arial"/>
          <w:color w:val="000000" w:themeColor="text1"/>
        </w:rPr>
        <w:t xml:space="preserve">) </w:t>
      </w:r>
      <w:r w:rsidR="008B3F6B" w:rsidRPr="00502C77">
        <w:rPr>
          <w:rFonts w:ascii="Arial" w:hAnsi="Arial" w:cs="Arial"/>
          <w:color w:val="000000" w:themeColor="text1"/>
        </w:rPr>
        <w:t>in100g of soil from different samples, using MgSO</w:t>
      </w:r>
      <w:r w:rsidR="008B3F6B" w:rsidRPr="00502C77">
        <w:rPr>
          <w:rFonts w:ascii="Arial" w:hAnsi="Arial" w:cs="Arial"/>
          <w:color w:val="000000" w:themeColor="text1"/>
          <w:vertAlign w:val="subscript"/>
        </w:rPr>
        <w:t>4</w:t>
      </w:r>
      <w:r w:rsidR="008B3F6B" w:rsidRPr="00502C77">
        <w:rPr>
          <w:rFonts w:ascii="Arial" w:hAnsi="Arial" w:cs="Arial"/>
          <w:color w:val="000000" w:themeColor="text1"/>
        </w:rPr>
        <w:t>.7H</w:t>
      </w:r>
      <w:r w:rsidR="008B3F6B" w:rsidRPr="00502C77">
        <w:rPr>
          <w:rFonts w:ascii="Arial" w:hAnsi="Arial" w:cs="Arial"/>
          <w:color w:val="000000" w:themeColor="text1"/>
          <w:vertAlign w:val="subscript"/>
        </w:rPr>
        <w:t>2</w:t>
      </w:r>
      <w:r w:rsidR="008B3F6B" w:rsidRPr="00502C77">
        <w:rPr>
          <w:rFonts w:ascii="Arial" w:hAnsi="Arial" w:cs="Arial"/>
          <w:color w:val="000000" w:themeColor="text1"/>
        </w:rPr>
        <w:t>O and Ludox. Vertical bars show the standard error of the mean (</w:t>
      </w:r>
      <w:r w:rsidR="00C12249" w:rsidRPr="00502C77">
        <w:rPr>
          <w:rFonts w:ascii="Arial" w:hAnsi="Arial" w:cs="Arial"/>
          <w:iCs/>
          <w:color w:val="000000" w:themeColor="text1"/>
        </w:rPr>
        <w:t>n</w:t>
      </w:r>
      <w:r w:rsidR="00C12249" w:rsidRPr="00502C77">
        <w:rPr>
          <w:rFonts w:ascii="Arial" w:hAnsi="Arial" w:cs="Arial"/>
          <w:color w:val="000000" w:themeColor="text1"/>
        </w:rPr>
        <w:t> =</w:t>
      </w:r>
      <w:r w:rsidR="008B3F6B" w:rsidRPr="00502C77">
        <w:rPr>
          <w:rFonts w:ascii="Arial" w:hAnsi="Arial" w:cs="Arial"/>
          <w:color w:val="000000" w:themeColor="text1"/>
        </w:rPr>
        <w:t> 3). *ns = not significantly different (</w:t>
      </w:r>
      <w:r w:rsidR="000550C2" w:rsidRPr="00502C77">
        <w:rPr>
          <w:rFonts w:ascii="Arial" w:hAnsi="Arial" w:cs="Arial"/>
          <w:color w:val="000000" w:themeColor="text1"/>
        </w:rPr>
        <w:t>P</w:t>
      </w:r>
      <w:r w:rsidR="008B3F6B" w:rsidRPr="00502C77">
        <w:rPr>
          <w:rFonts w:ascii="Arial" w:hAnsi="Arial" w:cs="Arial"/>
          <w:color w:val="000000" w:themeColor="text1"/>
        </w:rPr>
        <w:t>&gt; 0.05).</w:t>
      </w:r>
      <w:bookmarkEnd w:id="55"/>
    </w:p>
    <w:p w14:paraId="36C650DE" w14:textId="1FB0F183" w:rsidR="00820C5B" w:rsidRPr="002B3D8A" w:rsidRDefault="00BF1B6A" w:rsidP="00311149">
      <w:pPr>
        <w:spacing w:line="360" w:lineRule="auto"/>
        <w:jc w:val="both"/>
        <w:rPr>
          <w:rFonts w:ascii="Arial" w:hAnsi="Arial" w:cs="Arial"/>
          <w:color w:val="000000" w:themeColor="text1"/>
          <w:sz w:val="24"/>
          <w:szCs w:val="24"/>
        </w:rPr>
      </w:pPr>
      <w:r w:rsidRPr="002B3D8A">
        <w:rPr>
          <w:rFonts w:ascii="Arial" w:hAnsi="Arial" w:cs="Arial"/>
          <w:color w:val="000000" w:themeColor="text1"/>
          <w:sz w:val="24"/>
          <w:szCs w:val="24"/>
        </w:rPr>
        <w:t xml:space="preserve">Results </w:t>
      </w:r>
      <w:r w:rsidR="000550C2" w:rsidRPr="002B3D8A">
        <w:rPr>
          <w:rFonts w:ascii="Arial" w:hAnsi="Arial" w:cs="Arial"/>
          <w:color w:val="000000" w:themeColor="text1"/>
          <w:sz w:val="24"/>
          <w:szCs w:val="24"/>
        </w:rPr>
        <w:t xml:space="preserve">indicated that SRN densities extracted using </w:t>
      </w:r>
      <w:r w:rsidRPr="002B3D8A">
        <w:rPr>
          <w:rFonts w:ascii="Arial" w:hAnsi="Arial" w:cs="Arial"/>
          <w:color w:val="000000" w:themeColor="text1"/>
          <w:sz w:val="24"/>
          <w:szCs w:val="24"/>
        </w:rPr>
        <w:t xml:space="preserve">centrifugal floatation method and the </w:t>
      </w:r>
      <w:r w:rsidR="000550C2" w:rsidRPr="002B3D8A">
        <w:rPr>
          <w:rFonts w:ascii="Arial" w:hAnsi="Arial" w:cs="Arial"/>
          <w:color w:val="000000" w:themeColor="text1"/>
          <w:sz w:val="24"/>
          <w:szCs w:val="24"/>
        </w:rPr>
        <w:t>two-flask</w:t>
      </w:r>
      <w:r w:rsidRPr="002B3D8A">
        <w:rPr>
          <w:rFonts w:ascii="Arial" w:hAnsi="Arial" w:cs="Arial"/>
          <w:color w:val="000000" w:themeColor="text1"/>
          <w:sz w:val="24"/>
          <w:szCs w:val="24"/>
        </w:rPr>
        <w:t xml:space="preserve"> method </w:t>
      </w:r>
      <w:r w:rsidR="000550C2" w:rsidRPr="002B3D8A">
        <w:rPr>
          <w:rFonts w:ascii="Arial" w:hAnsi="Arial" w:cs="Arial"/>
          <w:color w:val="000000" w:themeColor="text1"/>
          <w:sz w:val="24"/>
          <w:szCs w:val="24"/>
        </w:rPr>
        <w:t xml:space="preserve">were </w:t>
      </w:r>
      <w:r w:rsidRPr="002B3D8A">
        <w:rPr>
          <w:rFonts w:ascii="Arial" w:hAnsi="Arial" w:cs="Arial"/>
          <w:color w:val="000000" w:themeColor="text1"/>
          <w:sz w:val="24"/>
          <w:szCs w:val="24"/>
        </w:rPr>
        <w:t>no</w:t>
      </w:r>
      <w:r w:rsidR="000550C2" w:rsidRPr="002B3D8A">
        <w:rPr>
          <w:rFonts w:ascii="Arial" w:hAnsi="Arial" w:cs="Arial"/>
          <w:color w:val="000000" w:themeColor="text1"/>
          <w:sz w:val="24"/>
          <w:szCs w:val="24"/>
        </w:rPr>
        <w:t>t</w:t>
      </w:r>
      <w:r w:rsidR="00820C5B" w:rsidRPr="002B3D8A">
        <w:rPr>
          <w:rFonts w:ascii="Arial" w:hAnsi="Arial" w:cs="Arial"/>
          <w:color w:val="000000" w:themeColor="text1"/>
          <w:sz w:val="24"/>
          <w:szCs w:val="24"/>
        </w:rPr>
        <w:t xml:space="preserve"> significant</w:t>
      </w:r>
      <w:r w:rsidR="000550C2" w:rsidRPr="002B3D8A">
        <w:rPr>
          <w:rFonts w:ascii="Arial" w:hAnsi="Arial" w:cs="Arial"/>
          <w:color w:val="000000" w:themeColor="text1"/>
          <w:sz w:val="24"/>
          <w:szCs w:val="24"/>
        </w:rPr>
        <w:t>ly</w:t>
      </w:r>
      <w:r w:rsidR="00820C5B" w:rsidRPr="002B3D8A">
        <w:rPr>
          <w:rFonts w:ascii="Arial" w:hAnsi="Arial" w:cs="Arial"/>
          <w:color w:val="000000" w:themeColor="text1"/>
          <w:sz w:val="24"/>
          <w:szCs w:val="24"/>
        </w:rPr>
        <w:t xml:space="preserve"> </w:t>
      </w:r>
      <w:r w:rsidR="000550C2" w:rsidRPr="002B3D8A">
        <w:rPr>
          <w:rFonts w:ascii="Arial" w:hAnsi="Arial" w:cs="Arial"/>
          <w:color w:val="000000" w:themeColor="text1"/>
          <w:sz w:val="24"/>
          <w:szCs w:val="24"/>
        </w:rPr>
        <w:t>different (</w:t>
      </w:r>
      <w:r w:rsidR="00820C5B" w:rsidRPr="002B3D8A">
        <w:rPr>
          <w:rFonts w:ascii="Arial" w:hAnsi="Arial" w:cs="Arial"/>
          <w:color w:val="000000" w:themeColor="text1"/>
          <w:sz w:val="24"/>
          <w:szCs w:val="24"/>
        </w:rPr>
        <w:t>P&gt;0.05</w:t>
      </w:r>
      <w:r w:rsidR="000550C2" w:rsidRPr="002B3D8A">
        <w:rPr>
          <w:rFonts w:ascii="Arial" w:hAnsi="Arial" w:cs="Arial"/>
          <w:color w:val="000000" w:themeColor="text1"/>
          <w:sz w:val="24"/>
          <w:szCs w:val="24"/>
        </w:rPr>
        <w:t>)</w:t>
      </w:r>
      <w:r w:rsidR="008B3F6B" w:rsidRPr="002B3D8A">
        <w:rPr>
          <w:rFonts w:ascii="Arial" w:hAnsi="Arial" w:cs="Arial"/>
          <w:color w:val="000000" w:themeColor="text1"/>
          <w:sz w:val="24"/>
          <w:szCs w:val="24"/>
        </w:rPr>
        <w:t xml:space="preserve"> (Figure </w:t>
      </w:r>
      <w:r w:rsidR="00921C87" w:rsidRPr="002B3D8A">
        <w:rPr>
          <w:rFonts w:ascii="Arial" w:hAnsi="Arial" w:cs="Arial"/>
          <w:color w:val="000000" w:themeColor="text1"/>
          <w:sz w:val="24"/>
          <w:szCs w:val="24"/>
        </w:rPr>
        <w:t>1</w:t>
      </w:r>
      <w:r w:rsidR="00125974">
        <w:rPr>
          <w:rFonts w:ascii="Arial" w:hAnsi="Arial" w:cs="Arial"/>
          <w:color w:val="000000" w:themeColor="text1"/>
          <w:sz w:val="24"/>
          <w:szCs w:val="24"/>
        </w:rPr>
        <w:t>6</w:t>
      </w:r>
      <w:r w:rsidR="008B3F6B" w:rsidRPr="002B3D8A">
        <w:rPr>
          <w:rFonts w:ascii="Arial" w:hAnsi="Arial" w:cs="Arial"/>
          <w:color w:val="000000" w:themeColor="text1"/>
          <w:sz w:val="24"/>
          <w:szCs w:val="24"/>
        </w:rPr>
        <w:t>)</w:t>
      </w:r>
      <w:r w:rsidR="00820C5B" w:rsidRPr="002B3D8A">
        <w:rPr>
          <w:rFonts w:ascii="Arial" w:hAnsi="Arial" w:cs="Arial"/>
          <w:color w:val="000000" w:themeColor="text1"/>
          <w:sz w:val="24"/>
          <w:szCs w:val="24"/>
        </w:rPr>
        <w:t>.</w:t>
      </w:r>
      <w:r w:rsidR="00AA501C">
        <w:rPr>
          <w:rFonts w:ascii="Arial" w:hAnsi="Arial" w:cs="Arial"/>
          <w:color w:val="000000" w:themeColor="text1"/>
          <w:sz w:val="24"/>
          <w:szCs w:val="24"/>
        </w:rPr>
        <w:t xml:space="preserve"> </w:t>
      </w:r>
      <w:r w:rsidR="00820C5B" w:rsidRPr="002B3D8A">
        <w:rPr>
          <w:rFonts w:ascii="Arial" w:hAnsi="Arial" w:cs="Arial"/>
          <w:color w:val="000000" w:themeColor="text1"/>
          <w:sz w:val="24"/>
          <w:szCs w:val="24"/>
        </w:rPr>
        <w:t>Centrifugal floatation was selected as the extraction method for the subsequent experiments as it required less time to extract one sample (</w:t>
      </w:r>
      <w:r w:rsidR="00F449CA">
        <w:rPr>
          <w:rFonts w:ascii="Arial" w:hAnsi="Arial" w:cs="Arial"/>
          <w:color w:val="000000" w:themeColor="text1"/>
          <w:sz w:val="24"/>
          <w:szCs w:val="24"/>
        </w:rPr>
        <w:t xml:space="preserve">c. </w:t>
      </w:r>
      <w:r w:rsidR="007103D6" w:rsidRPr="002B3D8A">
        <w:rPr>
          <w:rFonts w:ascii="Arial" w:hAnsi="Arial" w:cs="Arial"/>
          <w:color w:val="000000" w:themeColor="text1"/>
          <w:sz w:val="24"/>
          <w:szCs w:val="24"/>
        </w:rPr>
        <w:t>5</w:t>
      </w:r>
      <w:r w:rsidR="00F449CA">
        <w:rPr>
          <w:rFonts w:ascii="Arial" w:hAnsi="Arial" w:cs="Arial"/>
          <w:color w:val="000000" w:themeColor="text1"/>
          <w:sz w:val="24"/>
          <w:szCs w:val="24"/>
        </w:rPr>
        <w:t xml:space="preserve"> </w:t>
      </w:r>
      <w:r w:rsidR="007103D6" w:rsidRPr="002B3D8A">
        <w:rPr>
          <w:rFonts w:ascii="Arial" w:hAnsi="Arial" w:cs="Arial"/>
          <w:color w:val="000000" w:themeColor="text1"/>
          <w:sz w:val="24"/>
          <w:szCs w:val="24"/>
        </w:rPr>
        <w:t>mins) compared to two flask method (</w:t>
      </w:r>
      <w:r w:rsidR="00F449CA">
        <w:rPr>
          <w:rFonts w:ascii="Arial" w:hAnsi="Arial" w:cs="Arial"/>
          <w:color w:val="000000" w:themeColor="text1"/>
          <w:sz w:val="24"/>
          <w:szCs w:val="24"/>
        </w:rPr>
        <w:t xml:space="preserve">c. </w:t>
      </w:r>
      <w:r w:rsidR="007103D6" w:rsidRPr="002B3D8A">
        <w:rPr>
          <w:rFonts w:ascii="Arial" w:hAnsi="Arial" w:cs="Arial"/>
          <w:color w:val="000000" w:themeColor="text1"/>
          <w:sz w:val="24"/>
          <w:szCs w:val="24"/>
        </w:rPr>
        <w:t>10 mins/sample).</w:t>
      </w:r>
    </w:p>
    <w:p w14:paraId="5EC71FBE" w14:textId="77777777" w:rsidR="00F850EC" w:rsidRPr="002B3D8A" w:rsidRDefault="00F850EC" w:rsidP="00F850EC">
      <w:pPr>
        <w:spacing w:line="360" w:lineRule="auto"/>
        <w:rPr>
          <w:rFonts w:ascii="Arial" w:hAnsi="Arial" w:cs="Arial"/>
          <w:b/>
          <w:color w:val="000000" w:themeColor="text1"/>
          <w:sz w:val="24"/>
          <w:szCs w:val="24"/>
        </w:rPr>
      </w:pPr>
    </w:p>
    <w:p w14:paraId="666ACA92" w14:textId="77777777" w:rsidR="00F850EC" w:rsidRPr="002B3D8A" w:rsidRDefault="00795733" w:rsidP="00F850EC">
      <w:pPr>
        <w:spacing w:line="360" w:lineRule="auto"/>
        <w:rPr>
          <w:rFonts w:ascii="Arial" w:hAnsi="Arial" w:cs="Arial"/>
          <w:color w:val="000000" w:themeColor="text1"/>
          <w:sz w:val="24"/>
          <w:szCs w:val="24"/>
        </w:rPr>
      </w:pPr>
      <w:r w:rsidRPr="002B3D8A">
        <w:rPr>
          <w:rFonts w:ascii="Arial" w:hAnsi="Arial" w:cs="Arial"/>
          <w:noProof/>
          <w:color w:val="000000" w:themeColor="text1"/>
          <w:sz w:val="24"/>
          <w:szCs w:val="24"/>
        </w:rPr>
        <w:lastRenderedPageBreak/>
        <w:drawing>
          <wp:inline distT="0" distB="0" distL="0" distR="0" wp14:anchorId="69FBAC95" wp14:editId="37CB56B4">
            <wp:extent cx="4438650" cy="4229100"/>
            <wp:effectExtent l="0" t="0" r="0" b="0"/>
            <wp:docPr id="78" name="Chart 78">
              <a:extLst xmlns:a="http://schemas.openxmlformats.org/drawingml/2006/main">
                <a:ext uri="{FF2B5EF4-FFF2-40B4-BE49-F238E27FC236}">
                  <a16:creationId xmlns:a16="http://schemas.microsoft.com/office/drawing/2014/main" id="{860A5F4A-C865-433A-B531-0606DFFC89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612E8FB" w14:textId="01A63926" w:rsidR="00516762" w:rsidRPr="00502C77" w:rsidRDefault="00516762" w:rsidP="00F850EC">
      <w:pPr>
        <w:spacing w:line="360" w:lineRule="auto"/>
        <w:rPr>
          <w:rFonts w:ascii="Arial" w:hAnsi="Arial" w:cs="Arial"/>
          <w:color w:val="000000" w:themeColor="text1"/>
        </w:rPr>
      </w:pPr>
      <w:bookmarkStart w:id="56" w:name="_Toc110342115"/>
      <w:r w:rsidRPr="00502C77">
        <w:rPr>
          <w:rFonts w:ascii="Arial" w:hAnsi="Arial" w:cs="Arial"/>
          <w:color w:val="000000" w:themeColor="text1"/>
        </w:rPr>
        <w:t xml:space="preserve">Figure </w:t>
      </w:r>
      <w:r w:rsidRPr="00502C77">
        <w:rPr>
          <w:rFonts w:ascii="Arial" w:hAnsi="Arial" w:cs="Arial"/>
          <w:color w:val="000000" w:themeColor="text1"/>
        </w:rPr>
        <w:fldChar w:fldCharType="begin"/>
      </w:r>
      <w:r w:rsidRPr="00502C77">
        <w:rPr>
          <w:rFonts w:ascii="Arial" w:hAnsi="Arial" w:cs="Arial"/>
          <w:color w:val="000000" w:themeColor="text1"/>
        </w:rPr>
        <w:instrText xml:space="preserve"> SEQ Figure \* ARABIC </w:instrText>
      </w:r>
      <w:r w:rsidRPr="00502C77">
        <w:rPr>
          <w:rFonts w:ascii="Arial" w:hAnsi="Arial" w:cs="Arial"/>
          <w:color w:val="000000" w:themeColor="text1"/>
        </w:rPr>
        <w:fldChar w:fldCharType="separate"/>
      </w:r>
      <w:r w:rsidR="00C10D2B">
        <w:rPr>
          <w:rFonts w:ascii="Arial" w:hAnsi="Arial" w:cs="Arial"/>
          <w:noProof/>
          <w:color w:val="000000" w:themeColor="text1"/>
        </w:rPr>
        <w:t>12</w:t>
      </w:r>
      <w:r w:rsidRPr="00502C77">
        <w:rPr>
          <w:rFonts w:ascii="Arial" w:hAnsi="Arial" w:cs="Arial"/>
          <w:color w:val="000000" w:themeColor="text1"/>
        </w:rPr>
        <w:fldChar w:fldCharType="end"/>
      </w:r>
      <w:r w:rsidR="000550C2" w:rsidRPr="00502C77">
        <w:rPr>
          <w:rFonts w:ascii="Arial" w:hAnsi="Arial" w:cs="Arial"/>
          <w:color w:val="000000" w:themeColor="text1"/>
        </w:rPr>
        <w:t xml:space="preserve">: </w:t>
      </w:r>
      <w:r w:rsidRPr="00502C77">
        <w:rPr>
          <w:rFonts w:ascii="Arial" w:hAnsi="Arial" w:cs="Arial"/>
          <w:color w:val="000000" w:themeColor="text1"/>
        </w:rPr>
        <w:t>Average densities (±SE) of SRN in100g of soil from different samples, using Centrifugal and two flask extraction methods</w:t>
      </w:r>
      <w:r w:rsidR="00F449CA">
        <w:rPr>
          <w:rFonts w:ascii="Arial" w:hAnsi="Arial" w:cs="Arial"/>
          <w:color w:val="000000" w:themeColor="text1"/>
        </w:rPr>
        <w:t>.</w:t>
      </w:r>
      <w:r w:rsidRPr="00502C77">
        <w:rPr>
          <w:rFonts w:ascii="Arial" w:hAnsi="Arial" w:cs="Arial"/>
          <w:color w:val="000000" w:themeColor="text1"/>
        </w:rPr>
        <w:t xml:space="preserve"> Vertical bars show the standard error of the mean (</w:t>
      </w:r>
      <w:r w:rsidRPr="00502C77">
        <w:rPr>
          <w:rFonts w:ascii="Arial" w:hAnsi="Arial" w:cs="Arial"/>
          <w:iCs/>
          <w:color w:val="000000" w:themeColor="text1"/>
        </w:rPr>
        <w:t>n</w:t>
      </w:r>
      <w:r w:rsidRPr="00502C77">
        <w:rPr>
          <w:rFonts w:ascii="Arial" w:hAnsi="Arial" w:cs="Arial"/>
          <w:color w:val="000000" w:themeColor="text1"/>
        </w:rPr>
        <w:t> = 3). *ns = not significantly different (p &gt; 0.05).</w:t>
      </w:r>
      <w:bookmarkEnd w:id="56"/>
    </w:p>
    <w:p w14:paraId="61895085" w14:textId="622E0009" w:rsidR="00F850EC" w:rsidRPr="002B3D8A" w:rsidRDefault="6AC1B2C3" w:rsidP="6AC1B2C3">
      <w:pPr>
        <w:pStyle w:val="Heading3"/>
        <w:spacing w:line="360" w:lineRule="auto"/>
        <w:rPr>
          <w:rFonts w:ascii="Arial" w:hAnsi="Arial" w:cs="Arial"/>
          <w:b/>
          <w:bCs/>
          <w:color w:val="000000" w:themeColor="text1"/>
          <w:sz w:val="24"/>
          <w:szCs w:val="24"/>
        </w:rPr>
      </w:pPr>
      <w:bookmarkStart w:id="57" w:name="_Toc110341299"/>
      <w:r w:rsidRPr="6AC1B2C3">
        <w:rPr>
          <w:rFonts w:ascii="Arial" w:hAnsi="Arial" w:cs="Arial"/>
          <w:b/>
          <w:bCs/>
          <w:color w:val="000000" w:themeColor="text1"/>
          <w:sz w:val="24"/>
          <w:szCs w:val="24"/>
        </w:rPr>
        <w:t>2.5.2 Experiment 2: Glasshouse host status experiment</w:t>
      </w:r>
      <w:bookmarkEnd w:id="57"/>
      <w:r w:rsidRPr="6AC1B2C3">
        <w:rPr>
          <w:rFonts w:ascii="Arial" w:hAnsi="Arial" w:cs="Arial"/>
          <w:b/>
          <w:bCs/>
          <w:color w:val="000000" w:themeColor="text1"/>
          <w:sz w:val="24"/>
          <w:szCs w:val="24"/>
        </w:rPr>
        <w:t xml:space="preserve"> </w:t>
      </w:r>
    </w:p>
    <w:p w14:paraId="68A2975D" w14:textId="6ED516A7" w:rsidR="00BD026E" w:rsidRPr="002B3D8A" w:rsidRDefault="00A238B1" w:rsidP="006E49E2">
      <w:pPr>
        <w:pStyle w:val="Heading4"/>
        <w:spacing w:line="360" w:lineRule="auto"/>
        <w:rPr>
          <w:rFonts w:ascii="Arial" w:hAnsi="Arial" w:cs="Arial"/>
          <w:b/>
          <w:color w:val="000000" w:themeColor="text1"/>
        </w:rPr>
      </w:pPr>
      <w:r w:rsidRPr="002B3D8A">
        <w:rPr>
          <w:rFonts w:ascii="Arial" w:hAnsi="Arial" w:cs="Arial"/>
          <w:b/>
          <w:color w:val="000000" w:themeColor="text1"/>
        </w:rPr>
        <w:t xml:space="preserve">2.5.2.1 </w:t>
      </w:r>
      <w:r w:rsidR="00BD026E" w:rsidRPr="002B3D8A">
        <w:rPr>
          <w:rFonts w:ascii="Arial" w:hAnsi="Arial" w:cs="Arial"/>
          <w:b/>
          <w:color w:val="000000" w:themeColor="text1"/>
        </w:rPr>
        <w:t>Source of inoculum site</w:t>
      </w:r>
    </w:p>
    <w:p w14:paraId="4095B0C3" w14:textId="78412C06" w:rsidR="00BD026E" w:rsidRPr="002B3D8A" w:rsidRDefault="00BD026E" w:rsidP="006E49E2">
      <w:pPr>
        <w:spacing w:line="360" w:lineRule="auto"/>
        <w:rPr>
          <w:rFonts w:ascii="Arial" w:hAnsi="Arial" w:cs="Arial"/>
          <w:color w:val="000000" w:themeColor="text1"/>
          <w:sz w:val="24"/>
          <w:szCs w:val="24"/>
        </w:rPr>
      </w:pPr>
      <w:r w:rsidRPr="002B3D8A">
        <w:rPr>
          <w:rFonts w:ascii="Arial" w:hAnsi="Arial" w:cs="Arial"/>
          <w:color w:val="000000" w:themeColor="text1"/>
          <w:sz w:val="24"/>
          <w:szCs w:val="24"/>
        </w:rPr>
        <w:t>The Crab</w:t>
      </w:r>
      <w:r w:rsidR="003B16BE">
        <w:rPr>
          <w:rFonts w:ascii="Arial" w:hAnsi="Arial" w:cs="Arial"/>
          <w:color w:val="000000" w:themeColor="text1"/>
          <w:sz w:val="24"/>
          <w:szCs w:val="24"/>
        </w:rPr>
        <w:t>tree Leasow</w:t>
      </w:r>
      <w:r w:rsidRPr="002B3D8A">
        <w:rPr>
          <w:rFonts w:ascii="Arial" w:hAnsi="Arial" w:cs="Arial"/>
          <w:color w:val="000000" w:themeColor="text1"/>
          <w:sz w:val="24"/>
          <w:szCs w:val="24"/>
        </w:rPr>
        <w:t xml:space="preserve"> L9 site was identified as the potential site for mass soil sampling of the soil for use in the pot experiment as it had significantly higher SRN densities compared to the other sites as shown in Figure </w:t>
      </w:r>
      <w:r w:rsidR="00921C87" w:rsidRPr="002B3D8A">
        <w:rPr>
          <w:rFonts w:ascii="Arial" w:hAnsi="Arial" w:cs="Arial"/>
          <w:color w:val="000000" w:themeColor="text1"/>
          <w:sz w:val="24"/>
          <w:szCs w:val="24"/>
        </w:rPr>
        <w:t>1</w:t>
      </w:r>
      <w:r w:rsidR="00125974">
        <w:rPr>
          <w:rFonts w:ascii="Arial" w:hAnsi="Arial" w:cs="Arial"/>
          <w:color w:val="000000" w:themeColor="text1"/>
          <w:sz w:val="24"/>
          <w:szCs w:val="24"/>
        </w:rPr>
        <w:t>7 below</w:t>
      </w:r>
      <w:r w:rsidR="00921C87">
        <w:rPr>
          <w:rFonts w:ascii="Arial" w:hAnsi="Arial" w:cs="Arial"/>
          <w:color w:val="000000" w:themeColor="text1"/>
          <w:sz w:val="24"/>
          <w:szCs w:val="24"/>
        </w:rPr>
        <w:t>.</w:t>
      </w:r>
      <w:r w:rsidR="00921C87" w:rsidRPr="002B3D8A">
        <w:rPr>
          <w:rFonts w:ascii="Arial" w:hAnsi="Arial" w:cs="Arial"/>
          <w:color w:val="000000" w:themeColor="text1"/>
          <w:sz w:val="24"/>
          <w:szCs w:val="24"/>
        </w:rPr>
        <w:t xml:space="preserve"> </w:t>
      </w:r>
    </w:p>
    <w:p w14:paraId="49AB0AD9" w14:textId="16927690" w:rsidR="00BD026E" w:rsidRPr="002B3D8A" w:rsidRDefault="00646435" w:rsidP="00BD026E">
      <w:pPr>
        <w:spacing w:line="360" w:lineRule="auto"/>
        <w:rPr>
          <w:rFonts w:ascii="Arial" w:hAnsi="Arial" w:cs="Arial"/>
          <w:color w:val="000000" w:themeColor="text1"/>
          <w:sz w:val="24"/>
          <w:szCs w:val="24"/>
        </w:rPr>
      </w:pPr>
      <w:r w:rsidRPr="002B3D8A">
        <w:rPr>
          <w:rFonts w:ascii="Arial" w:hAnsi="Arial" w:cs="Arial"/>
          <w:noProof/>
          <w:color w:val="000000" w:themeColor="text1"/>
          <w:sz w:val="24"/>
          <w:szCs w:val="24"/>
        </w:rPr>
        <w:lastRenderedPageBreak/>
        <mc:AlternateContent>
          <mc:Choice Requires="wps">
            <w:drawing>
              <wp:anchor distT="0" distB="0" distL="114300" distR="114300" simplePos="0" relativeHeight="251658243" behindDoc="0" locked="0" layoutInCell="1" allowOverlap="1" wp14:anchorId="47E13393" wp14:editId="3868296D">
                <wp:simplePos x="0" y="0"/>
                <wp:positionH relativeFrom="column">
                  <wp:posOffset>3086100</wp:posOffset>
                </wp:positionH>
                <wp:positionV relativeFrom="paragraph">
                  <wp:posOffset>923925</wp:posOffset>
                </wp:positionV>
                <wp:extent cx="9525" cy="847725"/>
                <wp:effectExtent l="0" t="0" r="28575" b="28575"/>
                <wp:wrapNone/>
                <wp:docPr id="71" name="Straight Connector 71"/>
                <wp:cNvGraphicFramePr/>
                <a:graphic xmlns:a="http://schemas.openxmlformats.org/drawingml/2006/main">
                  <a:graphicData uri="http://schemas.microsoft.com/office/word/2010/wordprocessingShape">
                    <wps:wsp>
                      <wps:cNvCnPr/>
                      <wps:spPr>
                        <a:xfrm flipH="1">
                          <a:off x="0" y="0"/>
                          <a:ext cx="9525" cy="8477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8A1BD18">
              <v:line id="Straight Connector 71"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243pt,72.75pt" to="243.75pt,139.5pt" w14:anchorId="58A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">
                <v:stroke joinstyle="miter"/>
              </v:lin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58247" behindDoc="0" locked="0" layoutInCell="1" allowOverlap="1" wp14:anchorId="3577F552" wp14:editId="7CD8B601">
                <wp:simplePos x="0" y="0"/>
                <wp:positionH relativeFrom="column">
                  <wp:posOffset>200025</wp:posOffset>
                </wp:positionH>
                <wp:positionV relativeFrom="paragraph">
                  <wp:posOffset>200025</wp:posOffset>
                </wp:positionV>
                <wp:extent cx="1333500" cy="571500"/>
                <wp:effectExtent l="0" t="0" r="0" b="0"/>
                <wp:wrapNone/>
                <wp:docPr id="16" name="Rectangle 16"/>
                <wp:cNvGraphicFramePr/>
                <a:graphic xmlns:a="http://schemas.openxmlformats.org/drawingml/2006/main">
                  <a:graphicData uri="http://schemas.microsoft.com/office/word/2010/wordprocessingShape">
                    <wps:wsp>
                      <wps:cNvSpPr/>
                      <wps:spPr>
                        <a:xfrm rot="10800000" flipH="1" flipV="1">
                          <a:off x="0" y="0"/>
                          <a:ext cx="1333500"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24C81" w14:textId="58FD54A8" w:rsidR="00ED0D9A" w:rsidRPr="002E152F" w:rsidRDefault="00ED0D9A" w:rsidP="002E152F">
                            <w:pPr>
                              <w:jc w:val="center"/>
                              <w:rPr>
                                <w:rFonts w:ascii="Arial" w:hAnsi="Arial" w:cs="Arial"/>
                                <w:color w:val="000000" w:themeColor="text1"/>
                              </w:rPr>
                            </w:pPr>
                            <w:r w:rsidRPr="002E152F">
                              <w:rPr>
                                <w:rFonts w:ascii="Arial" w:hAnsi="Arial" w:cs="Arial"/>
                                <w:color w:val="000000" w:themeColor="text1"/>
                              </w:rPr>
                              <w:t>Crabtree Leasow (Maize)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7F552" id="Rectangle 16" o:spid="_x0000_s1026" style="position:absolute;margin-left:15.75pt;margin-top:15.75pt;width:105pt;height:45pt;rotation:180;flip:x 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" fillcolor="white [3212]" stroked="f" strokeweight="1pt">
                <v:textbox>
                  <w:txbxContent>
                    <w:p w14:paraId="05B24C81" w14:textId="58FD54A8" w:rsidR="00ED0D9A" w:rsidRPr="002E152F" w:rsidRDefault="00ED0D9A" w:rsidP="002E152F">
                      <w:pPr>
                        <w:jc w:val="center"/>
                        <w:rPr>
                          <w:rFonts w:ascii="Arial" w:hAnsi="Arial" w:cs="Arial"/>
                          <w:color w:val="000000" w:themeColor="text1"/>
                        </w:rPr>
                      </w:pPr>
                      <w:r w:rsidRPr="002E152F">
                        <w:rPr>
                          <w:rFonts w:ascii="Arial" w:hAnsi="Arial" w:cs="Arial"/>
                          <w:color w:val="000000" w:themeColor="text1"/>
                        </w:rPr>
                        <w:t>Crabtree Leasow (Maize)</w:t>
                      </w:r>
                    </w:p>
                  </w:txbxContent>
                </v:textbox>
              </v:rect>
            </w:pict>
          </mc:Fallback>
        </mc:AlternateContent>
      </w:r>
      <w:r w:rsidRPr="002B3D8A">
        <w:rPr>
          <w:rFonts w:ascii="Arial" w:hAnsi="Arial" w:cs="Arial"/>
          <w:noProof/>
          <w:color w:val="000000" w:themeColor="text1"/>
          <w:sz w:val="24"/>
          <w:szCs w:val="24"/>
        </w:rPr>
        <w:drawing>
          <wp:inline distT="0" distB="0" distL="0" distR="0" wp14:anchorId="4332A826" wp14:editId="1D669137">
            <wp:extent cx="6334125" cy="3790950"/>
            <wp:effectExtent l="0" t="0" r="0" b="0"/>
            <wp:docPr id="17" name="Chart 17">
              <a:extLst xmlns:a="http://schemas.openxmlformats.org/drawingml/2006/main">
                <a:ext uri="{FF2B5EF4-FFF2-40B4-BE49-F238E27FC236}">
                  <a16:creationId xmlns:a16="http://schemas.microsoft.com/office/drawing/2014/main" id="{ABD92159-B488-411F-BE72-91A765525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049EE7" w14:textId="613F024C" w:rsidR="006E49E2" w:rsidRPr="000C0117" w:rsidRDefault="000C0117" w:rsidP="000C0117">
      <w:pPr>
        <w:rPr>
          <w:rFonts w:ascii="Arial" w:hAnsi="Arial" w:cs="Arial"/>
        </w:rPr>
      </w:pPr>
      <w:bookmarkStart w:id="58" w:name="_Toc110342116"/>
      <w:r w:rsidRPr="000C0117">
        <w:rPr>
          <w:rFonts w:ascii="Arial" w:hAnsi="Arial" w:cs="Arial"/>
        </w:rPr>
        <w:t xml:space="preserve">Figure </w:t>
      </w:r>
      <w:r w:rsidRPr="000C0117">
        <w:rPr>
          <w:rFonts w:ascii="Arial" w:hAnsi="Arial" w:cs="Arial"/>
        </w:rPr>
        <w:fldChar w:fldCharType="begin"/>
      </w:r>
      <w:r w:rsidRPr="000C0117">
        <w:rPr>
          <w:rFonts w:ascii="Arial" w:hAnsi="Arial" w:cs="Arial"/>
        </w:rPr>
        <w:instrText xml:space="preserve"> SEQ Figure \* ARABIC </w:instrText>
      </w:r>
      <w:r w:rsidRPr="000C0117">
        <w:rPr>
          <w:rFonts w:ascii="Arial" w:hAnsi="Arial" w:cs="Arial"/>
        </w:rPr>
        <w:fldChar w:fldCharType="separate"/>
      </w:r>
      <w:r w:rsidR="00C10D2B">
        <w:rPr>
          <w:rFonts w:ascii="Arial" w:hAnsi="Arial" w:cs="Arial"/>
          <w:noProof/>
        </w:rPr>
        <w:t>13</w:t>
      </w:r>
      <w:r w:rsidRPr="000C0117">
        <w:rPr>
          <w:rFonts w:ascii="Arial" w:hAnsi="Arial" w:cs="Arial"/>
        </w:rPr>
        <w:fldChar w:fldCharType="end"/>
      </w:r>
      <w:r w:rsidR="00BD026E" w:rsidRPr="000C0117">
        <w:rPr>
          <w:rFonts w:ascii="Arial" w:hAnsi="Arial" w:cs="Arial"/>
        </w:rPr>
        <w:t>: Average S</w:t>
      </w:r>
      <w:r w:rsidR="00646435">
        <w:rPr>
          <w:rFonts w:ascii="Arial" w:hAnsi="Arial" w:cs="Arial"/>
        </w:rPr>
        <w:t>tubby root nematodes (S</w:t>
      </w:r>
      <w:r w:rsidR="00BD026E" w:rsidRPr="000C0117">
        <w:rPr>
          <w:rFonts w:ascii="Arial" w:hAnsi="Arial" w:cs="Arial"/>
        </w:rPr>
        <w:t>RN densities</w:t>
      </w:r>
      <w:r w:rsidR="00646435">
        <w:rPr>
          <w:rFonts w:ascii="Arial" w:hAnsi="Arial" w:cs="Arial"/>
        </w:rPr>
        <w:t>)</w:t>
      </w:r>
      <w:r w:rsidR="00BD026E" w:rsidRPr="000C0117">
        <w:rPr>
          <w:rFonts w:ascii="Arial" w:hAnsi="Arial" w:cs="Arial"/>
        </w:rPr>
        <w:t xml:space="preserve"> in 100g of soil from five sites</w:t>
      </w:r>
      <w:r w:rsidR="003B16BE">
        <w:rPr>
          <w:rFonts w:ascii="Arial" w:hAnsi="Arial" w:cs="Arial"/>
        </w:rPr>
        <w:t>/</w:t>
      </w:r>
      <w:r w:rsidR="00BD026E" w:rsidRPr="000C0117">
        <w:rPr>
          <w:rFonts w:ascii="Arial" w:hAnsi="Arial" w:cs="Arial"/>
        </w:rPr>
        <w:t xml:space="preserve"> Vertical bars show the standard error of the mean (</w:t>
      </w:r>
      <w:r w:rsidR="00BD026E" w:rsidRPr="000C0117">
        <w:rPr>
          <w:rFonts w:ascii="Arial" w:hAnsi="Arial" w:cs="Arial"/>
          <w:iCs/>
        </w:rPr>
        <w:t>n</w:t>
      </w:r>
      <w:r w:rsidR="00BD026E" w:rsidRPr="000C0117">
        <w:rPr>
          <w:rFonts w:ascii="Arial" w:hAnsi="Arial" w:cs="Arial"/>
        </w:rPr>
        <w:t> = 3). Means with the same small letter are not significantly different (p &gt; 0.05).</w:t>
      </w:r>
      <w:bookmarkEnd w:id="58"/>
    </w:p>
    <w:p w14:paraId="224AE781" w14:textId="0946CBC9" w:rsidR="00BD026E" w:rsidRPr="006E49E2" w:rsidRDefault="00A238B1" w:rsidP="006E49E2">
      <w:pPr>
        <w:spacing w:line="360" w:lineRule="auto"/>
        <w:rPr>
          <w:rFonts w:ascii="Arial" w:hAnsi="Arial" w:cs="Arial"/>
          <w:color w:val="000000" w:themeColor="text1"/>
          <w:sz w:val="24"/>
          <w:szCs w:val="24"/>
        </w:rPr>
      </w:pPr>
      <w:r w:rsidRPr="006E49E2">
        <w:rPr>
          <w:rFonts w:ascii="Arial" w:hAnsi="Arial" w:cs="Arial"/>
          <w:b/>
          <w:color w:val="000000" w:themeColor="text1"/>
        </w:rPr>
        <w:t xml:space="preserve">2.5.2.2 </w:t>
      </w:r>
      <w:r w:rsidR="00BD026E" w:rsidRPr="006E49E2">
        <w:rPr>
          <w:rFonts w:ascii="Arial" w:hAnsi="Arial" w:cs="Arial"/>
          <w:b/>
          <w:color w:val="000000" w:themeColor="text1"/>
        </w:rPr>
        <w:t>Host status screening</w:t>
      </w:r>
    </w:p>
    <w:p w14:paraId="36DF5A11" w14:textId="2EEBA944" w:rsidR="00F850EC" w:rsidRPr="002B3D8A" w:rsidRDefault="00F850EC" w:rsidP="006E49E2">
      <w:pPr>
        <w:spacing w:line="360" w:lineRule="auto"/>
        <w:rPr>
          <w:rFonts w:ascii="Arial" w:hAnsi="Arial" w:cs="Arial"/>
          <w:color w:val="000000" w:themeColor="text1"/>
          <w:sz w:val="24"/>
          <w:szCs w:val="24"/>
        </w:rPr>
      </w:pPr>
      <w:r w:rsidRPr="002B3D8A">
        <w:rPr>
          <w:rFonts w:ascii="Arial" w:hAnsi="Arial" w:cs="Arial"/>
          <w:color w:val="000000" w:themeColor="text1"/>
          <w:sz w:val="24"/>
          <w:szCs w:val="24"/>
        </w:rPr>
        <w:t xml:space="preserve">Results from the </w:t>
      </w:r>
      <w:r w:rsidR="00921C87">
        <w:rPr>
          <w:rFonts w:ascii="Arial" w:hAnsi="Arial" w:cs="Arial"/>
          <w:color w:val="000000" w:themeColor="text1"/>
          <w:sz w:val="24"/>
          <w:szCs w:val="24"/>
        </w:rPr>
        <w:t xml:space="preserve">glasshouse </w:t>
      </w:r>
      <w:r w:rsidRPr="002B3D8A">
        <w:rPr>
          <w:rFonts w:ascii="Arial" w:hAnsi="Arial" w:cs="Arial"/>
          <w:color w:val="000000" w:themeColor="text1"/>
          <w:sz w:val="24"/>
          <w:szCs w:val="24"/>
        </w:rPr>
        <w:t>experiment indicated no reproduction of the SRN even in the susceptible control (Italian ryegrass</w:t>
      </w:r>
      <w:r w:rsidR="00862972" w:rsidRPr="002B3D8A">
        <w:rPr>
          <w:rFonts w:ascii="Arial" w:hAnsi="Arial" w:cs="Arial"/>
          <w:color w:val="000000" w:themeColor="text1"/>
          <w:sz w:val="24"/>
          <w:szCs w:val="24"/>
        </w:rPr>
        <w:t>). There</w:t>
      </w:r>
      <w:r w:rsidRPr="002B3D8A">
        <w:rPr>
          <w:rFonts w:ascii="Arial" w:hAnsi="Arial" w:cs="Arial"/>
          <w:color w:val="000000" w:themeColor="text1"/>
          <w:sz w:val="24"/>
          <w:szCs w:val="24"/>
        </w:rPr>
        <w:t xml:space="preserve"> was a total decline in the final </w:t>
      </w:r>
      <w:r w:rsidR="00BD026E" w:rsidRPr="002B3D8A">
        <w:rPr>
          <w:rFonts w:ascii="Arial" w:hAnsi="Arial" w:cs="Arial"/>
          <w:color w:val="000000" w:themeColor="text1"/>
          <w:sz w:val="24"/>
          <w:szCs w:val="24"/>
        </w:rPr>
        <w:t xml:space="preserve">SRN </w:t>
      </w:r>
      <w:r w:rsidRPr="002B3D8A">
        <w:rPr>
          <w:rFonts w:ascii="Arial" w:hAnsi="Arial" w:cs="Arial"/>
          <w:color w:val="000000" w:themeColor="text1"/>
          <w:sz w:val="24"/>
          <w:szCs w:val="24"/>
        </w:rPr>
        <w:t xml:space="preserve">numbers </w:t>
      </w:r>
      <w:r w:rsidR="00BD026E" w:rsidRPr="002B3D8A">
        <w:rPr>
          <w:rFonts w:ascii="Arial" w:hAnsi="Arial" w:cs="Arial"/>
          <w:color w:val="000000" w:themeColor="text1"/>
          <w:sz w:val="24"/>
          <w:szCs w:val="24"/>
        </w:rPr>
        <w:t xml:space="preserve">across </w:t>
      </w:r>
      <w:r w:rsidRPr="002B3D8A">
        <w:rPr>
          <w:rFonts w:ascii="Arial" w:hAnsi="Arial" w:cs="Arial"/>
          <w:color w:val="000000" w:themeColor="text1"/>
          <w:sz w:val="24"/>
          <w:szCs w:val="24"/>
        </w:rPr>
        <w:t xml:space="preserve">all the treatments </w:t>
      </w:r>
      <w:r w:rsidR="002E152F" w:rsidRPr="002B3D8A">
        <w:rPr>
          <w:rFonts w:ascii="Arial" w:hAnsi="Arial" w:cs="Arial"/>
          <w:color w:val="000000" w:themeColor="text1"/>
          <w:sz w:val="24"/>
          <w:szCs w:val="24"/>
        </w:rPr>
        <w:t>the</w:t>
      </w:r>
      <w:r w:rsidRPr="002B3D8A">
        <w:rPr>
          <w:rFonts w:ascii="Arial" w:hAnsi="Arial" w:cs="Arial"/>
          <w:color w:val="000000" w:themeColor="text1"/>
          <w:sz w:val="24"/>
          <w:szCs w:val="24"/>
        </w:rPr>
        <w:t xml:space="preserve"> initial SRN densities varied from one treatment to another ranging from 92 to 215 SRN per pot but the differences were not significant per treatment </w:t>
      </w:r>
      <w:r w:rsidR="00921C87">
        <w:rPr>
          <w:rFonts w:ascii="Arial" w:hAnsi="Arial" w:cs="Arial"/>
          <w:color w:val="000000" w:themeColor="text1"/>
          <w:sz w:val="24"/>
          <w:szCs w:val="24"/>
        </w:rPr>
        <w:t>(</w:t>
      </w:r>
      <w:r w:rsidRPr="002B3D8A">
        <w:rPr>
          <w:rFonts w:ascii="Arial" w:hAnsi="Arial" w:cs="Arial"/>
          <w:color w:val="000000" w:themeColor="text1"/>
          <w:sz w:val="24"/>
          <w:szCs w:val="24"/>
        </w:rPr>
        <w:t>P&gt;0.05</w:t>
      </w:r>
      <w:r w:rsidR="00921C87">
        <w:rPr>
          <w:rFonts w:ascii="Arial" w:hAnsi="Arial" w:cs="Arial"/>
          <w:color w:val="000000" w:themeColor="text1"/>
          <w:sz w:val="24"/>
          <w:szCs w:val="24"/>
        </w:rPr>
        <w:t>).</w:t>
      </w:r>
      <w:r w:rsidRPr="002B3D8A">
        <w:rPr>
          <w:rFonts w:ascii="Arial" w:hAnsi="Arial" w:cs="Arial"/>
          <w:color w:val="000000" w:themeColor="text1"/>
          <w:sz w:val="24"/>
          <w:szCs w:val="24"/>
        </w:rPr>
        <w:t xml:space="preserve"> </w:t>
      </w:r>
    </w:p>
    <w:p w14:paraId="318F1312" w14:textId="77777777" w:rsidR="00F850EC" w:rsidRPr="002B3D8A" w:rsidRDefault="00F850EC" w:rsidP="00F850EC">
      <w:pPr>
        <w:pStyle w:val="ListParagraph"/>
        <w:spacing w:line="360" w:lineRule="auto"/>
        <w:ind w:left="360"/>
        <w:rPr>
          <w:rFonts w:ascii="Arial" w:hAnsi="Arial" w:cs="Arial"/>
          <w:color w:val="000000" w:themeColor="text1"/>
          <w:sz w:val="24"/>
          <w:szCs w:val="24"/>
        </w:rPr>
      </w:pPr>
    </w:p>
    <w:p w14:paraId="58DB6BA9" w14:textId="77777777" w:rsidR="00F850EC" w:rsidRPr="002B3D8A" w:rsidRDefault="00F850EC" w:rsidP="00F850EC">
      <w:pPr>
        <w:pStyle w:val="ListParagraph"/>
        <w:spacing w:line="360" w:lineRule="auto"/>
        <w:ind w:left="360"/>
        <w:rPr>
          <w:rFonts w:ascii="Arial" w:hAnsi="Arial" w:cs="Arial"/>
          <w:b/>
          <w:color w:val="000000" w:themeColor="text1"/>
          <w:sz w:val="24"/>
          <w:szCs w:val="24"/>
        </w:rPr>
      </w:pPr>
      <w:r w:rsidRPr="002B3D8A">
        <w:rPr>
          <w:rFonts w:ascii="Arial" w:hAnsi="Arial" w:cs="Arial"/>
          <w:noProof/>
          <w:color w:val="000000" w:themeColor="text1"/>
          <w:sz w:val="24"/>
          <w:szCs w:val="24"/>
        </w:rPr>
        <w:lastRenderedPageBreak/>
        <w:drawing>
          <wp:inline distT="0" distB="0" distL="0" distR="0" wp14:anchorId="3A5B264C" wp14:editId="40EB9526">
            <wp:extent cx="5736590" cy="6697345"/>
            <wp:effectExtent l="0" t="0" r="0" b="0"/>
            <wp:docPr id="61" name="Chart 61">
              <a:extLst xmlns:a="http://schemas.openxmlformats.org/drawingml/2006/main">
                <a:ext uri="{FF2B5EF4-FFF2-40B4-BE49-F238E27FC236}">
                  <a16:creationId xmlns:a16="http://schemas.microsoft.com/office/drawing/2014/main" id="{72AB9A0B-1641-49AA-80C1-3D2709543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9675DC4" w14:textId="64C1D161" w:rsidR="00796310" w:rsidRDefault="000C0117" w:rsidP="000C0117">
      <w:pPr>
        <w:rPr>
          <w:rFonts w:ascii="Arial" w:hAnsi="Arial" w:cs="Arial"/>
        </w:rPr>
      </w:pPr>
      <w:bookmarkStart w:id="59" w:name="_Toc110342117"/>
      <w:r w:rsidRPr="000C0117">
        <w:rPr>
          <w:rFonts w:ascii="Arial" w:hAnsi="Arial" w:cs="Arial"/>
        </w:rPr>
        <w:t xml:space="preserve">Figure </w:t>
      </w:r>
      <w:r w:rsidRPr="000C0117">
        <w:rPr>
          <w:rFonts w:ascii="Arial" w:hAnsi="Arial" w:cs="Arial"/>
        </w:rPr>
        <w:fldChar w:fldCharType="begin"/>
      </w:r>
      <w:r w:rsidRPr="000C0117">
        <w:rPr>
          <w:rFonts w:ascii="Arial" w:hAnsi="Arial" w:cs="Arial"/>
        </w:rPr>
        <w:instrText xml:space="preserve"> SEQ Figure \* ARABIC </w:instrText>
      </w:r>
      <w:r w:rsidRPr="000C0117">
        <w:rPr>
          <w:rFonts w:ascii="Arial" w:hAnsi="Arial" w:cs="Arial"/>
        </w:rPr>
        <w:fldChar w:fldCharType="separate"/>
      </w:r>
      <w:r w:rsidR="00C10D2B">
        <w:rPr>
          <w:rFonts w:ascii="Arial" w:hAnsi="Arial" w:cs="Arial"/>
          <w:noProof/>
        </w:rPr>
        <w:t>14</w:t>
      </w:r>
      <w:r w:rsidRPr="000C0117">
        <w:rPr>
          <w:rFonts w:ascii="Arial" w:hAnsi="Arial" w:cs="Arial"/>
        </w:rPr>
        <w:fldChar w:fldCharType="end"/>
      </w:r>
      <w:r w:rsidR="00F850EC" w:rsidRPr="000C0117">
        <w:rPr>
          <w:rFonts w:ascii="Arial" w:hAnsi="Arial" w:cs="Arial"/>
        </w:rPr>
        <w:t xml:space="preserve">: Average initial (Pi) and final (Pf) densities of stubby root nematodes (SRN) per pot (n=7) from </w:t>
      </w:r>
      <w:r w:rsidR="00921C87">
        <w:rPr>
          <w:rFonts w:ascii="Arial" w:hAnsi="Arial" w:cs="Arial"/>
        </w:rPr>
        <w:t xml:space="preserve">a glasshouse </w:t>
      </w:r>
      <w:r w:rsidR="00F850EC" w:rsidRPr="000C0117">
        <w:rPr>
          <w:rFonts w:ascii="Arial" w:hAnsi="Arial" w:cs="Arial"/>
        </w:rPr>
        <w:t>experiment with 16 different cover crop species and a fallow control.</w:t>
      </w:r>
      <w:bookmarkEnd w:id="59"/>
    </w:p>
    <w:p w14:paraId="18C67176" w14:textId="77777777" w:rsidR="00796310" w:rsidRDefault="00796310" w:rsidP="000C0117">
      <w:pPr>
        <w:rPr>
          <w:rFonts w:ascii="Arial" w:hAnsi="Arial" w:cs="Arial"/>
        </w:rPr>
      </w:pPr>
    </w:p>
    <w:p w14:paraId="222B153F" w14:textId="6306D92D" w:rsidR="00796310" w:rsidRDefault="00796310" w:rsidP="000C0117">
      <w:pPr>
        <w:rPr>
          <w:rFonts w:ascii="Arial" w:hAnsi="Arial" w:cs="Arial"/>
        </w:rPr>
        <w:sectPr w:rsidR="00796310" w:rsidSect="002572CD">
          <w:pgSz w:w="11906" w:h="16838"/>
          <w:pgMar w:top="1440" w:right="1440" w:bottom="1440" w:left="1440" w:header="708" w:footer="708" w:gutter="0"/>
          <w:cols w:space="708"/>
          <w:docGrid w:linePitch="360"/>
        </w:sectPr>
      </w:pPr>
    </w:p>
    <w:p w14:paraId="79219D63" w14:textId="5AA80D67" w:rsidR="001F7C83" w:rsidRPr="002B3D8A" w:rsidRDefault="00A238B1" w:rsidP="006E49E2">
      <w:pPr>
        <w:pStyle w:val="Heading3"/>
        <w:spacing w:line="360" w:lineRule="auto"/>
        <w:rPr>
          <w:rFonts w:ascii="Arial" w:hAnsi="Arial" w:cs="Arial"/>
          <w:b/>
          <w:color w:val="000000" w:themeColor="text1"/>
          <w:sz w:val="24"/>
          <w:szCs w:val="24"/>
        </w:rPr>
      </w:pPr>
      <w:bookmarkStart w:id="60" w:name="_Toc110341300"/>
      <w:r w:rsidRPr="002B3D8A">
        <w:rPr>
          <w:rFonts w:ascii="Arial" w:hAnsi="Arial" w:cs="Arial"/>
          <w:b/>
          <w:color w:val="000000" w:themeColor="text1"/>
          <w:sz w:val="24"/>
          <w:szCs w:val="24"/>
        </w:rPr>
        <w:lastRenderedPageBreak/>
        <w:t xml:space="preserve">2.5.3 </w:t>
      </w:r>
      <w:r w:rsidR="00921C87" w:rsidRPr="002B3D8A">
        <w:rPr>
          <w:rFonts w:ascii="Arial" w:hAnsi="Arial" w:cs="Arial"/>
          <w:b/>
          <w:color w:val="000000" w:themeColor="text1"/>
          <w:sz w:val="24"/>
          <w:szCs w:val="24"/>
        </w:rPr>
        <w:t>Field experiment to evaluate the potential of biofumigant cover crops in</w:t>
      </w:r>
      <w:r w:rsidR="00921C87">
        <w:rPr>
          <w:rFonts w:ascii="Arial" w:hAnsi="Arial" w:cs="Arial"/>
          <w:b/>
          <w:color w:val="000000" w:themeColor="text1"/>
          <w:sz w:val="24"/>
          <w:szCs w:val="24"/>
        </w:rPr>
        <w:t xml:space="preserve"> the</w:t>
      </w:r>
      <w:r w:rsidR="00921C87" w:rsidRPr="002B3D8A">
        <w:rPr>
          <w:rFonts w:ascii="Arial" w:hAnsi="Arial" w:cs="Arial"/>
          <w:b/>
          <w:color w:val="000000" w:themeColor="text1"/>
          <w:sz w:val="24"/>
          <w:szCs w:val="24"/>
        </w:rPr>
        <w:t xml:space="preserve"> suppression of SRN</w:t>
      </w:r>
      <w:bookmarkEnd w:id="60"/>
      <w:r w:rsidR="00921C87" w:rsidRPr="002B3D8A" w:rsidDel="00921C87">
        <w:rPr>
          <w:rFonts w:ascii="Arial" w:hAnsi="Arial" w:cs="Arial"/>
          <w:b/>
          <w:color w:val="000000" w:themeColor="text1"/>
          <w:sz w:val="24"/>
          <w:szCs w:val="24"/>
        </w:rPr>
        <w:t xml:space="preserve"> </w:t>
      </w:r>
    </w:p>
    <w:p w14:paraId="4C7D00BF" w14:textId="54E832EE" w:rsidR="00ED5DC3" w:rsidRPr="002B3D8A" w:rsidRDefault="004E50D1" w:rsidP="00311149">
      <w:pPr>
        <w:spacing w:line="360" w:lineRule="auto"/>
        <w:jc w:val="both"/>
        <w:rPr>
          <w:rFonts w:ascii="Arial" w:hAnsi="Arial" w:cs="Arial"/>
          <w:color w:val="000000" w:themeColor="text1"/>
          <w:sz w:val="24"/>
          <w:szCs w:val="24"/>
        </w:rPr>
      </w:pPr>
      <w:r w:rsidRPr="002B3D8A">
        <w:rPr>
          <w:rFonts w:ascii="Arial" w:hAnsi="Arial" w:cs="Arial"/>
          <w:color w:val="000000" w:themeColor="text1"/>
          <w:sz w:val="24"/>
          <w:szCs w:val="24"/>
        </w:rPr>
        <w:t xml:space="preserve">No significant differences in </w:t>
      </w:r>
      <w:r>
        <w:rPr>
          <w:rFonts w:ascii="Arial" w:hAnsi="Arial" w:cs="Arial"/>
          <w:color w:val="000000" w:themeColor="text1"/>
          <w:sz w:val="24"/>
          <w:szCs w:val="24"/>
        </w:rPr>
        <w:t xml:space="preserve">initial </w:t>
      </w:r>
      <w:r w:rsidRPr="002B3D8A">
        <w:rPr>
          <w:rFonts w:ascii="Arial" w:hAnsi="Arial" w:cs="Arial"/>
          <w:color w:val="000000" w:themeColor="text1"/>
          <w:sz w:val="24"/>
          <w:szCs w:val="24"/>
        </w:rPr>
        <w:t xml:space="preserve">SRN densities were recorded, P&gt;0.05 </w:t>
      </w:r>
      <w:r>
        <w:rPr>
          <w:rFonts w:ascii="Arial" w:hAnsi="Arial" w:cs="Arial"/>
          <w:color w:val="000000" w:themeColor="text1"/>
          <w:sz w:val="24"/>
          <w:szCs w:val="24"/>
        </w:rPr>
        <w:t xml:space="preserve">among </w:t>
      </w:r>
      <w:r w:rsidRPr="002B3D8A">
        <w:rPr>
          <w:rFonts w:ascii="Arial" w:hAnsi="Arial" w:cs="Arial"/>
          <w:color w:val="000000" w:themeColor="text1"/>
          <w:sz w:val="24"/>
          <w:szCs w:val="24"/>
        </w:rPr>
        <w:t xml:space="preserve">all the plots prior to cover crop drilling. </w:t>
      </w:r>
      <w:r w:rsidR="009A2737">
        <w:rPr>
          <w:rFonts w:ascii="Arial" w:hAnsi="Arial" w:cs="Arial"/>
          <w:color w:val="000000" w:themeColor="text1"/>
          <w:sz w:val="24"/>
          <w:szCs w:val="24"/>
        </w:rPr>
        <w:t xml:space="preserve">However, </w:t>
      </w:r>
      <w:r w:rsidR="00C54155" w:rsidRPr="002B3D8A">
        <w:rPr>
          <w:rFonts w:ascii="Arial" w:hAnsi="Arial" w:cs="Arial"/>
          <w:color w:val="000000" w:themeColor="text1"/>
          <w:sz w:val="24"/>
          <w:szCs w:val="24"/>
        </w:rPr>
        <w:t xml:space="preserve">SRN </w:t>
      </w:r>
      <w:r w:rsidR="009A2737">
        <w:rPr>
          <w:rFonts w:ascii="Arial" w:hAnsi="Arial" w:cs="Arial"/>
          <w:color w:val="000000" w:themeColor="text1"/>
          <w:sz w:val="24"/>
          <w:szCs w:val="24"/>
        </w:rPr>
        <w:t xml:space="preserve">population </w:t>
      </w:r>
      <w:r w:rsidR="00ED5DC3" w:rsidRPr="002B3D8A">
        <w:rPr>
          <w:rFonts w:ascii="Arial" w:hAnsi="Arial" w:cs="Arial"/>
          <w:color w:val="000000" w:themeColor="text1"/>
          <w:sz w:val="24"/>
          <w:szCs w:val="24"/>
        </w:rPr>
        <w:t>d</w:t>
      </w:r>
      <w:r w:rsidR="00C54155" w:rsidRPr="002B3D8A">
        <w:rPr>
          <w:rFonts w:ascii="Arial" w:hAnsi="Arial" w:cs="Arial"/>
          <w:color w:val="000000" w:themeColor="text1"/>
          <w:sz w:val="24"/>
          <w:szCs w:val="24"/>
        </w:rPr>
        <w:t xml:space="preserve">ensities were </w:t>
      </w:r>
      <w:r w:rsidR="00132700" w:rsidRPr="002B3D8A">
        <w:rPr>
          <w:rFonts w:ascii="Arial" w:hAnsi="Arial" w:cs="Arial"/>
          <w:color w:val="000000" w:themeColor="text1"/>
          <w:sz w:val="24"/>
          <w:szCs w:val="24"/>
        </w:rPr>
        <w:t xml:space="preserve">significantly lower </w:t>
      </w:r>
      <w:r w:rsidR="00921C87">
        <w:rPr>
          <w:rFonts w:ascii="Arial" w:hAnsi="Arial" w:cs="Arial"/>
          <w:color w:val="000000" w:themeColor="text1"/>
          <w:sz w:val="24"/>
          <w:szCs w:val="24"/>
        </w:rPr>
        <w:t>(</w:t>
      </w:r>
      <w:r w:rsidR="00132700" w:rsidRPr="002B3D8A">
        <w:rPr>
          <w:rFonts w:ascii="Arial" w:hAnsi="Arial" w:cs="Arial"/>
          <w:color w:val="000000" w:themeColor="text1"/>
          <w:sz w:val="24"/>
          <w:szCs w:val="24"/>
        </w:rPr>
        <w:t>P&lt;0.001</w:t>
      </w:r>
      <w:r w:rsidR="00921C87">
        <w:rPr>
          <w:rFonts w:ascii="Arial" w:hAnsi="Arial" w:cs="Arial"/>
          <w:color w:val="000000" w:themeColor="text1"/>
          <w:sz w:val="24"/>
          <w:szCs w:val="24"/>
        </w:rPr>
        <w:t>)</w:t>
      </w:r>
      <w:r w:rsidR="00132700" w:rsidRPr="002B3D8A">
        <w:rPr>
          <w:rFonts w:ascii="Arial" w:hAnsi="Arial" w:cs="Arial"/>
          <w:color w:val="000000" w:themeColor="text1"/>
          <w:sz w:val="24"/>
          <w:szCs w:val="24"/>
        </w:rPr>
        <w:t xml:space="preserve"> in cover crop drilled plots compared to the fallow control four weeks after planting. </w:t>
      </w:r>
      <w:r w:rsidR="00F5057D" w:rsidRPr="002B3D8A">
        <w:rPr>
          <w:rFonts w:ascii="Arial" w:hAnsi="Arial" w:cs="Arial"/>
          <w:color w:val="000000" w:themeColor="text1"/>
          <w:sz w:val="24"/>
          <w:szCs w:val="24"/>
        </w:rPr>
        <w:t xml:space="preserve">SRN densities decreased in a similar rate in plots drilled with cover crops as no significant difference was recorded between the cover crops P&gt;0.05. SRN </w:t>
      </w:r>
      <w:r w:rsidR="00862972" w:rsidRPr="002B3D8A">
        <w:rPr>
          <w:rFonts w:ascii="Arial" w:hAnsi="Arial" w:cs="Arial"/>
          <w:color w:val="000000" w:themeColor="text1"/>
          <w:sz w:val="24"/>
          <w:szCs w:val="24"/>
        </w:rPr>
        <w:t>densities in the fallow control increased significantly after 4 weeks as seen in Figure 1</w:t>
      </w:r>
      <w:r w:rsidR="005E23D4">
        <w:rPr>
          <w:rFonts w:ascii="Arial" w:hAnsi="Arial" w:cs="Arial"/>
          <w:color w:val="000000" w:themeColor="text1"/>
          <w:sz w:val="24"/>
          <w:szCs w:val="24"/>
        </w:rPr>
        <w:t>9</w:t>
      </w:r>
      <w:r w:rsidR="00921C87">
        <w:rPr>
          <w:rFonts w:ascii="Arial" w:hAnsi="Arial" w:cs="Arial"/>
          <w:color w:val="000000" w:themeColor="text1"/>
          <w:sz w:val="24"/>
          <w:szCs w:val="24"/>
        </w:rPr>
        <w:t>.</w:t>
      </w:r>
    </w:p>
    <w:p w14:paraId="6A04A0A9" w14:textId="241E163A" w:rsidR="00132700" w:rsidRPr="002B3D8A" w:rsidRDefault="000550C2" w:rsidP="00311149">
      <w:pPr>
        <w:spacing w:line="360" w:lineRule="auto"/>
        <w:rPr>
          <w:rFonts w:ascii="Arial" w:hAnsi="Arial" w:cs="Arial"/>
          <w:color w:val="000000" w:themeColor="text1"/>
          <w:sz w:val="24"/>
          <w:szCs w:val="24"/>
        </w:rPr>
      </w:pPr>
      <w:r w:rsidRPr="002B3D8A">
        <w:rPr>
          <w:rFonts w:ascii="Arial" w:hAnsi="Arial" w:cs="Arial"/>
          <w:noProof/>
          <w:color w:val="000000" w:themeColor="text1"/>
          <w:sz w:val="24"/>
          <w:szCs w:val="24"/>
          <w:shd w:val="clear" w:color="auto" w:fill="FFFFFF" w:themeFill="background1"/>
        </w:rPr>
        <w:drawing>
          <wp:inline distT="0" distB="0" distL="0" distR="0" wp14:anchorId="69C2D144" wp14:editId="31477654">
            <wp:extent cx="5389685" cy="3965331"/>
            <wp:effectExtent l="0" t="0" r="1905" b="0"/>
            <wp:docPr id="15" name="Chart 15">
              <a:extLst xmlns:a="http://schemas.openxmlformats.org/drawingml/2006/main">
                <a:ext uri="{FF2B5EF4-FFF2-40B4-BE49-F238E27FC236}">
                  <a16:creationId xmlns:a16="http://schemas.microsoft.com/office/drawing/2014/main" id="{9ADC6966-E1E6-45C7-BB73-51601C9A09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994DB01" w14:textId="346902BD" w:rsidR="009A2737" w:rsidRPr="00502C77" w:rsidRDefault="00A33FD8" w:rsidP="00311149">
      <w:pPr>
        <w:spacing w:line="360" w:lineRule="auto"/>
        <w:rPr>
          <w:rFonts w:ascii="Arial" w:hAnsi="Arial" w:cs="Arial"/>
          <w:color w:val="000000" w:themeColor="text1"/>
          <w:kern w:val="24"/>
        </w:rPr>
      </w:pPr>
      <w:bookmarkStart w:id="61" w:name="_Toc110342118"/>
      <w:r w:rsidRPr="00502C77">
        <w:rPr>
          <w:rFonts w:ascii="Arial" w:hAnsi="Arial" w:cs="Arial"/>
          <w:color w:val="000000" w:themeColor="text1"/>
        </w:rPr>
        <w:t xml:space="preserve">Figure </w:t>
      </w:r>
      <w:r w:rsidRPr="00502C77">
        <w:rPr>
          <w:rFonts w:ascii="Arial" w:hAnsi="Arial" w:cs="Arial"/>
          <w:color w:val="000000" w:themeColor="text1"/>
        </w:rPr>
        <w:fldChar w:fldCharType="begin"/>
      </w:r>
      <w:r w:rsidRPr="00502C77">
        <w:rPr>
          <w:rFonts w:ascii="Arial" w:hAnsi="Arial" w:cs="Arial"/>
          <w:color w:val="000000" w:themeColor="text1"/>
        </w:rPr>
        <w:instrText xml:space="preserve"> SEQ Figure \* ARABIC </w:instrText>
      </w:r>
      <w:r w:rsidRPr="00502C77">
        <w:rPr>
          <w:rFonts w:ascii="Arial" w:hAnsi="Arial" w:cs="Arial"/>
          <w:color w:val="000000" w:themeColor="text1"/>
        </w:rPr>
        <w:fldChar w:fldCharType="separate"/>
      </w:r>
      <w:r w:rsidR="00C10D2B">
        <w:rPr>
          <w:rFonts w:ascii="Arial" w:hAnsi="Arial" w:cs="Arial"/>
          <w:noProof/>
          <w:color w:val="000000" w:themeColor="text1"/>
        </w:rPr>
        <w:t>15</w:t>
      </w:r>
      <w:r w:rsidRPr="00502C77">
        <w:rPr>
          <w:rFonts w:ascii="Arial" w:hAnsi="Arial" w:cs="Arial"/>
          <w:color w:val="000000" w:themeColor="text1"/>
        </w:rPr>
        <w:fldChar w:fldCharType="end"/>
      </w:r>
      <w:r w:rsidR="00210EE7" w:rsidRPr="00502C77">
        <w:rPr>
          <w:rFonts w:ascii="Arial" w:hAnsi="Arial" w:cs="Arial"/>
          <w:color w:val="000000" w:themeColor="text1"/>
        </w:rPr>
        <w:t xml:space="preserve">: </w:t>
      </w:r>
      <w:r w:rsidRPr="00502C77">
        <w:rPr>
          <w:rFonts w:ascii="Arial" w:hAnsi="Arial" w:cs="Arial"/>
          <w:color w:val="000000" w:themeColor="text1"/>
          <w:kern w:val="24"/>
        </w:rPr>
        <w:t xml:space="preserve">Average densities (±SE) of SRN </w:t>
      </w:r>
      <w:r w:rsidR="00501279">
        <w:rPr>
          <w:rFonts w:ascii="Arial" w:hAnsi="Arial" w:cs="Arial"/>
          <w:color w:val="000000" w:themeColor="text1"/>
          <w:kern w:val="24"/>
        </w:rPr>
        <w:t>per litre</w:t>
      </w:r>
      <w:r w:rsidR="00501279" w:rsidRPr="00502C77">
        <w:rPr>
          <w:rFonts w:ascii="Arial" w:hAnsi="Arial" w:cs="Arial"/>
          <w:color w:val="000000" w:themeColor="text1"/>
          <w:kern w:val="24"/>
        </w:rPr>
        <w:t xml:space="preserve"> </w:t>
      </w:r>
      <w:r w:rsidRPr="00502C77">
        <w:rPr>
          <w:rFonts w:ascii="Arial" w:hAnsi="Arial" w:cs="Arial"/>
          <w:color w:val="000000" w:themeColor="text1"/>
          <w:kern w:val="24"/>
        </w:rPr>
        <w:t xml:space="preserve">of soil, before </w:t>
      </w:r>
      <w:r w:rsidR="00210EE7" w:rsidRPr="00502C77">
        <w:rPr>
          <w:rFonts w:ascii="Arial" w:hAnsi="Arial" w:cs="Arial"/>
          <w:color w:val="000000" w:themeColor="text1"/>
          <w:kern w:val="24"/>
        </w:rPr>
        <w:t>planting (</w:t>
      </w:r>
      <w:r w:rsidRPr="00502C77">
        <w:rPr>
          <w:rFonts w:ascii="Arial" w:hAnsi="Arial" w:cs="Arial"/>
          <w:color w:val="000000" w:themeColor="text1"/>
          <w:kern w:val="24"/>
        </w:rPr>
        <w:t>Pi) and 4 weeks after cover crop drilling. Vertical bars show the standard error of the mean (</w:t>
      </w:r>
      <w:r w:rsidR="00210EE7" w:rsidRPr="00502C77">
        <w:rPr>
          <w:rFonts w:ascii="Arial" w:hAnsi="Arial" w:cs="Arial"/>
          <w:color w:val="000000" w:themeColor="text1"/>
          <w:kern w:val="24"/>
        </w:rPr>
        <w:t>n =</w:t>
      </w:r>
      <w:r w:rsidRPr="00502C77">
        <w:rPr>
          <w:rFonts w:ascii="Arial" w:hAnsi="Arial" w:cs="Arial"/>
          <w:color w:val="000000" w:themeColor="text1"/>
          <w:kern w:val="24"/>
        </w:rPr>
        <w:t> 5). Means with the same small letter are not significantly different</w:t>
      </w:r>
      <w:r w:rsidR="00501279">
        <w:rPr>
          <w:rFonts w:ascii="Arial" w:hAnsi="Arial" w:cs="Arial"/>
          <w:color w:val="000000" w:themeColor="text1"/>
          <w:kern w:val="24"/>
        </w:rPr>
        <w:t xml:space="preserve"> according to Tu</w:t>
      </w:r>
      <w:r w:rsidR="00F72BD1">
        <w:rPr>
          <w:rFonts w:ascii="Arial" w:hAnsi="Arial" w:cs="Arial"/>
          <w:color w:val="000000" w:themeColor="text1"/>
          <w:kern w:val="24"/>
        </w:rPr>
        <w:t>r</w:t>
      </w:r>
      <w:r w:rsidR="00501279">
        <w:rPr>
          <w:rFonts w:ascii="Arial" w:hAnsi="Arial" w:cs="Arial"/>
          <w:color w:val="000000" w:themeColor="text1"/>
          <w:kern w:val="24"/>
        </w:rPr>
        <w:t>key</w:t>
      </w:r>
      <w:r w:rsidR="00F72BD1">
        <w:rPr>
          <w:rFonts w:ascii="Arial" w:hAnsi="Arial" w:cs="Arial"/>
          <w:color w:val="000000" w:themeColor="text1"/>
          <w:kern w:val="24"/>
        </w:rPr>
        <w:t xml:space="preserve"> HSD</w:t>
      </w:r>
      <w:r w:rsidRPr="00502C77">
        <w:rPr>
          <w:rFonts w:ascii="Arial" w:hAnsi="Arial" w:cs="Arial"/>
          <w:color w:val="000000" w:themeColor="text1"/>
          <w:kern w:val="24"/>
        </w:rPr>
        <w:t xml:space="preserve"> (p &gt; 0.05).</w:t>
      </w:r>
      <w:bookmarkEnd w:id="61"/>
    </w:p>
    <w:p w14:paraId="56D153B8" w14:textId="29969565" w:rsidR="00132700" w:rsidRPr="002B3D8A" w:rsidRDefault="6AC1B2C3" w:rsidP="00616CDC">
      <w:pPr>
        <w:spacing w:line="360" w:lineRule="auto"/>
        <w:ind w:left="-284"/>
        <w:jc w:val="both"/>
        <w:rPr>
          <w:rFonts w:ascii="Arial" w:hAnsi="Arial" w:cs="Arial"/>
          <w:noProof/>
          <w:color w:val="000000" w:themeColor="text1"/>
          <w:sz w:val="24"/>
          <w:szCs w:val="24"/>
        </w:rPr>
      </w:pPr>
      <w:r w:rsidRPr="6AC1B2C3">
        <w:rPr>
          <w:rFonts w:ascii="Arial" w:hAnsi="Arial" w:cs="Arial"/>
          <w:noProof/>
          <w:color w:val="000000" w:themeColor="text1"/>
          <w:sz w:val="24"/>
          <w:szCs w:val="24"/>
        </w:rPr>
        <w:t>The reproduction factor (Rf), was calculated as SRN at 4 weeks/Initial SRN (Pi). SRN reproduced significantly in the fallow control Rf=3.1 as compared to treated plots where no reproduction occurred, with RF of 0.32, 0.31 and 0.17 for Brons, Daikon and Terranova respectively (P&lt;0.001). The Rf in the plots with different biofumigant cover crops was not significantly different P&gt;0.05</w:t>
      </w:r>
      <w:r w:rsidR="005E23D4">
        <w:rPr>
          <w:rFonts w:ascii="Arial" w:hAnsi="Arial" w:cs="Arial"/>
          <w:noProof/>
          <w:color w:val="000000" w:themeColor="text1"/>
          <w:sz w:val="24"/>
          <w:szCs w:val="24"/>
        </w:rPr>
        <w:t xml:space="preserve">  as indicated in Figure 20. </w:t>
      </w:r>
    </w:p>
    <w:p w14:paraId="2BD7DF50" w14:textId="08A8C19A" w:rsidR="00755766" w:rsidRPr="002B3D8A" w:rsidRDefault="005E23D4" w:rsidP="00311149">
      <w:pPr>
        <w:spacing w:line="360" w:lineRule="auto"/>
        <w:rPr>
          <w:rFonts w:ascii="Arial" w:hAnsi="Arial" w:cs="Arial"/>
          <w:color w:val="000000" w:themeColor="text1"/>
          <w:sz w:val="24"/>
          <w:szCs w:val="24"/>
        </w:rPr>
      </w:pPr>
      <w:r w:rsidRPr="002B3D8A">
        <w:rPr>
          <w:rFonts w:ascii="Arial" w:hAnsi="Arial" w:cs="Arial"/>
          <w:noProof/>
          <w:color w:val="000000" w:themeColor="text1"/>
          <w:sz w:val="24"/>
          <w:szCs w:val="24"/>
        </w:rPr>
        <w:lastRenderedPageBreak/>
        <mc:AlternateContent>
          <mc:Choice Requires="wps">
            <w:drawing>
              <wp:anchor distT="0" distB="0" distL="114300" distR="114300" simplePos="0" relativeHeight="251658241" behindDoc="0" locked="0" layoutInCell="1" allowOverlap="1" wp14:anchorId="4DDE4334" wp14:editId="1473E6BF">
                <wp:simplePos x="0" y="0"/>
                <wp:positionH relativeFrom="column">
                  <wp:posOffset>4729808</wp:posOffset>
                </wp:positionH>
                <wp:positionV relativeFrom="paragraph">
                  <wp:posOffset>1017128</wp:posOffset>
                </wp:positionV>
                <wp:extent cx="273499" cy="314325"/>
                <wp:effectExtent l="0" t="0" r="0" b="0"/>
                <wp:wrapNone/>
                <wp:docPr id="59" name="Text Box 59"/>
                <wp:cNvGraphicFramePr/>
                <a:graphic xmlns:a="http://schemas.openxmlformats.org/drawingml/2006/main">
                  <a:graphicData uri="http://schemas.microsoft.com/office/word/2010/wordprocessingShape">
                    <wps:wsp>
                      <wps:cNvSpPr txBox="1"/>
                      <wps:spPr>
                        <a:xfrm flipH="1">
                          <a:off x="0" y="0"/>
                          <a:ext cx="273499" cy="314325"/>
                        </a:xfrm>
                        <a:prstGeom prst="rect">
                          <a:avLst/>
                        </a:prstGeom>
                        <a:noFill/>
                        <a:ln w="6350">
                          <a:noFill/>
                        </a:ln>
                      </wps:spPr>
                      <wps:txbx>
                        <w:txbxContent>
                          <w:p w14:paraId="61ADDC7D" w14:textId="6942BB6F" w:rsidR="00ED0D9A" w:rsidRDefault="00ED0D9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E4334" id="_x0000_t202" coordsize="21600,21600" o:spt="202" path="m,l,21600r21600,l21600,xe">
                <v:stroke joinstyle="miter"/>
                <v:path gradientshapeok="t" o:connecttype="rect"/>
              </v:shapetype>
              <v:shape id="Text Box 59" o:spid="_x0000_s1027" type="#_x0000_t202" style="position:absolute;margin-left:372.45pt;margin-top:80.1pt;width:21.55pt;height:24.75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" filled="f" stroked="f" strokeweight=".5pt">
                <v:textbox>
                  <w:txbxContent>
                    <w:p w14:paraId="61ADDC7D" w14:textId="6942BB6F" w:rsidR="00ED0D9A" w:rsidRDefault="00ED0D9A">
                      <w:r>
                        <w:t>b</w:t>
                      </w:r>
                    </w:p>
                  </w:txbxContent>
                </v:textbox>
              </v:shape>
            </w:pict>
          </mc:Fallback>
        </mc:AlternateContent>
      </w:r>
      <w:r w:rsidR="00CC23C4" w:rsidRPr="002B3D8A">
        <w:rPr>
          <w:rFonts w:ascii="Arial" w:hAnsi="Arial" w:cs="Arial"/>
          <w:noProof/>
          <w:color w:val="000000" w:themeColor="text1"/>
          <w:sz w:val="24"/>
          <w:szCs w:val="24"/>
        </w:rPr>
        <mc:AlternateContent>
          <mc:Choice Requires="wps">
            <w:drawing>
              <wp:anchor distT="0" distB="0" distL="114300" distR="114300" simplePos="0" relativeHeight="251658240" behindDoc="0" locked="0" layoutInCell="1" allowOverlap="1" wp14:anchorId="4D12C401" wp14:editId="3625EF6F">
                <wp:simplePos x="0" y="0"/>
                <wp:positionH relativeFrom="column">
                  <wp:posOffset>2231732</wp:posOffset>
                </wp:positionH>
                <wp:positionV relativeFrom="paragraph">
                  <wp:posOffset>3358136</wp:posOffset>
                </wp:positionV>
                <wp:extent cx="618410" cy="359417"/>
                <wp:effectExtent l="0" t="0" r="0" b="2540"/>
                <wp:wrapNone/>
                <wp:docPr id="58" name="Text Box 58"/>
                <wp:cNvGraphicFramePr/>
                <a:graphic xmlns:a="http://schemas.openxmlformats.org/drawingml/2006/main">
                  <a:graphicData uri="http://schemas.microsoft.com/office/word/2010/wordprocessingShape">
                    <wps:wsp>
                      <wps:cNvSpPr txBox="1"/>
                      <wps:spPr>
                        <a:xfrm>
                          <a:off x="0" y="0"/>
                          <a:ext cx="618410" cy="359417"/>
                        </a:xfrm>
                        <a:prstGeom prst="rect">
                          <a:avLst/>
                        </a:prstGeom>
                        <a:noFill/>
                        <a:ln w="6350">
                          <a:noFill/>
                        </a:ln>
                      </wps:spPr>
                      <wps:txbx>
                        <w:txbxContent>
                          <w:p w14:paraId="44EAEB6A" w14:textId="28771882" w:rsidR="00ED0D9A" w:rsidRDefault="00ED0D9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12C401" id="Text Box 58" o:spid="_x0000_s1028" type="#_x0000_t202" style="position:absolute;margin-left:175.75pt;margin-top:264.4pt;width:48.7pt;height:28.3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" filled="f" stroked="f" strokeweight=".5pt">
                <v:textbox>
                  <w:txbxContent>
                    <w:p w14:paraId="44EAEB6A" w14:textId="28771882" w:rsidR="00ED0D9A" w:rsidRDefault="00ED0D9A">
                      <w:r>
                        <w:t>a</w:t>
                      </w:r>
                    </w:p>
                  </w:txbxContent>
                </v:textbox>
              </v:shape>
            </w:pict>
          </mc:Fallback>
        </mc:AlternateContent>
      </w:r>
      <w:r w:rsidR="00A33FD8" w:rsidRPr="002B3D8A">
        <w:rPr>
          <w:rFonts w:ascii="Arial" w:hAnsi="Arial" w:cs="Arial"/>
          <w:noProof/>
          <w:color w:val="000000" w:themeColor="text1"/>
          <w:sz w:val="24"/>
          <w:szCs w:val="24"/>
        </w:rPr>
        <w:drawing>
          <wp:inline distT="0" distB="0" distL="0" distR="0" wp14:anchorId="25166C34" wp14:editId="16FE9038">
            <wp:extent cx="5767754" cy="5284177"/>
            <wp:effectExtent l="0" t="0" r="4445" b="0"/>
            <wp:docPr id="57" name="Chart 57">
              <a:extLst xmlns:a="http://schemas.openxmlformats.org/drawingml/2006/main">
                <a:ext uri="{FF2B5EF4-FFF2-40B4-BE49-F238E27FC236}">
                  <a16:creationId xmlns:a16="http://schemas.microsoft.com/office/drawing/2014/main" id="{959C7BC5-DF86-4A9A-A14E-EBEDD9F1AF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1D4FF8" w14:textId="7E874C48" w:rsidR="00755766" w:rsidRDefault="00210EE7" w:rsidP="00126FDD">
      <w:pPr>
        <w:rPr>
          <w:rFonts w:ascii="Arial" w:hAnsi="Arial" w:cs="Arial"/>
          <w:color w:val="000000" w:themeColor="text1"/>
        </w:rPr>
      </w:pPr>
      <w:bookmarkStart w:id="62" w:name="_Toc110342119"/>
      <w:r w:rsidRPr="00502C77">
        <w:rPr>
          <w:rFonts w:ascii="Arial" w:hAnsi="Arial" w:cs="Arial"/>
          <w:color w:val="000000" w:themeColor="text1"/>
        </w:rPr>
        <w:t xml:space="preserve">Figure </w:t>
      </w:r>
      <w:r w:rsidRPr="00502C77">
        <w:rPr>
          <w:rFonts w:ascii="Arial" w:hAnsi="Arial" w:cs="Arial"/>
          <w:color w:val="000000" w:themeColor="text1"/>
        </w:rPr>
        <w:fldChar w:fldCharType="begin"/>
      </w:r>
      <w:r w:rsidRPr="00502C77">
        <w:rPr>
          <w:rFonts w:ascii="Arial" w:hAnsi="Arial" w:cs="Arial"/>
          <w:color w:val="000000" w:themeColor="text1"/>
        </w:rPr>
        <w:instrText xml:space="preserve"> SEQ Figure \* ARABIC </w:instrText>
      </w:r>
      <w:r w:rsidRPr="00502C77">
        <w:rPr>
          <w:rFonts w:ascii="Arial" w:hAnsi="Arial" w:cs="Arial"/>
          <w:color w:val="000000" w:themeColor="text1"/>
        </w:rPr>
        <w:fldChar w:fldCharType="separate"/>
      </w:r>
      <w:r w:rsidR="00C10D2B">
        <w:rPr>
          <w:rFonts w:ascii="Arial" w:hAnsi="Arial" w:cs="Arial"/>
          <w:noProof/>
          <w:color w:val="000000" w:themeColor="text1"/>
        </w:rPr>
        <w:t>16</w:t>
      </w:r>
      <w:r w:rsidRPr="00502C77">
        <w:rPr>
          <w:rFonts w:ascii="Arial" w:hAnsi="Arial" w:cs="Arial"/>
          <w:color w:val="000000" w:themeColor="text1"/>
        </w:rPr>
        <w:fldChar w:fldCharType="end"/>
      </w:r>
      <w:r w:rsidRPr="00502C77">
        <w:rPr>
          <w:rFonts w:ascii="Arial" w:hAnsi="Arial" w:cs="Arial"/>
          <w:color w:val="000000" w:themeColor="text1"/>
        </w:rPr>
        <w:t xml:space="preserve">: Average </w:t>
      </w:r>
      <w:r w:rsidR="00501279">
        <w:rPr>
          <w:rFonts w:ascii="Arial" w:hAnsi="Arial" w:cs="Arial"/>
          <w:color w:val="000000" w:themeColor="text1"/>
        </w:rPr>
        <w:t>r</w:t>
      </w:r>
      <w:r w:rsidRPr="00502C77">
        <w:rPr>
          <w:rFonts w:ascii="Arial" w:hAnsi="Arial" w:cs="Arial"/>
          <w:color w:val="000000" w:themeColor="text1"/>
        </w:rPr>
        <w:t>eproduction factor (RF=</w:t>
      </w:r>
      <w:r w:rsidR="003D7307" w:rsidRPr="003D7307">
        <w:rPr>
          <w:rFonts w:ascii="Arial" w:hAnsi="Arial" w:cs="Arial"/>
          <w:color w:val="000000" w:themeColor="text1"/>
        </w:rPr>
        <w:t xml:space="preserve"> </w:t>
      </w:r>
      <w:r w:rsidR="003D7307" w:rsidRPr="00502C77">
        <w:rPr>
          <w:rFonts w:ascii="Arial" w:hAnsi="Arial" w:cs="Arial"/>
          <w:color w:val="000000" w:themeColor="text1"/>
        </w:rPr>
        <w:t>density at 4weeks /</w:t>
      </w:r>
      <w:r w:rsidRPr="00502C77">
        <w:rPr>
          <w:rFonts w:ascii="Arial" w:hAnsi="Arial" w:cs="Arial"/>
          <w:color w:val="000000" w:themeColor="text1"/>
        </w:rPr>
        <w:t>Initial density (Pi</w:t>
      </w:r>
      <w:r w:rsidR="00AD06B0" w:rsidRPr="00502C77">
        <w:rPr>
          <w:rFonts w:ascii="Arial" w:hAnsi="Arial" w:cs="Arial"/>
          <w:color w:val="000000" w:themeColor="text1"/>
        </w:rPr>
        <w:t>)</w:t>
      </w:r>
      <w:r w:rsidRPr="00502C77">
        <w:rPr>
          <w:rFonts w:ascii="Arial" w:hAnsi="Arial" w:cs="Arial"/>
          <w:color w:val="000000" w:themeColor="text1"/>
        </w:rPr>
        <w:t xml:space="preserve"> of </w:t>
      </w:r>
      <w:r w:rsidR="00AD06B0">
        <w:rPr>
          <w:rFonts w:ascii="Arial" w:hAnsi="Arial" w:cs="Arial"/>
          <w:color w:val="000000" w:themeColor="text1"/>
        </w:rPr>
        <w:t>Stubby root nematodes (</w:t>
      </w:r>
      <w:r w:rsidRPr="00502C77">
        <w:rPr>
          <w:rFonts w:ascii="Arial" w:hAnsi="Arial" w:cs="Arial"/>
          <w:color w:val="000000" w:themeColor="text1"/>
        </w:rPr>
        <w:t>SRN</w:t>
      </w:r>
      <w:r w:rsidR="00000CD2">
        <w:rPr>
          <w:rFonts w:ascii="Arial" w:hAnsi="Arial" w:cs="Arial"/>
          <w:color w:val="000000" w:themeColor="text1"/>
        </w:rPr>
        <w:t>),</w:t>
      </w:r>
      <w:r w:rsidRPr="00502C77">
        <w:rPr>
          <w:rFonts w:ascii="Arial" w:hAnsi="Arial" w:cs="Arial"/>
          <w:color w:val="000000" w:themeColor="text1"/>
        </w:rPr>
        <w:t xml:space="preserve"> Vertical bars show the standard error of the mean (n = 5). Means with the same small letter are not significantly different (p &gt; 0.05)</w:t>
      </w:r>
      <w:r w:rsidR="00501279">
        <w:rPr>
          <w:rFonts w:ascii="Arial" w:hAnsi="Arial" w:cs="Arial"/>
          <w:color w:val="000000" w:themeColor="text1"/>
        </w:rPr>
        <w:t xml:space="preserve"> according t</w:t>
      </w:r>
      <w:r w:rsidR="00185DA2">
        <w:rPr>
          <w:rFonts w:ascii="Arial" w:hAnsi="Arial" w:cs="Arial"/>
          <w:color w:val="000000" w:themeColor="text1"/>
        </w:rPr>
        <w:t>o Turkey HSD</w:t>
      </w:r>
      <w:r w:rsidR="007277BC">
        <w:rPr>
          <w:rFonts w:ascii="Arial" w:hAnsi="Arial" w:cs="Arial"/>
          <w:color w:val="000000" w:themeColor="text1"/>
        </w:rPr>
        <w:t>.</w:t>
      </w:r>
      <w:bookmarkEnd w:id="62"/>
    </w:p>
    <w:p w14:paraId="17CDCD28" w14:textId="2998D018" w:rsidR="00796310" w:rsidRDefault="00796310" w:rsidP="00126FDD">
      <w:pPr>
        <w:rPr>
          <w:rFonts w:ascii="Arial" w:hAnsi="Arial" w:cs="Arial"/>
          <w:color w:val="000000" w:themeColor="text1"/>
        </w:rPr>
      </w:pPr>
    </w:p>
    <w:p w14:paraId="6673E9FB" w14:textId="73619297" w:rsidR="00796310" w:rsidRDefault="00796310" w:rsidP="00126FDD">
      <w:pPr>
        <w:rPr>
          <w:rFonts w:ascii="Arial" w:hAnsi="Arial" w:cs="Arial"/>
          <w:color w:val="000000" w:themeColor="text1"/>
        </w:rPr>
      </w:pPr>
    </w:p>
    <w:p w14:paraId="0141B148" w14:textId="17DFAEC3" w:rsidR="00796310" w:rsidRDefault="00796310" w:rsidP="00126FDD">
      <w:pPr>
        <w:rPr>
          <w:rFonts w:ascii="Arial" w:hAnsi="Arial" w:cs="Arial"/>
          <w:color w:val="000000" w:themeColor="text1"/>
        </w:rPr>
      </w:pPr>
    </w:p>
    <w:p w14:paraId="7B40350B" w14:textId="75A4BC41" w:rsidR="00796310" w:rsidRDefault="00796310" w:rsidP="00126FDD">
      <w:pPr>
        <w:rPr>
          <w:rFonts w:ascii="Arial" w:hAnsi="Arial" w:cs="Arial"/>
          <w:color w:val="000000" w:themeColor="text1"/>
        </w:rPr>
      </w:pPr>
    </w:p>
    <w:p w14:paraId="4BD70E9C" w14:textId="3909BBF9" w:rsidR="00796310" w:rsidRDefault="00796310" w:rsidP="00126FDD">
      <w:pPr>
        <w:rPr>
          <w:rFonts w:ascii="Arial" w:hAnsi="Arial" w:cs="Arial"/>
          <w:color w:val="000000" w:themeColor="text1"/>
        </w:rPr>
      </w:pPr>
    </w:p>
    <w:p w14:paraId="457D018B" w14:textId="07E3408D" w:rsidR="00796310" w:rsidRDefault="00796310" w:rsidP="00126FDD">
      <w:pPr>
        <w:rPr>
          <w:rFonts w:ascii="Arial" w:hAnsi="Arial" w:cs="Arial"/>
          <w:color w:val="000000" w:themeColor="text1"/>
        </w:rPr>
      </w:pPr>
    </w:p>
    <w:p w14:paraId="34301693" w14:textId="1FF292D2" w:rsidR="00796310" w:rsidRDefault="00796310" w:rsidP="00126FDD">
      <w:pPr>
        <w:rPr>
          <w:rFonts w:ascii="Arial" w:hAnsi="Arial" w:cs="Arial"/>
          <w:color w:val="000000" w:themeColor="text1"/>
        </w:rPr>
      </w:pPr>
    </w:p>
    <w:p w14:paraId="28E1318A" w14:textId="77777777" w:rsidR="00796310" w:rsidRDefault="00796310" w:rsidP="00126FDD">
      <w:pPr>
        <w:rPr>
          <w:rFonts w:ascii="Arial" w:hAnsi="Arial" w:cs="Arial"/>
          <w:color w:val="000000" w:themeColor="text1"/>
        </w:rPr>
        <w:sectPr w:rsidR="00796310" w:rsidSect="002572CD">
          <w:pgSz w:w="11906" w:h="16838"/>
          <w:pgMar w:top="1440" w:right="1440" w:bottom="1440" w:left="1440" w:header="708" w:footer="708" w:gutter="0"/>
          <w:cols w:space="708"/>
          <w:docGrid w:linePitch="360"/>
        </w:sectPr>
      </w:pPr>
    </w:p>
    <w:p w14:paraId="527212E4" w14:textId="4B324775" w:rsidR="00755766" w:rsidRPr="002B3D8A" w:rsidRDefault="00A238B1" w:rsidP="006E49E2">
      <w:pPr>
        <w:pStyle w:val="Heading2"/>
        <w:spacing w:line="360" w:lineRule="auto"/>
        <w:rPr>
          <w:rFonts w:ascii="Arial" w:hAnsi="Arial" w:cs="Arial"/>
          <w:b/>
          <w:color w:val="000000" w:themeColor="text1"/>
          <w:sz w:val="24"/>
          <w:szCs w:val="24"/>
        </w:rPr>
      </w:pPr>
      <w:bookmarkStart w:id="63" w:name="_Toc110341301"/>
      <w:r w:rsidRPr="002B3D8A">
        <w:rPr>
          <w:rFonts w:ascii="Arial" w:hAnsi="Arial" w:cs="Arial"/>
          <w:b/>
          <w:color w:val="000000" w:themeColor="text1"/>
          <w:sz w:val="24"/>
          <w:szCs w:val="24"/>
        </w:rPr>
        <w:lastRenderedPageBreak/>
        <w:t xml:space="preserve">2.6 </w:t>
      </w:r>
      <w:r w:rsidR="00C54155" w:rsidRPr="002B3D8A">
        <w:rPr>
          <w:rFonts w:ascii="Arial" w:hAnsi="Arial" w:cs="Arial"/>
          <w:b/>
          <w:color w:val="000000" w:themeColor="text1"/>
          <w:sz w:val="24"/>
          <w:szCs w:val="24"/>
        </w:rPr>
        <w:t>Discussion</w:t>
      </w:r>
      <w:bookmarkEnd w:id="63"/>
      <w:r w:rsidR="00C54155" w:rsidRPr="002B3D8A">
        <w:rPr>
          <w:rFonts w:ascii="Arial" w:hAnsi="Arial" w:cs="Arial"/>
          <w:b/>
          <w:color w:val="000000" w:themeColor="text1"/>
          <w:sz w:val="24"/>
          <w:szCs w:val="24"/>
        </w:rPr>
        <w:t xml:space="preserve"> </w:t>
      </w:r>
    </w:p>
    <w:p w14:paraId="03564A85" w14:textId="75A68D98" w:rsidR="003108C5" w:rsidRDefault="000D030F" w:rsidP="00616CDC">
      <w:pPr>
        <w:spacing w:line="360" w:lineRule="auto"/>
        <w:ind w:left="-284"/>
        <w:jc w:val="both"/>
        <w:rPr>
          <w:rFonts w:ascii="Arial" w:hAnsi="Arial" w:cs="Arial"/>
          <w:color w:val="000000" w:themeColor="text1"/>
          <w:sz w:val="24"/>
          <w:szCs w:val="24"/>
        </w:rPr>
      </w:pPr>
      <w:r>
        <w:rPr>
          <w:rFonts w:ascii="Arial" w:hAnsi="Arial" w:cs="Arial"/>
          <w:color w:val="000000" w:themeColor="text1"/>
          <w:sz w:val="24"/>
          <w:szCs w:val="24"/>
        </w:rPr>
        <w:t>Stubby root nematodes are economically important root ectoparasites affecting sugar beet production. Upto 50% yield losses have been recorded on sugar beet crop showing symptoms of docking disorder</w:t>
      </w:r>
      <w:r w:rsidR="001B2A7F">
        <w:rPr>
          <w:rFonts w:ascii="Arial" w:hAnsi="Arial" w:cs="Arial"/>
          <w:color w:val="000000" w:themeColor="text1"/>
          <w:sz w:val="24"/>
          <w:szCs w:val="24"/>
        </w:rPr>
        <w:t xml:space="preserve"> </w:t>
      </w:r>
      <w:r w:rsidR="001B2A7F">
        <w:rPr>
          <w:rFonts w:ascii="Arial" w:hAnsi="Arial" w:cs="Arial"/>
          <w:color w:val="000000" w:themeColor="text1"/>
          <w:sz w:val="24"/>
          <w:szCs w:val="24"/>
        </w:rPr>
        <w:fldChar w:fldCharType="begin" w:fldLock="1"/>
      </w:r>
      <w:r w:rsidR="001B2A7F">
        <w:rPr>
          <w:rFonts w:ascii="Arial" w:hAnsi="Arial" w:cs="Arial"/>
          <w:color w:val="000000" w:themeColor="text1"/>
          <w:sz w:val="24"/>
          <w:szCs w:val="24"/>
        </w:rPr>
        <w:instrText>ADDIN CSL_CITATION {"citationItems":[{"id":"ITEM-1","itemData":{"DOI":"10.1111/j.1365-3059.1975.tb01879.x","ISSN":"13653059","abstract":"Field experiments in Norfolk in 1969–70 and in Yorkshire and Norfolk in 1970–71 and 1971–72 compared the control of Trichodorus spp. and Longidorus spp. given by different rates of dichloropropene placed by a tine injector and by a sub</w:instrText>
      </w:r>
      <w:r w:rsidR="001B2A7F">
        <w:rPr>
          <w:rFonts w:ascii="Cambria Math" w:hAnsi="Cambria Math" w:cs="Cambria Math"/>
          <w:color w:val="000000" w:themeColor="text1"/>
          <w:sz w:val="24"/>
          <w:szCs w:val="24"/>
        </w:rPr>
        <w:instrText>‐</w:instrText>
      </w:r>
      <w:r w:rsidR="001B2A7F">
        <w:rPr>
          <w:rFonts w:ascii="Arial" w:hAnsi="Arial" w:cs="Arial"/>
          <w:color w:val="000000" w:themeColor="text1"/>
          <w:sz w:val="24"/>
          <w:szCs w:val="24"/>
        </w:rPr>
        <w:instrText>surface sprayer. Increasing rates of fumigant up to 410 1./ha improved nematode control; populations recovered only slightly a year later. The larger rates of fumigant increased sugar yield especially when the crop had shown Docking disorder symptoms, but there was no consistent difference between the two methods of application in controlling nematodes or increasing sugar yield. Copyright © 1975, Wiley Blackwell. All rights reserved","author":[{"dropping-particle":"","family":"Cooke","given":"D. A.","non-dropping-particle":"","parse-names":false,"suffix":""},{"dropping-particle":"","family":"Holden","given":"M. R.","non-dropping-particle":"","parse-names":false,"suffix":""}],"container-title":"Plant Pathology","id":"ITEM-1","issue":"3","issued":{"date-parts":[["1975"]]},"page":"134-139","title":"A Comparison of Two Methods of Overall Fumigation for the Control of Docking Disorder of Sugar Beet","type":"article-journal","volume":"24"},"uris":["http://www.mendeley.com/documents/?uuid=5e78025e-f2f7-482f-acb7-acaa98a7e467"]}],"mendeley":{"formattedCitation":"(Cooke and Holden, 1975)","plainTextFormattedCitation":"(Cooke and Holden, 1975)","previouslyFormattedCitation":"(Cooke and Holden, 1975)"},"properties":{"noteIndex":0},"schema":"https://github.com/citation-style-language/schema/raw/master/csl-citation.json"}</w:instrText>
      </w:r>
      <w:r w:rsidR="001B2A7F">
        <w:rPr>
          <w:rFonts w:ascii="Arial" w:hAnsi="Arial" w:cs="Arial"/>
          <w:color w:val="000000" w:themeColor="text1"/>
          <w:sz w:val="24"/>
          <w:szCs w:val="24"/>
        </w:rPr>
        <w:fldChar w:fldCharType="separate"/>
      </w:r>
      <w:r w:rsidR="001B2A7F" w:rsidRPr="001B2A7F">
        <w:rPr>
          <w:rFonts w:ascii="Arial" w:hAnsi="Arial" w:cs="Arial"/>
          <w:noProof/>
          <w:color w:val="000000" w:themeColor="text1"/>
          <w:sz w:val="24"/>
          <w:szCs w:val="24"/>
        </w:rPr>
        <w:t>(Cooke and Holden, 1975)</w:t>
      </w:r>
      <w:r w:rsidR="001B2A7F">
        <w:rPr>
          <w:rFonts w:ascii="Arial" w:hAnsi="Arial" w:cs="Arial"/>
          <w:color w:val="000000" w:themeColor="text1"/>
          <w:sz w:val="24"/>
          <w:szCs w:val="24"/>
        </w:rPr>
        <w:fldChar w:fldCharType="end"/>
      </w:r>
      <w:r>
        <w:rPr>
          <w:rFonts w:ascii="Arial" w:hAnsi="Arial" w:cs="Arial"/>
          <w:color w:val="000000" w:themeColor="text1"/>
          <w:sz w:val="24"/>
          <w:szCs w:val="24"/>
        </w:rPr>
        <w:t>. The damage caused is mainly influenced by the soil moisture conditions where severe damages have been correlated with wet months</w:t>
      </w:r>
      <w:r w:rsidR="001B2A7F">
        <w:rPr>
          <w:rFonts w:ascii="Arial" w:hAnsi="Arial" w:cs="Arial"/>
          <w:color w:val="000000" w:themeColor="text1"/>
          <w:sz w:val="24"/>
          <w:szCs w:val="24"/>
        </w:rPr>
        <w:t xml:space="preserve"> </w:t>
      </w:r>
      <w:r w:rsidR="001B2A7F">
        <w:rPr>
          <w:rFonts w:ascii="Arial" w:hAnsi="Arial" w:cs="Arial"/>
          <w:color w:val="000000" w:themeColor="text1"/>
          <w:sz w:val="24"/>
          <w:szCs w:val="24"/>
        </w:rPr>
        <w:fldChar w:fldCharType="begin" w:fldLock="1"/>
      </w:r>
      <w:r w:rsidR="001B2A7F">
        <w:rPr>
          <w:rFonts w:ascii="Arial" w:hAnsi="Arial" w:cs="Arial"/>
          <w:color w:val="000000" w:themeColor="text1"/>
          <w:sz w:val="24"/>
          <w:szCs w:val="24"/>
        </w:rPr>
        <w:instrText>ADDIN CSL_CITATION {"citationItems":[{"id":"ITEM-1","itemData":{"DOI":"10.1111/j.1365-3059.1973.tb01800.x","ISSN":"13653059","abstract":"In the years 1963 to 1972 the area of sugar beet in England reported affected with Docking disorder ranged from 174 to 7,819 ha. The disorder was most widespread after heavy May rainfall. Trichodorus spp. and Longidorus spp., which cause the primary damage to seedling roots, were common in sites prone to the disorder and surveyed between 1968 and 1971. Nematode numbers in soil samples taken from these sites at drilling could not be correlated with subsequent yield or root shape. Of the surveyed sites, 104 showed no symptoms of Docking disorder (average root yield=44·5 tonnes/ha), 44 showed symptoms early in the season but these disappeared later (average root yield=34·5 tonnes/ha) and 40 showed persistent symptoms (average root yield=27·0 tonnes/ha). Root shape was worst in sites with persistent symptoms. Docking disorder was impossible to predict accurately because the damage is influenced by growing conditions but it was more likely to be severe in fields with a previous history of the disorder. Copyright © 1973, Wiley Blackwell. All rights reserved","author":[{"dropping-particle":"","family":"Cooke","given":"D. A.","non-dropping-particle":"","parse-names":false,"suffix":""}],"container-title":"Plant Pathology","id":"ITEM-1","issue":"4","issued":{"date-parts":[["1973","12","1"]]},"page":"161-170","publisher":"John Wiley &amp; Sons, Ltd","title":"The Effect of Plant Parasitic Nematodes, Rainfall and Other Factors on Docking Disorder of Sugar Beet","type":"article-journal","volume":"22"},"uris":["http://www.mendeley.com/documents/?uuid=d8b52fbb-4455-4d00-877a-5a32f682cdaa"]}],"mendeley":{"formattedCitation":"(Cooke, 1973)","plainTextFormattedCitation":"(Cooke, 1973)","previouslyFormattedCitation":"(Cooke, 1973)"},"properties":{"noteIndex":0},"schema":"https://github.com/citation-style-language/schema/raw/master/csl-citation.json"}</w:instrText>
      </w:r>
      <w:r w:rsidR="001B2A7F">
        <w:rPr>
          <w:rFonts w:ascii="Arial" w:hAnsi="Arial" w:cs="Arial"/>
          <w:color w:val="000000" w:themeColor="text1"/>
          <w:sz w:val="24"/>
          <w:szCs w:val="24"/>
        </w:rPr>
        <w:fldChar w:fldCharType="separate"/>
      </w:r>
      <w:r w:rsidR="001B2A7F" w:rsidRPr="001B2A7F">
        <w:rPr>
          <w:rFonts w:ascii="Arial" w:hAnsi="Arial" w:cs="Arial"/>
          <w:noProof/>
          <w:color w:val="000000" w:themeColor="text1"/>
          <w:sz w:val="24"/>
          <w:szCs w:val="24"/>
        </w:rPr>
        <w:t>(Cooke, 1973)</w:t>
      </w:r>
      <w:r w:rsidR="001B2A7F">
        <w:rPr>
          <w:rFonts w:ascii="Arial" w:hAnsi="Arial" w:cs="Arial"/>
          <w:color w:val="000000" w:themeColor="text1"/>
          <w:sz w:val="24"/>
          <w:szCs w:val="24"/>
        </w:rPr>
        <w:fldChar w:fldCharType="end"/>
      </w:r>
      <w:r>
        <w:rPr>
          <w:rFonts w:ascii="Arial" w:hAnsi="Arial" w:cs="Arial"/>
          <w:color w:val="000000" w:themeColor="text1"/>
          <w:sz w:val="24"/>
          <w:szCs w:val="24"/>
        </w:rPr>
        <w:t>.</w:t>
      </w:r>
      <w:r w:rsidRPr="002B3D8A">
        <w:rPr>
          <w:rFonts w:ascii="Arial" w:hAnsi="Arial" w:cs="Arial"/>
          <w:color w:val="000000" w:themeColor="text1"/>
          <w:sz w:val="24"/>
          <w:szCs w:val="24"/>
        </w:rPr>
        <w:t xml:space="preserve"> </w:t>
      </w:r>
      <w:r w:rsidR="001B2A7F">
        <w:rPr>
          <w:rFonts w:ascii="Arial" w:hAnsi="Arial" w:cs="Arial"/>
          <w:color w:val="000000" w:themeColor="text1"/>
          <w:sz w:val="24"/>
          <w:szCs w:val="24"/>
        </w:rPr>
        <w:t xml:space="preserve">Management strategies used in the past in management of stubby root nematodes have mainly focused on prophylactic use of nematicides </w:t>
      </w:r>
      <w:r w:rsidR="001B2A7F">
        <w:rPr>
          <w:rFonts w:ascii="Arial" w:hAnsi="Arial" w:cs="Arial"/>
          <w:color w:val="000000" w:themeColor="text1"/>
          <w:sz w:val="24"/>
          <w:szCs w:val="24"/>
        </w:rPr>
        <w:fldChar w:fldCharType="begin" w:fldLock="1"/>
      </w:r>
      <w:r w:rsidR="001B2A7F">
        <w:rPr>
          <w:rFonts w:ascii="Arial" w:hAnsi="Arial" w:cs="Arial"/>
          <w:color w:val="000000" w:themeColor="text1"/>
          <w:sz w:val="24"/>
          <w:szCs w:val="24"/>
        </w:rPr>
        <w:instrText>ADDIN CSL_CITATION {"citationItems":[{"id":"ITEM-1","itemData":{"DOI":"10.1016/0261-2194(84)90026-7","ISSN":"02612194","abstract":"In 25 large-plot field trials in 1978-1980 the effects of recently approved granular pesticides on the establishment and yield of sugar beet were tested. Sugar yields were increased by some treatments at several sites where Docking disorder was anticipated, and plant populations and sugar yields increased at some sites containing severe infestations of soil pests. At several sites there was no response to pesticides, and greater selectivity in the use of granular pesticides on the UK sugar-beet crop is recommended. © 1984.","author":[{"dropping-particle":"","family":"Maughan","given":"G. L.","non-dropping-particle":"","parse-names":false,"suffix":""},{"dropping-particle":"","family":"Cooke","given":"D. A.","non-dropping-particle":"","parse-names":false,"suffix":""},{"dropping-particle":"","family":"Gnanasakthy","given":"A.","non-dropping-particle":"","parse-names":false,"suffix":""}],"container-title":"Crop Protection","id":"ITEM-1","issue":"4","issued":{"date-parts":[["1984"]]},"page":"439-450","title":"The effects of soil-applied granular pesticides on the establishment and yield of sugar beet in commercial fields","type":"article-journal","volume":"3"},"uris":["http://www.mendeley.com/documents/?uuid=6b3299e0-3349-384d-b5cb-9b22038a502d"]}],"mendeley":{"formattedCitation":"(Maughan, Cooke and Gnanasakthy, 1984)","plainTextFormattedCitation":"(Maughan, Cooke and Gnanasakthy, 1984)","previouslyFormattedCitation":"(Maughan, Cooke and Gnanasakthy, 1984)"},"properties":{"noteIndex":0},"schema":"https://github.com/citation-style-language/schema/raw/master/csl-citation.json"}</w:instrText>
      </w:r>
      <w:r w:rsidR="001B2A7F">
        <w:rPr>
          <w:rFonts w:ascii="Arial" w:hAnsi="Arial" w:cs="Arial"/>
          <w:color w:val="000000" w:themeColor="text1"/>
          <w:sz w:val="24"/>
          <w:szCs w:val="24"/>
        </w:rPr>
        <w:fldChar w:fldCharType="separate"/>
      </w:r>
      <w:r w:rsidR="001B2A7F" w:rsidRPr="001B2A7F">
        <w:rPr>
          <w:rFonts w:ascii="Arial" w:hAnsi="Arial" w:cs="Arial"/>
          <w:noProof/>
          <w:color w:val="000000" w:themeColor="text1"/>
          <w:sz w:val="24"/>
          <w:szCs w:val="24"/>
        </w:rPr>
        <w:t>(Maughan, Cooke and Gnanasakthy, 1984)</w:t>
      </w:r>
      <w:r w:rsidR="001B2A7F">
        <w:rPr>
          <w:rFonts w:ascii="Arial" w:hAnsi="Arial" w:cs="Arial"/>
          <w:color w:val="000000" w:themeColor="text1"/>
          <w:sz w:val="24"/>
          <w:szCs w:val="24"/>
        </w:rPr>
        <w:fldChar w:fldCharType="end"/>
      </w:r>
      <w:r w:rsidR="001B2A7F">
        <w:rPr>
          <w:rFonts w:ascii="Arial" w:hAnsi="Arial" w:cs="Arial"/>
          <w:color w:val="000000" w:themeColor="text1"/>
          <w:sz w:val="24"/>
          <w:szCs w:val="24"/>
        </w:rPr>
        <w:t xml:space="preserve">, but most of these nematicides </w:t>
      </w:r>
      <w:r w:rsidR="002264E0">
        <w:rPr>
          <w:rFonts w:ascii="Arial" w:hAnsi="Arial" w:cs="Arial"/>
          <w:color w:val="000000" w:themeColor="text1"/>
          <w:sz w:val="24"/>
          <w:szCs w:val="24"/>
        </w:rPr>
        <w:t xml:space="preserve">such as Vydate </w:t>
      </w:r>
      <w:r w:rsidR="001B2A7F">
        <w:rPr>
          <w:rFonts w:ascii="Arial" w:hAnsi="Arial" w:cs="Arial"/>
          <w:color w:val="000000" w:themeColor="text1"/>
          <w:sz w:val="24"/>
          <w:szCs w:val="24"/>
        </w:rPr>
        <w:t xml:space="preserve">have been banned </w:t>
      </w:r>
      <w:r w:rsidR="002264E0">
        <w:rPr>
          <w:rFonts w:ascii="Arial" w:hAnsi="Arial" w:cs="Arial"/>
          <w:color w:val="000000" w:themeColor="text1"/>
          <w:sz w:val="24"/>
          <w:szCs w:val="24"/>
        </w:rPr>
        <w:t xml:space="preserve">hence need to develop alternative management strategies </w:t>
      </w:r>
      <w:r w:rsidR="001B2A7F">
        <w:rPr>
          <w:rFonts w:ascii="Arial" w:hAnsi="Arial" w:cs="Arial"/>
          <w:color w:val="000000" w:themeColor="text1"/>
          <w:sz w:val="24"/>
          <w:szCs w:val="24"/>
        </w:rPr>
        <w:fldChar w:fldCharType="begin" w:fldLock="1"/>
      </w:r>
      <w:r w:rsidR="00C527F1">
        <w:rPr>
          <w:rFonts w:ascii="Arial" w:hAnsi="Arial" w:cs="Arial"/>
          <w:color w:val="000000" w:themeColor="text1"/>
          <w:sz w:val="24"/>
          <w:szCs w:val="24"/>
        </w:rPr>
        <w:instrText>ADDIN CSL_CITATION {"citationItems":[{"id":"ITEM-1","itemData":{"author":[{"dropping-particle":"","family":"Stevens","given":"Mark","non-dropping-particle":"","parse-names":false,"suffix":""}],"container-title":"British Sugar Beet Review","id":"ITEM-1","issue":"4","issued":{"date-parts":[["2015"]]},"number-of-pages":"4","title":"Vydate Update: latest consequences for FLN control in sugar beet","type":"report","volume":"83"},"uris":["http://www.mendeley.com/documents/?uuid=f70165e8-3398-4f3a-b87e-f2329a5b3ef3"]}],"mendeley":{"formattedCitation":"(Stevens, 2015)","plainTextFormattedCitation":"(Stevens, 2015)","previouslyFormattedCitation":"(Stevens, 2015)"},"properties":{"noteIndex":0},"schema":"https://github.com/citation-style-language/schema/raw/master/csl-citation.json"}</w:instrText>
      </w:r>
      <w:r w:rsidR="001B2A7F">
        <w:rPr>
          <w:rFonts w:ascii="Arial" w:hAnsi="Arial" w:cs="Arial"/>
          <w:color w:val="000000" w:themeColor="text1"/>
          <w:sz w:val="24"/>
          <w:szCs w:val="24"/>
        </w:rPr>
        <w:fldChar w:fldCharType="separate"/>
      </w:r>
      <w:r w:rsidR="001B2A7F" w:rsidRPr="001B2A7F">
        <w:rPr>
          <w:rFonts w:ascii="Arial" w:hAnsi="Arial" w:cs="Arial"/>
          <w:noProof/>
          <w:color w:val="000000" w:themeColor="text1"/>
          <w:sz w:val="24"/>
          <w:szCs w:val="24"/>
        </w:rPr>
        <w:t>(Stevens, 2015)</w:t>
      </w:r>
      <w:r w:rsidR="001B2A7F">
        <w:rPr>
          <w:rFonts w:ascii="Arial" w:hAnsi="Arial" w:cs="Arial"/>
          <w:color w:val="000000" w:themeColor="text1"/>
          <w:sz w:val="24"/>
          <w:szCs w:val="24"/>
        </w:rPr>
        <w:fldChar w:fldCharType="end"/>
      </w:r>
      <w:r w:rsidR="00CC23C4">
        <w:rPr>
          <w:rFonts w:ascii="Arial" w:hAnsi="Arial" w:cs="Arial"/>
          <w:color w:val="000000" w:themeColor="text1"/>
          <w:sz w:val="24"/>
          <w:szCs w:val="24"/>
        </w:rPr>
        <w:t xml:space="preserve">. </w:t>
      </w:r>
      <w:r>
        <w:rPr>
          <w:rFonts w:ascii="Arial" w:hAnsi="Arial" w:cs="Arial"/>
          <w:color w:val="000000" w:themeColor="text1"/>
          <w:sz w:val="24"/>
          <w:szCs w:val="24"/>
        </w:rPr>
        <w:t xml:space="preserve">Studies conducted in these experiments seek to develop potential cover crop species capable </w:t>
      </w:r>
      <w:r w:rsidR="001B2A7F">
        <w:rPr>
          <w:rFonts w:ascii="Arial" w:hAnsi="Arial" w:cs="Arial"/>
          <w:color w:val="000000" w:themeColor="text1"/>
          <w:sz w:val="24"/>
          <w:szCs w:val="24"/>
        </w:rPr>
        <w:t>of</w:t>
      </w:r>
      <w:r>
        <w:rPr>
          <w:rFonts w:ascii="Arial" w:hAnsi="Arial" w:cs="Arial"/>
          <w:color w:val="000000" w:themeColor="text1"/>
          <w:sz w:val="24"/>
          <w:szCs w:val="24"/>
        </w:rPr>
        <w:t xml:space="preserve"> suppressing SRN densities. An effective extraction method was essential in method development as the screening involves careful quantification of initial and final nematode densities. Results from the comparison experiments </w:t>
      </w:r>
      <w:r w:rsidR="003108C5">
        <w:rPr>
          <w:rFonts w:ascii="Arial" w:hAnsi="Arial" w:cs="Arial"/>
          <w:color w:val="000000" w:themeColor="text1"/>
          <w:sz w:val="24"/>
          <w:szCs w:val="24"/>
        </w:rPr>
        <w:t xml:space="preserve">conducted </w:t>
      </w:r>
      <w:r>
        <w:rPr>
          <w:rFonts w:ascii="Arial" w:hAnsi="Arial" w:cs="Arial"/>
          <w:color w:val="000000" w:themeColor="text1"/>
          <w:sz w:val="24"/>
          <w:szCs w:val="24"/>
        </w:rPr>
        <w:t xml:space="preserve">indicated that both methods </w:t>
      </w:r>
      <w:r w:rsidR="001B2A7F">
        <w:rPr>
          <w:rFonts w:ascii="Arial" w:hAnsi="Arial" w:cs="Arial"/>
          <w:color w:val="000000" w:themeColor="text1"/>
          <w:sz w:val="24"/>
          <w:szCs w:val="24"/>
        </w:rPr>
        <w:t>(Seinhorst two-flask and Centrifugal floatation</w:t>
      </w:r>
      <w:r w:rsidR="002264E0">
        <w:rPr>
          <w:rFonts w:ascii="Arial" w:hAnsi="Arial" w:cs="Arial"/>
          <w:color w:val="000000" w:themeColor="text1"/>
          <w:sz w:val="24"/>
          <w:szCs w:val="24"/>
        </w:rPr>
        <w:t xml:space="preserve">) </w:t>
      </w:r>
      <w:r>
        <w:rPr>
          <w:rFonts w:ascii="Arial" w:hAnsi="Arial" w:cs="Arial"/>
          <w:color w:val="000000" w:themeColor="text1"/>
          <w:sz w:val="24"/>
          <w:szCs w:val="24"/>
        </w:rPr>
        <w:t xml:space="preserve">were effective in recovering the SRN species as no differences </w:t>
      </w:r>
      <w:r w:rsidR="002264E0">
        <w:rPr>
          <w:rFonts w:ascii="Arial" w:hAnsi="Arial" w:cs="Arial"/>
          <w:color w:val="000000" w:themeColor="text1"/>
          <w:sz w:val="24"/>
          <w:szCs w:val="24"/>
        </w:rPr>
        <w:t xml:space="preserve">in densities recovered </w:t>
      </w:r>
      <w:r>
        <w:rPr>
          <w:rFonts w:ascii="Arial" w:hAnsi="Arial" w:cs="Arial"/>
          <w:color w:val="000000" w:themeColor="text1"/>
          <w:sz w:val="24"/>
          <w:szCs w:val="24"/>
        </w:rPr>
        <w:t xml:space="preserve">were observed. This can be explained by the </w:t>
      </w:r>
      <w:r w:rsidR="003108C5">
        <w:rPr>
          <w:rFonts w:ascii="Arial" w:hAnsi="Arial" w:cs="Arial"/>
          <w:color w:val="000000" w:themeColor="text1"/>
          <w:sz w:val="24"/>
          <w:szCs w:val="24"/>
        </w:rPr>
        <w:t xml:space="preserve">fact that the two methods are based on nematode density and not motility like other extraction methods, hence </w:t>
      </w:r>
      <w:r>
        <w:rPr>
          <w:rFonts w:ascii="Arial" w:hAnsi="Arial" w:cs="Arial"/>
          <w:color w:val="000000" w:themeColor="text1"/>
          <w:sz w:val="24"/>
          <w:szCs w:val="24"/>
        </w:rPr>
        <w:t>ma</w:t>
      </w:r>
      <w:r w:rsidR="003108C5">
        <w:rPr>
          <w:rFonts w:ascii="Arial" w:hAnsi="Arial" w:cs="Arial"/>
          <w:color w:val="000000" w:themeColor="text1"/>
          <w:sz w:val="24"/>
          <w:szCs w:val="24"/>
        </w:rPr>
        <w:t>tches</w:t>
      </w:r>
      <w:r>
        <w:rPr>
          <w:rFonts w:ascii="Arial" w:hAnsi="Arial" w:cs="Arial"/>
          <w:color w:val="000000" w:themeColor="text1"/>
          <w:sz w:val="24"/>
          <w:szCs w:val="24"/>
        </w:rPr>
        <w:t xml:space="preserve"> well with the nature of </w:t>
      </w:r>
      <w:r w:rsidR="003108C5">
        <w:rPr>
          <w:rFonts w:ascii="Arial" w:hAnsi="Arial" w:cs="Arial"/>
          <w:color w:val="000000" w:themeColor="text1"/>
          <w:sz w:val="24"/>
          <w:szCs w:val="24"/>
        </w:rPr>
        <w:t xml:space="preserve">SRN which are </w:t>
      </w:r>
      <w:r w:rsidR="00693BC4">
        <w:rPr>
          <w:rFonts w:ascii="Arial" w:hAnsi="Arial" w:cs="Arial"/>
          <w:color w:val="000000" w:themeColor="text1"/>
          <w:sz w:val="24"/>
          <w:szCs w:val="24"/>
        </w:rPr>
        <w:t>sluggish meaning</w:t>
      </w:r>
      <w:r w:rsidR="003108C5">
        <w:rPr>
          <w:rFonts w:ascii="Arial" w:hAnsi="Arial" w:cs="Arial"/>
          <w:color w:val="000000" w:themeColor="text1"/>
          <w:sz w:val="24"/>
          <w:szCs w:val="24"/>
        </w:rPr>
        <w:t xml:space="preserve"> they cannot be recovered by a method that requires nematode motility</w:t>
      </w:r>
      <w:r w:rsidR="002264E0">
        <w:rPr>
          <w:rFonts w:ascii="Arial" w:hAnsi="Arial" w:cs="Arial"/>
          <w:color w:val="000000" w:themeColor="text1"/>
          <w:sz w:val="24"/>
          <w:szCs w:val="24"/>
        </w:rPr>
        <w:t xml:space="preserve">. In the centrifugal floatation method, the two fluids (Magnesium sulphate heptahydrate and </w:t>
      </w:r>
      <w:r w:rsidR="00AD06B0">
        <w:rPr>
          <w:rFonts w:ascii="Arial" w:hAnsi="Arial" w:cs="Arial"/>
          <w:color w:val="000000" w:themeColor="text1"/>
          <w:sz w:val="24"/>
          <w:szCs w:val="24"/>
        </w:rPr>
        <w:t>Ludox)</w:t>
      </w:r>
      <w:r w:rsidR="002264E0">
        <w:rPr>
          <w:rFonts w:ascii="Arial" w:hAnsi="Arial" w:cs="Arial"/>
          <w:color w:val="000000" w:themeColor="text1"/>
          <w:sz w:val="24"/>
          <w:szCs w:val="24"/>
        </w:rPr>
        <w:t xml:space="preserve"> achieved comparable nematode densities and also equally maintained the SRN integrity for accurate quantification and identification. </w:t>
      </w:r>
      <w:r w:rsidR="002264E0" w:rsidRPr="002264E0">
        <w:rPr>
          <w:rFonts w:ascii="Arial" w:hAnsi="Arial" w:cs="Arial"/>
          <w:color w:val="000000" w:themeColor="text1"/>
          <w:sz w:val="24"/>
          <w:szCs w:val="24"/>
        </w:rPr>
        <w:t xml:space="preserve"> </w:t>
      </w:r>
      <w:r w:rsidR="002264E0">
        <w:rPr>
          <w:rFonts w:ascii="Arial" w:hAnsi="Arial" w:cs="Arial"/>
          <w:color w:val="000000" w:themeColor="text1"/>
          <w:sz w:val="24"/>
          <w:szCs w:val="24"/>
        </w:rPr>
        <w:t xml:space="preserve">Magnesium sulphate </w:t>
      </w:r>
      <w:r w:rsidR="00AD06B0">
        <w:rPr>
          <w:rFonts w:ascii="Arial" w:hAnsi="Arial" w:cs="Arial"/>
          <w:color w:val="000000" w:themeColor="text1"/>
          <w:sz w:val="24"/>
          <w:szCs w:val="24"/>
        </w:rPr>
        <w:t>heptahydrate was</w:t>
      </w:r>
      <w:r w:rsidR="002264E0">
        <w:rPr>
          <w:rFonts w:ascii="Arial" w:hAnsi="Arial" w:cs="Arial"/>
          <w:color w:val="000000" w:themeColor="text1"/>
          <w:sz w:val="24"/>
          <w:szCs w:val="24"/>
        </w:rPr>
        <w:t xml:space="preserve"> selected </w:t>
      </w:r>
      <w:r w:rsidR="00AD06B0">
        <w:rPr>
          <w:rFonts w:ascii="Arial" w:hAnsi="Arial" w:cs="Arial"/>
          <w:color w:val="000000" w:themeColor="text1"/>
          <w:sz w:val="24"/>
          <w:szCs w:val="24"/>
        </w:rPr>
        <w:t xml:space="preserve">as the extraction liquid moving forward due to its affordability compared to Ludox. </w:t>
      </w:r>
    </w:p>
    <w:p w14:paraId="5C36A73D" w14:textId="502D996D" w:rsidR="00C8179F" w:rsidRPr="002B3D8A" w:rsidRDefault="6AC1B2C3" w:rsidP="00616CDC">
      <w:pPr>
        <w:spacing w:line="360" w:lineRule="auto"/>
        <w:ind w:left="-284"/>
        <w:jc w:val="both"/>
        <w:rPr>
          <w:rFonts w:ascii="Arial" w:hAnsi="Arial" w:cs="Arial"/>
          <w:color w:val="000000" w:themeColor="text1"/>
          <w:sz w:val="24"/>
          <w:szCs w:val="24"/>
        </w:rPr>
      </w:pPr>
      <w:r w:rsidRPr="6AC1B2C3">
        <w:rPr>
          <w:rFonts w:ascii="Arial" w:hAnsi="Arial" w:cs="Arial"/>
          <w:color w:val="000000" w:themeColor="text1"/>
          <w:sz w:val="24"/>
          <w:szCs w:val="24"/>
        </w:rPr>
        <w:t>Results from the glasshouse experiment on host status of the different cover crop species indicated lack of nematode reproduction, which was observed across all treatments including the susceptible control (Italian ryegrass). This result could be attributed to the sensitive nature of Trichodorids. The temperature profile recorded in the glasshouse throughout the experiment incubation, showed a spike in the temperature (36°C) at the beginning of the experiment, which might have interfered with nematode reproduction. Previous studies have shown that nematodes in the family Trichodoridae thrive well in temperatures between 21-24°C (</w:t>
      </w:r>
      <w:r w:rsidRPr="6AC1B2C3">
        <w:rPr>
          <w:rFonts w:ascii="Arial" w:hAnsi="Arial" w:cs="Arial"/>
          <w:i/>
          <w:iCs/>
          <w:color w:val="000000" w:themeColor="text1"/>
          <w:sz w:val="24"/>
          <w:szCs w:val="24"/>
        </w:rPr>
        <w:t>Trichodorus</w:t>
      </w:r>
      <w:r w:rsidRPr="6AC1B2C3">
        <w:rPr>
          <w:rFonts w:ascii="Arial" w:hAnsi="Arial" w:cs="Arial"/>
          <w:color w:val="000000" w:themeColor="text1"/>
          <w:sz w:val="24"/>
          <w:szCs w:val="24"/>
        </w:rPr>
        <w:t xml:space="preserve"> spp) and 22-27°C (</w:t>
      </w:r>
      <w:r w:rsidRPr="6AC1B2C3">
        <w:rPr>
          <w:rFonts w:ascii="Arial" w:hAnsi="Arial" w:cs="Arial"/>
          <w:i/>
          <w:iCs/>
          <w:color w:val="000000" w:themeColor="text1"/>
          <w:sz w:val="24"/>
          <w:szCs w:val="24"/>
        </w:rPr>
        <w:t>Paratrichodorus</w:t>
      </w:r>
      <w:r w:rsidRPr="6AC1B2C3">
        <w:rPr>
          <w:rFonts w:ascii="Arial" w:hAnsi="Arial" w:cs="Arial"/>
          <w:color w:val="000000" w:themeColor="text1"/>
          <w:sz w:val="24"/>
          <w:szCs w:val="24"/>
        </w:rPr>
        <w:t xml:space="preserve"> spp) and temperatures beyond that leads to their death or low reproduction </w:t>
      </w:r>
      <w:r w:rsidR="00A70069" w:rsidRPr="6AC1B2C3">
        <w:rPr>
          <w:rFonts w:ascii="Arial" w:hAnsi="Arial" w:cs="Arial"/>
          <w:color w:val="000000" w:themeColor="text1"/>
          <w:sz w:val="24"/>
          <w:szCs w:val="24"/>
        </w:rPr>
        <w:fldChar w:fldCharType="begin" w:fldLock="1"/>
      </w:r>
      <w:r w:rsidR="00A70069" w:rsidRPr="6AC1B2C3">
        <w:rPr>
          <w:rFonts w:ascii="Arial" w:hAnsi="Arial" w:cs="Arial"/>
          <w:color w:val="000000" w:themeColor="text1"/>
          <w:sz w:val="24"/>
          <w:szCs w:val="24"/>
        </w:rPr>
        <w:instrText>ADDIN CSL_CITATION {"citationItems":[{"id":"ITEM-1","itemData":{"DOI":"10.46429/jaupr.v54i2.11098","ISSN":"0041-994X","abstract":"Populations of T. allius increased to levels nine times higher in Glurk tobacco plants infected with California tobacco rattle virus than in healthy plants of the same variety and age. Populations of T. christiei increased with applications of Hoagland's nutrient solution diluted up to 50-percent concentration, whereas population densities were low at the highest concentration (100 percent), and in water alone. Trichodorus allius did not seem to be affected to a large extent by similar applications of Hoagland's nutrient solution. Soil type influenced populations of T. allius; lighter soils were conducive to development of higher populations while soil, coarse sand, and white quartz sand used separately were not favorable for reproduction. Temperature proved to be one of the most important ecological factors in nematode reproduction. The optimum temperatures for the reproduction of each species was as follows: T. christiei, 16° to 24° C; T. porosus, 24° C; and. T allius, 21° to 24° C. Extremes of temperatures at which the different species could reproduce also varied. Populations of T. christiei were affected by an undetermined disease or condition which seemed to slow movement but did not have any apparent effect on rate of reproduction. Host ranges of three species of Trichodorus were studied. All three nematode species seemed to be polyphagous because 90 percent, 90 percent and 95 percent of the plant species tested were hosts of T. christiei, T. porosus, and T. allius, respectively. Twenty-five plant species were tested for T. porosus, 50 for T. christiei and 38 for T. allius. A method is described for keeping populations of T. allius alive in water for extended periods of time.","author":[{"dropping-particle":"","family":"Ayala","given":"Alejandro","non-dropping-particle":"","parse-names":false,"suffix":""},{"dropping-particle":"","family":"Allen","given":"M. W.","non-dropping-particle":"","parse-names":false,"suffix":""},{"dropping-particle":"","family":"Noffsinger","given":"E. M.","non-dropping-particle":"","parse-names":false,"suffix":""}],"container-title":"The Journal of Agriculture of the University of Puerto Rico","id":"ITEM-1","issue":"9","issued":{"date-parts":[["1969"]]},"page":"341-369","title":"Host Range, Biology, and Factors Affecting Survival and Reproduction of the Stubby Root Nematode","type":"article-journal","volume":"54"},"uris":["http://www.mendeley.com/documents/?uuid=f20ddf7a-3335-4e00-bb93-c8e2c1b18b6d"]},{"id":"ITEM-2","itemData":{"ISBN":"0031-949X","author":[{"dropping-particle":"","family":"Rohde","given":"R A","non-dropping-particle":"","parse-names":false,"suffix":""},{"dropping-particle":"","family":"Jenkins","given":"W R","non-dropping-particle":"","parse-names":false,"suffix":""}],"container-title":"Phytopathology","id":"ITEM-2","issue":"1","issued":{"date-parts":[["1957"]]},"page":"29","publisher":"AMER PHYTOPATHOLOGICAL SOC 3340 PILOT KNOB ROAD, ST PAUL, MN 55121","title":"Effect of temperature on the life cycle of stubby-root nematodes","type":"paper-conference","volume":"47"},"uris":["http://www.mendeley.com/documents/?uuid=5123e9e5-d822-4ce9-89cf-9080be28a6a1"]}],"mendeley":{"formattedCitation":"(Rohde and Jenkins, 1957; Ayala, Allen and Noffsinger, 1969)","plainTextFormattedCitation":"(Rohde and Jenkins, 1957; Ayala, Allen and Noffsinger, 1969)","previouslyFormattedCitation":"(Rohde and Jenkins, 1957; Ayala, Allen and Noffsinger, 1969)"},"properties":{"noteIndex":0},"schema":"https://github.com/citation-style-language/schema/raw/master/csl-citation.json"}</w:instrText>
      </w:r>
      <w:r w:rsidR="00A70069" w:rsidRPr="6AC1B2C3">
        <w:rPr>
          <w:rFonts w:ascii="Arial" w:hAnsi="Arial" w:cs="Arial"/>
          <w:color w:val="000000" w:themeColor="text1"/>
          <w:sz w:val="24"/>
          <w:szCs w:val="24"/>
        </w:rPr>
        <w:fldChar w:fldCharType="separate"/>
      </w:r>
      <w:r w:rsidRPr="6AC1B2C3">
        <w:rPr>
          <w:rFonts w:ascii="Arial" w:hAnsi="Arial" w:cs="Arial"/>
          <w:noProof/>
          <w:color w:val="000000" w:themeColor="text1"/>
          <w:sz w:val="24"/>
          <w:szCs w:val="24"/>
        </w:rPr>
        <w:t>(Rohde and Jenkins, 1957; Ayala, Allen and Noffsinger, 1969)</w:t>
      </w:r>
      <w:r w:rsidR="00A70069" w:rsidRPr="6AC1B2C3">
        <w:rPr>
          <w:rFonts w:ascii="Arial" w:hAnsi="Arial" w:cs="Arial"/>
          <w:color w:val="000000" w:themeColor="text1"/>
          <w:sz w:val="24"/>
          <w:szCs w:val="24"/>
        </w:rPr>
        <w:fldChar w:fldCharType="end"/>
      </w:r>
      <w:r w:rsidRPr="6AC1B2C3">
        <w:rPr>
          <w:rFonts w:ascii="Arial" w:hAnsi="Arial" w:cs="Arial"/>
          <w:color w:val="000000" w:themeColor="text1"/>
          <w:sz w:val="24"/>
          <w:szCs w:val="24"/>
        </w:rPr>
        <w:t xml:space="preserve">. The increase in temperature might </w:t>
      </w:r>
      <w:r w:rsidRPr="6AC1B2C3">
        <w:rPr>
          <w:rFonts w:ascii="Arial" w:hAnsi="Arial" w:cs="Arial"/>
          <w:color w:val="000000" w:themeColor="text1"/>
          <w:sz w:val="24"/>
          <w:szCs w:val="24"/>
        </w:rPr>
        <w:lastRenderedPageBreak/>
        <w:t>also have affected the moisture content in the pot therefore creating an unfavourable environment for the nematodes to reproduce. Sensitivity of Trichodorid densities to moisture content in the soil have been shown in a study where high numbers were positively correlated to wet conditions in May</w:t>
      </w:r>
      <w:r w:rsidR="00A70069" w:rsidRPr="6AC1B2C3">
        <w:rPr>
          <w:rFonts w:ascii="Arial" w:hAnsi="Arial" w:cs="Arial"/>
          <w:color w:val="000000" w:themeColor="text1"/>
          <w:sz w:val="24"/>
          <w:szCs w:val="24"/>
        </w:rPr>
        <w:fldChar w:fldCharType="begin" w:fldLock="1"/>
      </w:r>
      <w:r w:rsidR="00A70069" w:rsidRPr="6AC1B2C3">
        <w:rPr>
          <w:rFonts w:ascii="Arial" w:hAnsi="Arial" w:cs="Arial"/>
          <w:color w:val="000000" w:themeColor="text1"/>
          <w:sz w:val="24"/>
          <w:szCs w:val="24"/>
        </w:rPr>
        <w:instrText>ADDIN CSL_CITATION {"citationItems":[{"id":"ITEM-1","itemData":{"DOI":"10.1016/0038-0717(69)90006-6","ISSN":"00380717","abstract":"In soils space and moisture are critical factors determining their suitability for nematodes which are confined to existing spaces. Although they may squeeze through necks with diameters somewhat smaller than their own, the diameter of the necks determine whether passage is possible. The mean free path that can be traversed before encountering blind ends or impassable necks is probably also important especially for long nematodes. Studies of artificial soils composed of uniform spheres have little relevance to the penetration of soil spaces by nematodes but they suggest that, except in coarse soils, nematodes cannot penetrate the spaces between particles but are confined to those between aggregates. In an unfilled woodland soil containing much clay, Xiphinema diversicaudatum were seen in macropores between impenetrable aggregates. The amount of usable space in the soil was estimated from the moisture characteristic of samples taken down the profile. At 2, 6,18 and 30 cm, 13, 8, 6 and 5 per cent of the soil volume was available and the decrease with depth corresponded with increasing amounts of clay. Helerodera spp. occurred in fine and coarse-textured soils but Trichodorus and Lonfidorus spp. occurred significantly only in soils with 80 per cent or more of coarse particles (fine and coarse sand). Tillage increases the amount of space available to nematodes even in fine soils with much clay. Weathering and later cultivations may break down aggregates and decrease available space. Some tilled soils with weak aggregates contain particles of such shapes and sizes that they readily compact to a system with few interconnecting pores of a size through which nematodes can pass. Coarse sandy soils are unstable and tend to compact but even when partly compacted provide space for Trichodorus and Longidorus spp. to move. Whereas ectoparasitic nematodes live entirely in the soil, endoparasitic ones soon leave it to enter plant-roots where they are unaffected by soil moisture. As coarse soils soon drain and as nematodes can only function when structural moisture forces are small, rainfall is probably important to ectoparasitic species. In sugar beet crops stunted by ectoparasitic nematodes the summation of nematode activity is probably related to cumulative rainfall. Dry spells in May and early June probably immobilize nematodes long enough to enable stunted root systems to recover after which plants begin to grow. H. schachtii was unable to multiply in Cantley soil …","author":[{"dropping-particle":"","family":"Jones","given":"F. G.W.","non-dropping-particle":"","parse-names":false,"suffix":""},{"dropping-particle":"","family":"Larbey","given":"D. W.","non-dropping-particle":"","parse-names":false,"suffix":""},{"dropping-particle":"","family":"Parrott","given":"Diana M.","non-dropping-particle":"","parse-names":false,"suffix":""}],"container-title":"Soil Biology and Biochemistry","id":"ITEM-1","issue":"2","issued":{"date-parts":[["1969"]]},"title":"The influence of soil structure and moisture on nematodes, especially xiphinema, longidorus, trichodorus and heterodera spp.","type":"article-journal","volume":"1"},"uris":["http://www.mendeley.com/documents/?uuid=58948e36-6e46-45ba-b6c6-b73181e2b5f6"]},{"id":"ITEM-2","itemData":{"DOI":"10.1111/j.1365-3059.1973.tb01800.x","ISSN":"13653059","abstract":"In the years 1963 to 1972 the area of sugar beet in England reported affected with Docking disorder ranged from 174 to 7,819 ha. The disorder was most widespread after heavy May rainfall. Trichodorus spp. and Longidorus spp., which cause the primary damage to seedling roots, were common in sites prone to the disorder and surveyed between 1968 and 1971. Nematode numbers in soil samples taken from these sites at drilling could not be correlated with subsequent yield or root shape. Of the surveyed sites, 104 showed no symptoms of Docking disorder (average root yield=44·5 tonnes/ha), 44 showed symptoms early in the season but these disappeared later (average root yield=34·5 tonnes/ha) and 40 showed persistent symptoms (average root yield=27·0 tonnes/ha). Root shape was worst in sites with persistent symptoms. Docking disorder was impossible to predict accurately because the damage is influenced by growing conditions but it was more likely to be severe in fields with a previous history of the disorder. Copyright © 1973, Wiley Blackwell. All rights reserved","author":[{"dropping-particle":"","family":"Cooke","given":"D. A.","non-dropping-particle":"","parse-names":false,"suffix":""}],"container-title":"Plant Pathology","id":"ITEM-2","issue":"4","issued":{"date-parts":[["1973","12","1"]]},"page":"161-170","publisher":"John Wiley &amp; Sons, Ltd","title":"The Effect of Plant Parasitic Nematodes, Rainfall and Other Factors on Docking Disorder of Sugar Beet","type":"article-journal","volume":"22"},"uris":["http://www.mendeley.com/documents/?uuid=d8b52fbb-4455-4d00-877a-5a32f682cdaa"]}],"mendeley":{"formattedCitation":"(Jones, Larbey and Parrott, 1969; Cooke, 1973)","plainTextFormattedCitation":"(Jones, Larbey and Parrott, 1969; Cooke, 1973)","previouslyFormattedCitation":"(Jones, Larbey and Parrott, 1969; Cooke, 1973)"},"properties":{"noteIndex":0},"schema":"https://github.com/citation-style-language/schema/raw/master/csl-citation.json"}</w:instrText>
      </w:r>
      <w:r w:rsidR="00A70069" w:rsidRPr="6AC1B2C3">
        <w:rPr>
          <w:rFonts w:ascii="Arial" w:hAnsi="Arial" w:cs="Arial"/>
          <w:color w:val="000000" w:themeColor="text1"/>
          <w:sz w:val="24"/>
          <w:szCs w:val="24"/>
        </w:rPr>
        <w:fldChar w:fldCharType="separate"/>
      </w:r>
      <w:r w:rsidRPr="6AC1B2C3">
        <w:rPr>
          <w:rFonts w:ascii="Arial" w:hAnsi="Arial" w:cs="Arial"/>
          <w:noProof/>
          <w:color w:val="000000" w:themeColor="text1"/>
          <w:sz w:val="24"/>
          <w:szCs w:val="24"/>
        </w:rPr>
        <w:t>(Jones, Larbey and Parrott, 1969; Cooke, 1973)</w:t>
      </w:r>
      <w:r w:rsidR="00A70069" w:rsidRPr="6AC1B2C3">
        <w:rPr>
          <w:rFonts w:ascii="Arial" w:hAnsi="Arial" w:cs="Arial"/>
          <w:color w:val="000000" w:themeColor="text1"/>
          <w:sz w:val="24"/>
          <w:szCs w:val="24"/>
        </w:rPr>
        <w:fldChar w:fldCharType="end"/>
      </w:r>
      <w:r w:rsidRPr="6AC1B2C3">
        <w:rPr>
          <w:rFonts w:ascii="Arial" w:hAnsi="Arial" w:cs="Arial"/>
          <w:color w:val="000000" w:themeColor="text1"/>
          <w:sz w:val="24"/>
          <w:szCs w:val="24"/>
        </w:rPr>
        <w:t xml:space="preserve">. The movement of trichodorids is also limited by moisture content. For example, a study conducted at three different moisture regimes which were categorised as either soil pores half-full of water , waterlogged or dry , demonstrated that Trichodorid movement was greatest when soil pores were half full with water and least when soil was dry or waterlogged </w:t>
      </w:r>
      <w:r w:rsidR="00A70069" w:rsidRPr="6AC1B2C3">
        <w:rPr>
          <w:rFonts w:ascii="Arial" w:hAnsi="Arial" w:cs="Arial"/>
          <w:color w:val="000000" w:themeColor="text1"/>
          <w:sz w:val="24"/>
          <w:szCs w:val="24"/>
        </w:rPr>
        <w:fldChar w:fldCharType="begin" w:fldLock="1"/>
      </w:r>
      <w:r w:rsidR="00A70069" w:rsidRPr="6AC1B2C3">
        <w:rPr>
          <w:rFonts w:ascii="Arial" w:hAnsi="Arial" w:cs="Arial"/>
          <w:color w:val="000000" w:themeColor="text1"/>
          <w:sz w:val="24"/>
          <w:szCs w:val="24"/>
        </w:rPr>
        <w:instrText>ADDIN CSL_CITATION {"citationItems":[{"id":"ITEM-1","itemData":{"DOI":"10.1007/978-1-4684-0841-6_25","author":[{"dropping-particle":"","family":"Winfield","given":"A. L.","non-dropping-particle":"","parse-names":false,"suffix":""},{"dropping-particle":"","family":"Cooke","given":"D. A.","non-dropping-particle":"","parse-names":false,"suffix":""}],"container-title":"Nematode Vectors of Plant Viruses","id":"ITEM-1","issue":"81","issued":{"date-parts":[["1975"]]},"page":"309-341","title":"The Ecology of Trichodorus","type":"article-journal"},"uris":["http://www.mendeley.com/documents/?uuid=19b7aa37-b8dc-4943-9f00-a313747111cf"]},{"id":"ITEM-2","itemData":{"author":[{"dropping-particle":"","family":"Bor","given":"N A","non-dropping-particle":"","parse-names":false,"suffix":""},{"dropping-particle":"","family":"Kuiper","given":"K","non-dropping-particle":"","parse-names":false,"suffix":""}],"id":"ITEM-2","issued":{"date-parts":[["1966"]]},"publisher":"Plantenziektenkundige Dienst","title":"Gevoeligheid van Trichodorus teres en T. pachydermus voor uitwendige invloeden","type":"book"},"uris":["http://www.mendeley.com/documents/?uuid=7ca2c62a-1c23-40d0-8309-7de303fc4396"]}],"mendeley":{"formattedCitation":"(Bor and Kuiper, 1966; Winfield and Cooke, 1975)","plainTextFormattedCitation":"(Bor and Kuiper, 1966; Winfield and Cooke, 1975)","previouslyFormattedCitation":"(Bor and Kuiper, 1966; Winfield and Cooke, 1975)"},"properties":{"noteIndex":0},"schema":"https://github.com/citation-style-language/schema/raw/master/csl-citation.json"}</w:instrText>
      </w:r>
      <w:r w:rsidR="00A70069" w:rsidRPr="6AC1B2C3">
        <w:rPr>
          <w:rFonts w:ascii="Arial" w:hAnsi="Arial" w:cs="Arial"/>
          <w:color w:val="000000" w:themeColor="text1"/>
          <w:sz w:val="24"/>
          <w:szCs w:val="24"/>
        </w:rPr>
        <w:fldChar w:fldCharType="separate"/>
      </w:r>
      <w:r w:rsidRPr="6AC1B2C3">
        <w:rPr>
          <w:rFonts w:ascii="Arial" w:hAnsi="Arial" w:cs="Arial"/>
          <w:noProof/>
          <w:color w:val="000000" w:themeColor="text1"/>
          <w:sz w:val="24"/>
          <w:szCs w:val="24"/>
        </w:rPr>
        <w:t>(Bor and Kuiper, 1966; Winfield and Cooke, 1975)</w:t>
      </w:r>
      <w:r w:rsidR="00A70069" w:rsidRPr="6AC1B2C3">
        <w:rPr>
          <w:rFonts w:ascii="Arial" w:hAnsi="Arial" w:cs="Arial"/>
          <w:color w:val="000000" w:themeColor="text1"/>
          <w:sz w:val="24"/>
          <w:szCs w:val="24"/>
        </w:rPr>
        <w:fldChar w:fldCharType="end"/>
      </w:r>
      <w:r w:rsidRPr="6AC1B2C3">
        <w:rPr>
          <w:rFonts w:ascii="Arial" w:hAnsi="Arial" w:cs="Arial"/>
          <w:color w:val="000000" w:themeColor="text1"/>
          <w:sz w:val="24"/>
          <w:szCs w:val="24"/>
        </w:rPr>
        <w:t xml:space="preserve">. Trichodorids are far more susceptible to dry soil conditions than other migratory nematodes such as  </w:t>
      </w:r>
      <w:r w:rsidRPr="6AC1B2C3">
        <w:rPr>
          <w:rFonts w:ascii="Arial" w:hAnsi="Arial" w:cs="Arial"/>
          <w:i/>
          <w:iCs/>
          <w:color w:val="000000" w:themeColor="text1"/>
          <w:sz w:val="24"/>
          <w:szCs w:val="24"/>
        </w:rPr>
        <w:t>Rotylenchus</w:t>
      </w:r>
      <w:r w:rsidRPr="6AC1B2C3">
        <w:rPr>
          <w:rFonts w:ascii="Arial" w:hAnsi="Arial" w:cs="Arial"/>
          <w:color w:val="000000" w:themeColor="text1"/>
          <w:sz w:val="24"/>
          <w:szCs w:val="24"/>
        </w:rPr>
        <w:t xml:space="preserve"> spp. and</w:t>
      </w:r>
      <w:r w:rsidRPr="6AC1B2C3">
        <w:rPr>
          <w:rFonts w:ascii="Arial" w:hAnsi="Arial" w:cs="Arial"/>
          <w:i/>
          <w:iCs/>
          <w:color w:val="000000" w:themeColor="text1"/>
          <w:sz w:val="24"/>
          <w:szCs w:val="24"/>
        </w:rPr>
        <w:t xml:space="preserve"> Pratylenchus</w:t>
      </w:r>
      <w:r w:rsidRPr="6AC1B2C3">
        <w:rPr>
          <w:rFonts w:ascii="Arial" w:hAnsi="Arial" w:cs="Arial"/>
          <w:color w:val="000000" w:themeColor="text1"/>
          <w:sz w:val="24"/>
          <w:szCs w:val="24"/>
        </w:rPr>
        <w:t xml:space="preserve"> spp. </w:t>
      </w:r>
      <w:r w:rsidRPr="6AC1B2C3">
        <w:rPr>
          <w:rFonts w:ascii="Arial" w:hAnsi="Arial" w:cs="Arial"/>
          <w:noProof/>
          <w:color w:val="000000" w:themeColor="text1"/>
          <w:sz w:val="24"/>
          <w:szCs w:val="24"/>
        </w:rPr>
        <w:t>(Rössner, 1971).</w:t>
      </w:r>
      <w:r w:rsidRPr="6AC1B2C3">
        <w:rPr>
          <w:rFonts w:ascii="Arial" w:hAnsi="Arial" w:cs="Arial"/>
          <w:color w:val="000000" w:themeColor="text1"/>
          <w:sz w:val="24"/>
          <w:szCs w:val="24"/>
        </w:rPr>
        <w:t xml:space="preserve"> </w:t>
      </w:r>
      <w:r w:rsidR="00A70069" w:rsidRPr="6AC1B2C3">
        <w:rPr>
          <w:rFonts w:ascii="Arial" w:hAnsi="Arial" w:cs="Arial"/>
          <w:color w:val="000000" w:themeColor="text1"/>
          <w:sz w:val="24"/>
          <w:szCs w:val="24"/>
        </w:rPr>
        <w:fldChar w:fldCharType="begin" w:fldLock="1"/>
      </w:r>
      <w:r w:rsidR="00A70069" w:rsidRPr="6AC1B2C3">
        <w:rPr>
          <w:rFonts w:ascii="Arial" w:hAnsi="Arial" w:cs="Arial"/>
          <w:color w:val="000000" w:themeColor="text1"/>
          <w:sz w:val="24"/>
          <w:szCs w:val="24"/>
        </w:rPr>
        <w:instrText>ADDIN CSL_CITATION {"citationItems":[{"id":"ITEM-1","itemData":{"DOI":"10.1163/187529271X00486","ISSN":"00282596","author":[{"dropping-particle":"","family":"Rössner","given":"J.","non-dropping-particle":"","parse-names":false,"suffix":""}],"container-title":"Nematologica","id":"ITEM-1","issue":"1","issued":{"date-parts":[["1971"]]},"page":"127-144","publisher":"Brill Academic Publishers","title":"Einfluss der austrocknung des bodens auf wandernde wurzelnematoden","type":"article-journal","volume":"17"},"uris":["http://www.mendeley.com/documents/?uuid=6b1b9f4e-e264-38e1-a36b-650b6941792a"]}],"mendeley":{"formattedCitation":"(Rössner, 1971)","manualFormatting":")","plainTextFormattedCitation":"(Rössner, 1971)","previouslyFormattedCitation":"(Rössner, 1971)"},"properties":{"noteIndex":0},"schema":"https://github.com/citation-style-language/schema/raw/master/csl-citation.json"}</w:instrText>
      </w:r>
      <w:r w:rsidR="00A70069" w:rsidRPr="6AC1B2C3">
        <w:rPr>
          <w:rFonts w:ascii="Arial" w:hAnsi="Arial" w:cs="Arial"/>
          <w:color w:val="000000" w:themeColor="text1"/>
          <w:sz w:val="24"/>
          <w:szCs w:val="24"/>
        </w:rPr>
        <w:fldChar w:fldCharType="separate"/>
      </w:r>
      <w:r w:rsidRPr="6AC1B2C3">
        <w:rPr>
          <w:rFonts w:ascii="Arial" w:hAnsi="Arial" w:cs="Arial"/>
          <w:noProof/>
          <w:color w:val="000000" w:themeColor="text1"/>
          <w:sz w:val="24"/>
          <w:szCs w:val="24"/>
        </w:rPr>
        <w:t>)</w:t>
      </w:r>
      <w:r w:rsidR="00A70069" w:rsidRPr="6AC1B2C3">
        <w:rPr>
          <w:rFonts w:ascii="Arial" w:hAnsi="Arial" w:cs="Arial"/>
          <w:color w:val="000000" w:themeColor="text1"/>
          <w:sz w:val="24"/>
          <w:szCs w:val="24"/>
        </w:rPr>
        <w:fldChar w:fldCharType="end"/>
      </w:r>
      <w:r w:rsidRPr="6AC1B2C3">
        <w:rPr>
          <w:rFonts w:ascii="Arial" w:hAnsi="Arial" w:cs="Arial"/>
          <w:color w:val="000000" w:themeColor="text1"/>
          <w:sz w:val="24"/>
          <w:szCs w:val="24"/>
        </w:rPr>
        <w:t xml:space="preserve">. The susceptibility of Trichodorids to dry soil may reflect that these nematodes are almost entirely restricted to free draining sandy soils meaning that they are likely to encounter very dry soil conditions so it is not surprising that numbers in the soil are often correlated with rainfall </w:t>
      </w:r>
      <w:r w:rsidR="00A70069" w:rsidRPr="6AC1B2C3">
        <w:rPr>
          <w:rFonts w:ascii="Arial" w:hAnsi="Arial" w:cs="Arial"/>
          <w:color w:val="000000" w:themeColor="text1"/>
          <w:sz w:val="24"/>
          <w:szCs w:val="24"/>
        </w:rPr>
        <w:fldChar w:fldCharType="begin" w:fldLock="1"/>
      </w:r>
      <w:r w:rsidR="00A70069" w:rsidRPr="6AC1B2C3">
        <w:rPr>
          <w:rFonts w:ascii="Arial" w:hAnsi="Arial" w:cs="Arial"/>
          <w:color w:val="000000" w:themeColor="text1"/>
          <w:sz w:val="24"/>
          <w:szCs w:val="24"/>
        </w:rPr>
        <w:instrText>ADDIN CSL_CITATION {"citationItems":[{"id":"ITEM-1","itemData":{"DOI":"10.1007/978-1-4684-0841-6_25","author":[{"dropping-particle":"","family":"Winfield","given":"A. L.","non-dropping-particle":"","parse-names":false,"suffix":""},{"dropping-particle":"","family":"Cooke","given":"D. A.","non-dropping-particle":"","parse-names":false,"suffix":""}],"container-title":"Nematode Vectors of Plant Viruses","id":"ITEM-1","issue":"81","issued":{"date-parts":[["1975"]]},"page":"309-341","title":"The Ecology of Trichodorus","type":"article-journal"},"uris":["http://www.mendeley.com/documents/?uuid=19b7aa37-b8dc-4943-9f00-a313747111cf"]}],"mendeley":{"formattedCitation":"(Winfield and Cooke, 1975)","plainTextFormattedCitation":"(Winfield and Cooke, 1975)","previouslyFormattedCitation":"(Winfield and Cooke, 1975)"},"properties":{"noteIndex":0},"schema":"https://github.com/citation-style-language/schema/raw/master/csl-citation.json"}</w:instrText>
      </w:r>
      <w:r w:rsidR="00A70069" w:rsidRPr="6AC1B2C3">
        <w:rPr>
          <w:rFonts w:ascii="Arial" w:hAnsi="Arial" w:cs="Arial"/>
          <w:color w:val="000000" w:themeColor="text1"/>
          <w:sz w:val="24"/>
          <w:szCs w:val="24"/>
        </w:rPr>
        <w:fldChar w:fldCharType="separate"/>
      </w:r>
      <w:r w:rsidRPr="6AC1B2C3">
        <w:rPr>
          <w:rFonts w:ascii="Arial" w:hAnsi="Arial" w:cs="Arial"/>
          <w:noProof/>
          <w:color w:val="000000" w:themeColor="text1"/>
          <w:sz w:val="24"/>
          <w:szCs w:val="24"/>
        </w:rPr>
        <w:t>(Winfield and Cooke, 1975)</w:t>
      </w:r>
      <w:r w:rsidR="00A70069" w:rsidRPr="6AC1B2C3">
        <w:rPr>
          <w:rFonts w:ascii="Arial" w:hAnsi="Arial" w:cs="Arial"/>
          <w:color w:val="000000" w:themeColor="text1"/>
          <w:sz w:val="24"/>
          <w:szCs w:val="24"/>
        </w:rPr>
        <w:fldChar w:fldCharType="end"/>
      </w:r>
      <w:r w:rsidRPr="6AC1B2C3">
        <w:rPr>
          <w:rFonts w:ascii="Arial" w:hAnsi="Arial" w:cs="Arial"/>
          <w:color w:val="000000" w:themeColor="text1"/>
          <w:sz w:val="24"/>
          <w:szCs w:val="24"/>
        </w:rPr>
        <w:t xml:space="preserve"> No SRN reproduction was observed even in the susceptible control (Italian ryegrass) in this experiment, which supports the hypothesis that the conditions were not conducive for nematode reproduction. The outcome from this glasshouse experiment indicates that further controlled environment experiments need to be conducted where the soil moisture content and temperature can be constantly monitored and adjusted accordingly to create suitable conditions for SRN reproduction. </w:t>
      </w:r>
    </w:p>
    <w:p w14:paraId="696ED65D" w14:textId="0063C4F7" w:rsidR="00C8179F" w:rsidRPr="002B3D8A" w:rsidRDefault="6AC1B2C3" w:rsidP="00616CDC">
      <w:pPr>
        <w:spacing w:line="360" w:lineRule="auto"/>
        <w:ind w:left="-284"/>
        <w:jc w:val="both"/>
        <w:rPr>
          <w:rFonts w:ascii="Arial" w:hAnsi="Arial" w:cs="Arial"/>
          <w:color w:val="000000" w:themeColor="text1"/>
          <w:sz w:val="24"/>
          <w:szCs w:val="24"/>
        </w:rPr>
      </w:pPr>
      <w:r w:rsidRPr="6AC1B2C3">
        <w:rPr>
          <w:rFonts w:ascii="Arial" w:hAnsi="Arial" w:cs="Arial"/>
          <w:color w:val="000000" w:themeColor="text1"/>
          <w:sz w:val="24"/>
          <w:szCs w:val="24"/>
        </w:rPr>
        <w:t xml:space="preserve">Results from the field experiment indicated the potential of brassica cover crops in management of SRN. The SRN densities decreased four weeks after cover crop drilling as compared to the fallow where the densities increased. The decrease in SRN densities in the drilled plots could be explained by the GSL and myrosinase reaction in brassicas which leads to release of ITCs, which have nematicidal effect, hence could have had negative effect on SRN. In this case, the glucosinolates might have been exuded through the young roots, which have been documented to possess high concentrations of glucosinolates during early growth. Conversely, when the plant matures, the GSLs become more concentrated in the reproductive organs i.e. flowers </w:t>
      </w:r>
      <w:r w:rsidR="00C8179F" w:rsidRPr="6AC1B2C3">
        <w:rPr>
          <w:rFonts w:ascii="Arial" w:hAnsi="Arial" w:cs="Arial"/>
          <w:color w:val="000000" w:themeColor="text1"/>
          <w:sz w:val="24"/>
          <w:szCs w:val="24"/>
        </w:rPr>
        <w:fldChar w:fldCharType="begin" w:fldLock="1"/>
      </w:r>
      <w:r w:rsidR="00C8179F" w:rsidRPr="6AC1B2C3">
        <w:rPr>
          <w:rFonts w:ascii="Arial" w:hAnsi="Arial" w:cs="Arial"/>
          <w:color w:val="000000" w:themeColor="text1"/>
          <w:sz w:val="24"/>
          <w:szCs w:val="24"/>
        </w:rPr>
        <w:instrText>ADDIN CSL_CITATION {"citationItems":[{"id":"ITEM-1","itemData":{"abstract":"Glucosinolates produced by Brassica species were investigated in relation to biofumigation, a term used to describe the effects some allelochemicals, including glucosinolate derived products, may have on soil-borne pathogens or other herbivores. Four Brassica species of the U-triangle, namely B. nigra (L.) Koch, B. carinata Braun, B. juncea (L.) Czern. and B. rapa L. were compared with respect to their qualitative and quantitative glucosinolate profiles in roots, stems, leaves and reproductive organs. Plants were monitored at four different development stages and the total glucosinolate content as well as their dry matter production as an indication of their potential biomass under field conditions were determined. Glucosinolate levels of up to 120 ìmol g -1 DM were found in B. nigra and B. juncea, while B. rapa did not show values over 25 ìmol g-1 DM at any stage of the investigated plant life cycles. In the three species at the top of U-triangle, reproductive tissues showed the highest glucosinolate concentration when compared to the rest of the plant parts, while in B. rapa, the roots were the organs with the highest glucosinolate concentration. The glucosinolate profile of the different plant parts of the species studied changed during the growth cycle, showing that the trade-off between glucosinolate profile and biomass production should be optimized in order to maximize the biofumigation effect of a crop. However, further information on other allelochemicals and on the different types of glucosinolate derived products resulting from autolysis or myrosinase catalyzed hydrolysis of glucosinolates at different reaction conditions is needed for the appropriate description of the potential biofumigation effects of different crops","author":[{"dropping-particle":"","family":"Bellostas","given":"Natalia","non-dropping-particle":"","parse-names":false,"suffix":""},{"dropping-particle":"","family":"Sørensen","given":"Jens","non-dropping-particle":"","parse-names":false,"suffix":""},{"dropping-particle":"","family":"Sørensen","given":"Hilmer","non-dropping-particle":"","parse-names":false,"suffix":""}],"container-title":"Agroindustria","id":"ITEM-1","issue":"3","issued":{"date-parts":[["2004"]]},"page":"5-10","title":"Qualitative and quantitative evaluation of glucosinolates in cruciferous plants during their life cycles","type":"article-journal","volume":"3"},"uris":["http://www.mendeley.com/documents/?uuid=22f6fce6-a49f-3133-811f-b5dcef26198c"]}],"mendeley":{"formattedCitation":"(Bellostas, Sørensen and Sørensen, 2004)","plainTextFormattedCitation":"(Bellostas, Sørensen and Sørensen, 2004)","previouslyFormattedCitation":"(Bellostas, Sørensen and Sørensen, 2004)"},"properties":{"noteIndex":0},"schema":"https://github.com/citation-style-language/schema/raw/master/csl-citation.json"}</w:instrText>
      </w:r>
      <w:r w:rsidR="00C8179F" w:rsidRPr="6AC1B2C3">
        <w:rPr>
          <w:rFonts w:ascii="Arial" w:hAnsi="Arial" w:cs="Arial"/>
          <w:color w:val="000000" w:themeColor="text1"/>
          <w:sz w:val="24"/>
          <w:szCs w:val="24"/>
        </w:rPr>
        <w:fldChar w:fldCharType="separate"/>
      </w:r>
      <w:r w:rsidRPr="6AC1B2C3">
        <w:rPr>
          <w:rFonts w:ascii="Arial" w:hAnsi="Arial" w:cs="Arial"/>
          <w:noProof/>
          <w:color w:val="000000" w:themeColor="text1"/>
          <w:sz w:val="24"/>
          <w:szCs w:val="24"/>
        </w:rPr>
        <w:t>(Bellostas, Sørensen and Sørensen, 2004)</w:t>
      </w:r>
      <w:r w:rsidR="00C8179F" w:rsidRPr="6AC1B2C3">
        <w:rPr>
          <w:rFonts w:ascii="Arial" w:hAnsi="Arial" w:cs="Arial"/>
          <w:color w:val="000000" w:themeColor="text1"/>
          <w:sz w:val="24"/>
          <w:szCs w:val="24"/>
        </w:rPr>
        <w:fldChar w:fldCharType="end"/>
      </w:r>
      <w:r w:rsidRPr="6AC1B2C3">
        <w:rPr>
          <w:rFonts w:ascii="Arial" w:hAnsi="Arial" w:cs="Arial"/>
          <w:color w:val="000000" w:themeColor="text1"/>
          <w:sz w:val="24"/>
          <w:szCs w:val="24"/>
        </w:rPr>
        <w:t xml:space="preserve">. Exudation of ITCs from actively growing roots has been reported </w:t>
      </w:r>
      <w:r w:rsidR="00C8179F" w:rsidRPr="6AC1B2C3">
        <w:rPr>
          <w:rFonts w:ascii="Arial" w:hAnsi="Arial" w:cs="Arial"/>
          <w:color w:val="000000" w:themeColor="text1"/>
          <w:sz w:val="24"/>
          <w:szCs w:val="24"/>
        </w:rPr>
        <w:fldChar w:fldCharType="begin" w:fldLock="1"/>
      </w:r>
      <w:r w:rsidR="00C8179F" w:rsidRPr="6AC1B2C3">
        <w:rPr>
          <w:rFonts w:ascii="Arial" w:hAnsi="Arial" w:cs="Arial"/>
          <w:color w:val="000000" w:themeColor="text1"/>
          <w:sz w:val="24"/>
          <w:szCs w:val="24"/>
        </w:rPr>
        <w:instrText>ADDIN CSL_CITATION {"citationItems":[{"id":"ITEM-1","itemData":{"abstract":"The exceptionally high levels in woad (Isatis tinctoria L.) of three indolic goitrogens, namely glucobrassicin, neoglucobras-sicin, and glucobrassicin-l-sulfonate, permit the facile study of their distribution in the plant and their changes during its development. Woad seeds contain as much as 0.23 % fresh weight of glucobrassicin but no other indole glucosinolate, while 1-week-old seedlings also contain substantial amounts of neogluco-brassicin and glucobrassicin-l-sulfonate in their shoots whether grown in the light or dark. The sulfonate is not found in roots, and light depresses neoglucobrassicin levels in shoots. Sterile root cultures synthesize glucobrassicin and neoglucobrassicin, and significant quantities of these were even found to be ex-creted by the roots of intact sterile seedlings in culture. This may explain the long known deleterious effect of woad and other cruciferous crops on subsequent plantings and the observation could be of ecological importance. Long term changes in levels of all three substances in the plant are similar and are compatible with earlier suggestions that the compounds could be auxin precursors at the time of flower stem elongation. Since sterile seedlings readily incorporate 3SO42-into indole glucos-inolates and relative specific radioactivities suggest that gluco-brassicin is the precursor of the other two compounds, pathways of goitrogen biosynthesis should be relatively easily determined in this material. In previous papers (9, 10) we have reported the isolation from woad (Isatis tinctoria L.) of crystalline salts of 3-indolyl-methylglucosinolate (glucobrassicin [14]), 1-methoxy-3-indolyl-methylglucosinolate (neoglucobrassicin [15]), and a new indole glucosinolate which we identified as 1-sulfo-3-indolylmethyl-glucosinolate (glucobrassicin sulfonate [9]), (Fig. 1). Indole glucosinolates have been found to be very widely distributed among members of the Cruciferae (24, 33) and are also detectable in some plants of the families Capparidaceae, Tovarinaceae, and Resedaceae (31). They are of interest because neither their mode of biosynthesis nor their role in the plant has been resolved (11), although Kutacek and Kefeli (22) have suggested that glucobrassicin may be able to act as a precursor of indole auxins at certain stages in the life cycle of the plant (e.g., during very rapid growth such as \"bolting\" of the flower shoot). Animal nutrition is influenced by indole glucosinolates due to the fact that the enzyme m…","author":[{"dropping-particle":"","family":"Elliott","given":"Malcolm C","non-dropping-particle":"","parse-names":false,"suffix":""},{"dropping-particle":"","family":"Stowe","given":"Bruce B","non-dropping-particle":"","parse-names":false,"suffix":""}],"container-title":"Plant Physiol","id":"ITEM-1","issued":{"date-parts":[["1971"]]},"page":"498-503","title":"Distribution and Variation of Indole Glucosinolates in Woad (Isatis tinctoria L.)1","type":"article-journal","volume":"48"},"uris":["http://www.mendeley.com/documents/?uuid=cf0792a5-7fee-3e83-b59d-bf3424267b96"]}],"mendeley":{"formattedCitation":"(Elliott and Stowe, 1971)","plainTextFormattedCitation":"(Elliott and Stowe, 1971)","previouslyFormattedCitation":"(Elliott and Stowe, 1971)"},"properties":{"noteIndex":0},"schema":"https://github.com/citation-style-language/schema/raw/master/csl-citation.json"}</w:instrText>
      </w:r>
      <w:r w:rsidR="00C8179F" w:rsidRPr="6AC1B2C3">
        <w:rPr>
          <w:rFonts w:ascii="Arial" w:hAnsi="Arial" w:cs="Arial"/>
          <w:color w:val="000000" w:themeColor="text1"/>
          <w:sz w:val="24"/>
          <w:szCs w:val="24"/>
        </w:rPr>
        <w:fldChar w:fldCharType="separate"/>
      </w:r>
      <w:r w:rsidRPr="6AC1B2C3">
        <w:rPr>
          <w:rFonts w:ascii="Arial" w:hAnsi="Arial" w:cs="Arial"/>
          <w:noProof/>
          <w:color w:val="000000" w:themeColor="text1"/>
          <w:sz w:val="24"/>
          <w:szCs w:val="24"/>
        </w:rPr>
        <w:t>(Elliott and Stowe, 1971)</w:t>
      </w:r>
      <w:r w:rsidR="00C8179F" w:rsidRPr="6AC1B2C3">
        <w:rPr>
          <w:rFonts w:ascii="Arial" w:hAnsi="Arial" w:cs="Arial"/>
          <w:color w:val="000000" w:themeColor="text1"/>
          <w:sz w:val="24"/>
          <w:szCs w:val="24"/>
        </w:rPr>
        <w:fldChar w:fldCharType="end"/>
      </w:r>
      <w:r w:rsidRPr="6AC1B2C3">
        <w:rPr>
          <w:rFonts w:ascii="Arial" w:hAnsi="Arial" w:cs="Arial"/>
          <w:color w:val="000000" w:themeColor="text1"/>
          <w:sz w:val="24"/>
          <w:szCs w:val="24"/>
        </w:rPr>
        <w:t xml:space="preserve"> and this possibly due to superficial cell damage during active root development when the plant is young  </w:t>
      </w:r>
      <w:r w:rsidR="00C8179F" w:rsidRPr="6AC1B2C3">
        <w:rPr>
          <w:rFonts w:ascii="Arial" w:hAnsi="Arial" w:cs="Arial"/>
          <w:color w:val="000000" w:themeColor="text1"/>
          <w:sz w:val="24"/>
          <w:szCs w:val="24"/>
        </w:rPr>
        <w:fldChar w:fldCharType="begin" w:fldLock="1"/>
      </w:r>
      <w:r w:rsidR="00C8179F" w:rsidRPr="6AC1B2C3">
        <w:rPr>
          <w:rFonts w:ascii="Arial" w:hAnsi="Arial" w:cs="Arial"/>
          <w:color w:val="000000" w:themeColor="text1"/>
          <w:sz w:val="24"/>
          <w:szCs w:val="24"/>
        </w:rPr>
        <w:instrText>ADDIN CSL_CITATION {"citationItems":[{"id":"ITEM-1","itemData":{"DOI":"10.1016/j.apsoil.2015.05.009","abstract":"Inter-cropping mustard and oilseed radish in potato production has been shown to suppress potato cyst nematode (PCN) reproduction in field plots. This suppressive effect is mostly attributed to the release of glucosinolate (GSL) hydrolysis products such as isothiocyanates, following chopping and incorporation of the crop biomass. This study examined the degradation of sinigrin introduced into soil where Indian mustard and oilseed radish were cultivated and the effect on PCN suppression. Glucosinolate degradation was measured by introducing sinigrin into the soil samples pre-planting, pre-and post-incorporation of the brassicas, while the soil microbial activity was quantified as the concentration of fluorescein di-acetate (FDA) g −1 oven dry soil. Sinigrin was significantly (P &lt; 0.001) degraded pre-and post-incorporation of the brassicas cultivated in unsterilized soil. The total microbial activity increased significantly (P &lt; 0.001) pre-and post-incorporation of brassicas when compared with fallow controls. Unsterilized soils planted with oilseed radish resulted in a significant (P &lt; 0.027) suppression of G. pallida encysted eggs (30-35% mortality). Microbial activity correlated positively with G. pallida mortality (R 2 = 0.94, P &lt; 0.001), but inversely with sinigrin degradation. This study has revealed that brassicas used for biofumigation may affect soil borne pests and pathogens not just after incorporation of the crop residues, but also during active growth of these plants.","author":[{"dropping-particle":"","family":"Ngala","given":"Bruno M","non-dropping-particle":"","parse-names":false,"suffix":""},{"dropping-particle":"","family":"Woods","given":"Simon R","non-dropping-particle":"","parse-names":false,"suffix":""},{"dropping-particle":"","family":"Back","given":"Matthew A","non-dropping-particle":"","parse-names":false,"suffix":""}],"container-title":"Applied Soil Ecology","id":"ITEM-1","issued":{"date-parts":[["2015"]]},"page":"9-14","title":"Sinigrin degradation and G. pallida suppression in soil cultivated with brassicas under controlled environmental conditions","type":"article-journal","volume":"95"},"uris":["http://www.mendeley.com/documents/?uuid=c9786827-ed44-3862-8c15-8f8b487ec9b4"]}],"mendeley":{"formattedCitation":"(Ngala, Woods and Back, 2015)","plainTextFormattedCitation":"(Ngala, Woods and Back, 2015)","previouslyFormattedCitation":"(Ngala, Woods and Back, 2015)"},"properties":{"noteIndex":0},"schema":"https://github.com/citation-style-language/schema/raw/master/csl-citation.json"}</w:instrText>
      </w:r>
      <w:r w:rsidR="00C8179F" w:rsidRPr="6AC1B2C3">
        <w:rPr>
          <w:rFonts w:ascii="Arial" w:hAnsi="Arial" w:cs="Arial"/>
          <w:color w:val="000000" w:themeColor="text1"/>
          <w:sz w:val="24"/>
          <w:szCs w:val="24"/>
        </w:rPr>
        <w:fldChar w:fldCharType="separate"/>
      </w:r>
      <w:r w:rsidRPr="6AC1B2C3">
        <w:rPr>
          <w:rFonts w:ascii="Arial" w:hAnsi="Arial" w:cs="Arial"/>
          <w:noProof/>
          <w:color w:val="000000" w:themeColor="text1"/>
          <w:sz w:val="24"/>
          <w:szCs w:val="24"/>
        </w:rPr>
        <w:t>(Ngala, Woods and Back, 2015)</w:t>
      </w:r>
      <w:r w:rsidR="00C8179F" w:rsidRPr="6AC1B2C3">
        <w:rPr>
          <w:rFonts w:ascii="Arial" w:hAnsi="Arial" w:cs="Arial"/>
          <w:color w:val="000000" w:themeColor="text1"/>
          <w:sz w:val="24"/>
          <w:szCs w:val="24"/>
        </w:rPr>
        <w:fldChar w:fldCharType="end"/>
      </w:r>
      <w:r w:rsidRPr="6AC1B2C3">
        <w:rPr>
          <w:rFonts w:ascii="Arial" w:hAnsi="Arial" w:cs="Arial"/>
          <w:color w:val="000000" w:themeColor="text1"/>
          <w:sz w:val="24"/>
          <w:szCs w:val="24"/>
        </w:rPr>
        <w:t>. The roots of brassicas such as oilseed rape</w:t>
      </w:r>
      <w:r w:rsidRPr="6AC1B2C3">
        <w:rPr>
          <w:rFonts w:ascii="Arial" w:hAnsi="Arial" w:cs="Arial"/>
          <w:sz w:val="24"/>
          <w:szCs w:val="24"/>
        </w:rPr>
        <w:t xml:space="preserve"> </w:t>
      </w:r>
      <w:r w:rsidR="00C8179F" w:rsidRPr="6AC1B2C3">
        <w:rPr>
          <w:rFonts w:ascii="Arial" w:hAnsi="Arial" w:cs="Arial"/>
          <w:sz w:val="24"/>
          <w:szCs w:val="24"/>
        </w:rPr>
        <w:fldChar w:fldCharType="begin" w:fldLock="1"/>
      </w:r>
      <w:r w:rsidR="00C8179F" w:rsidRPr="6AC1B2C3">
        <w:rPr>
          <w:rFonts w:ascii="Arial" w:hAnsi="Arial" w:cs="Arial"/>
          <w:sz w:val="24"/>
          <w:szCs w:val="24"/>
        </w:rPr>
        <w:instrText>ADDIN CSL_CITATION {"citationItems":[{"id":"ITEM-1","itemData":{"ISSN":"0002-9122","author":[{"dropping-particle":"","family":"Choesin","given":"Devi N","non-dropping-particle":"","parse-names":false,"suffix":""},{"dropping-particle":"","family":"Boerner","given":"Ralph E J","non-dropping-particle":"","parse-names":false,"suffix":""}],"container-title":"American journal of botany","id":"ITEM-1","issue":"8","issued":{"date-parts":[["1991"]]},"page":"1083-1090","publisher":"Wiley Online Library","title":"Allyl isothiocyanate release and the allelopathic potential of Brassica napus (Brassicaceae)","type":"article-journal","volume":"78"},"uris":["http://www.mendeley.com/documents/?uuid=e2fae6d5-7900-49a8-ac5b-0c6989f00e54"]}],"mendeley":{"formattedCitation":"(Choesin and Boerner, 1991)","plainTextFormattedCitation":"(Choesin and Boerner, 1991)","previouslyFormattedCitation":"(Choesin and Boerner, 1991)"},"properties":{"noteIndex":0},"schema":"https://github.com/citation-style-language/schema/raw/master/csl-citation.json"}</w:instrText>
      </w:r>
      <w:r w:rsidR="00C8179F" w:rsidRPr="6AC1B2C3">
        <w:rPr>
          <w:rFonts w:ascii="Arial" w:hAnsi="Arial" w:cs="Arial"/>
          <w:sz w:val="24"/>
          <w:szCs w:val="24"/>
        </w:rPr>
        <w:fldChar w:fldCharType="separate"/>
      </w:r>
      <w:r w:rsidRPr="6AC1B2C3">
        <w:rPr>
          <w:rFonts w:ascii="Arial" w:hAnsi="Arial" w:cs="Arial"/>
          <w:noProof/>
          <w:sz w:val="24"/>
          <w:szCs w:val="24"/>
        </w:rPr>
        <w:t>(Choesin and Boerner, 1991)</w:t>
      </w:r>
      <w:r w:rsidR="00C8179F" w:rsidRPr="6AC1B2C3">
        <w:rPr>
          <w:rFonts w:ascii="Arial" w:hAnsi="Arial" w:cs="Arial"/>
          <w:sz w:val="24"/>
          <w:szCs w:val="24"/>
        </w:rPr>
        <w:fldChar w:fldCharType="end"/>
      </w:r>
      <w:r w:rsidRPr="6AC1B2C3">
        <w:rPr>
          <w:rFonts w:ascii="Arial" w:hAnsi="Arial" w:cs="Arial"/>
          <w:noProof/>
          <w:sz w:val="24"/>
          <w:szCs w:val="24"/>
        </w:rPr>
        <w:t xml:space="preserve"> </w:t>
      </w:r>
      <w:r w:rsidRPr="6AC1B2C3">
        <w:rPr>
          <w:rFonts w:ascii="Arial" w:hAnsi="Arial" w:cs="Arial"/>
          <w:color w:val="000000" w:themeColor="text1"/>
          <w:sz w:val="24"/>
          <w:szCs w:val="24"/>
        </w:rPr>
        <w:t xml:space="preserve">and mustard </w:t>
      </w:r>
      <w:r w:rsidR="00C8179F" w:rsidRPr="6AC1B2C3">
        <w:rPr>
          <w:rFonts w:ascii="Arial" w:hAnsi="Arial" w:cs="Arial"/>
          <w:color w:val="000000" w:themeColor="text1"/>
          <w:sz w:val="24"/>
          <w:szCs w:val="24"/>
        </w:rPr>
        <w:fldChar w:fldCharType="begin" w:fldLock="1"/>
      </w:r>
      <w:r w:rsidR="00C8179F" w:rsidRPr="6AC1B2C3">
        <w:rPr>
          <w:rFonts w:ascii="Arial" w:hAnsi="Arial" w:cs="Arial"/>
          <w:color w:val="000000" w:themeColor="text1"/>
          <w:sz w:val="24"/>
          <w:szCs w:val="24"/>
        </w:rPr>
        <w:instrText>ADDIN CSL_CITATION {"citationItems":[{"id":"ITEM-1","itemData":{"DOI":"10.1111/j.1469-8137.1993.tb04536.x","ISSN":"14698137","abstract":"Intact, living routs of Brassica Kaber (DC.) Wheeler and Brassica nigra. L. (Erassicaeeae) were inhibitory to the germination of spores of the mycorrhizal fungi Glomus intraradices Schenck &amp; Smith and Glowns etunivatum Becker &amp; Gerd. Roots from two similarly non</w:instrText>
      </w:r>
      <w:r w:rsidR="00C8179F" w:rsidRPr="6AC1B2C3">
        <w:rPr>
          <w:rFonts w:ascii="Cambria Math" w:hAnsi="Cambria Math" w:cs="Cambria Math"/>
          <w:color w:val="000000" w:themeColor="text1"/>
          <w:sz w:val="24"/>
          <w:szCs w:val="24"/>
        </w:rPr>
        <w:instrText>‐</w:instrText>
      </w:r>
      <w:r w:rsidR="00C8179F" w:rsidRPr="6AC1B2C3">
        <w:rPr>
          <w:rFonts w:ascii="Arial" w:hAnsi="Arial" w:cs="Arial"/>
          <w:color w:val="000000" w:themeColor="text1"/>
          <w:sz w:val="24"/>
          <w:szCs w:val="24"/>
        </w:rPr>
        <w:instrText>mycotrophic species, spinach (Chenopodiaceae) and Amaranthus retroflexus L. (Amaranthaceae). had no effect on the germination of spores of G. intraradices. The roots of two out of three mycotrophic species examined were stimulatory to germination of C intraradices. To test the hypothesis that the inhibition of VAM fungus spore</w:instrText>
      </w:r>
      <w:r w:rsidR="00C8179F" w:rsidRPr="6AC1B2C3">
        <w:rPr>
          <w:rFonts w:ascii="Cambria Math" w:hAnsi="Cambria Math" w:cs="Cambria Math"/>
          <w:color w:val="000000" w:themeColor="text1"/>
          <w:sz w:val="24"/>
          <w:szCs w:val="24"/>
        </w:rPr>
        <w:instrText>‐</w:instrText>
      </w:r>
      <w:r w:rsidR="00C8179F" w:rsidRPr="6AC1B2C3">
        <w:rPr>
          <w:rFonts w:ascii="Arial" w:hAnsi="Arial" w:cs="Arial"/>
          <w:color w:val="000000" w:themeColor="text1"/>
          <w:sz w:val="24"/>
          <w:szCs w:val="24"/>
        </w:rPr>
        <w:instrText xml:space="preserve"> germination by the roots of B. kaber and B. nigra was due to isothiocyanates (mustard oils), lysine arginine and gtutathione Mere added separately to the nutrient solutions applied to the plants. These compounds were expected to react with isothiocyartates released into tlu1 rrtizosphcre. In one experiment, lysine, tirKiniiK</w:instrText>
      </w:r>
      <w:r w:rsidR="00C8179F" w:rsidRPr="6AC1B2C3">
        <w:rPr>
          <w:rFonts w:ascii="Cambria Math" w:hAnsi="Cambria Math" w:cs="Cambria Math"/>
          <w:color w:val="000000" w:themeColor="text1"/>
          <w:sz w:val="24"/>
          <w:szCs w:val="24"/>
        </w:rPr>
        <w:instrText>‐</w:instrText>
      </w:r>
      <w:r w:rsidR="00C8179F" w:rsidRPr="6AC1B2C3">
        <w:rPr>
          <w:rFonts w:ascii="Arial" w:hAnsi="Arial" w:cs="Arial"/>
          <w:color w:val="000000" w:themeColor="text1"/>
          <w:sz w:val="24"/>
          <w:szCs w:val="24"/>
        </w:rPr>
        <w:instrText xml:space="preserve"> arid glutarhione rcsfored the</w:instrText>
      </w:r>
      <w:r w:rsidR="00C8179F" w:rsidRPr="6AC1B2C3">
        <w:rPr>
          <w:rFonts w:ascii="Cambria Math" w:hAnsi="Cambria Math" w:cs="Cambria Math"/>
          <w:color w:val="000000" w:themeColor="text1"/>
          <w:sz w:val="24"/>
          <w:szCs w:val="24"/>
        </w:rPr>
        <w:instrText>‐</w:instrText>
      </w:r>
      <w:r w:rsidR="00C8179F" w:rsidRPr="6AC1B2C3">
        <w:rPr>
          <w:rFonts w:ascii="Arial" w:hAnsi="Arial" w:cs="Arial"/>
          <w:color w:val="000000" w:themeColor="text1"/>
          <w:sz w:val="24"/>
          <w:szCs w:val="24"/>
        </w:rPr>
        <w:instrText xml:space="preserve"> avrminauim of G. intraradices to control levels for B. kaber and nearly to the control levels for B. nigra. In a second experiment employing lower concentrations of lysinc. jtryinitie and glutathimie, irraination of spates of G. efttmeantai in the presence of B. kabcr roots was restored nearly to the levels of controls. In the same experiment, these treatments had no significant effects on spore germination in the presence of B. nigra roots. Lysine and arginine also protected spores of G. etunicatum from in vitro reactions of B, nigra root glucosinolate; extract with myrosinase. The involvement of isothiocyanates in the resistance of mustards to VAM Fungi is discussed. Copyright © 1993, Wiley Blackwell. All rights reserved","author":[{"dropping-particle":"","family":"Paul Schreiner","given":"R.","non-dropping-particle":"","parse-names":false,"suffix":""},{"dropping-particle":"","family":"Koide","given":"Roger T.","non-dropping-particle":"","parse-names":false,"suffix":""}],"container-title":"New Phytologist","id":"ITEM-1","issue":"1","issued":{"date-parts":[["1993"]]},"page":"107-113","title":"Mustards, mustard oils and mycorrhizas","type":"article-journal","volume":"123"},"uris":["http://www.mendeley.com/documents/?uuid=3f1210fa-8883-470e-ae70-ade42e3ea1fe"]}],"mendeley":{"formattedCitation":"(Paul Schreiner and Koide, 1993)","plainTextFormattedCitation":"(Paul Schreiner and Koide, 1993)","previouslyFormattedCitation":"(Paul Schreiner and Koide, 1993)"},"properties":{"noteIndex":0},"schema":"https://github.com/citation-style-language/schema/raw/master/csl-citation.json"}</w:instrText>
      </w:r>
      <w:r w:rsidR="00C8179F" w:rsidRPr="6AC1B2C3">
        <w:rPr>
          <w:rFonts w:ascii="Arial" w:hAnsi="Arial" w:cs="Arial"/>
          <w:color w:val="000000" w:themeColor="text1"/>
          <w:sz w:val="24"/>
          <w:szCs w:val="24"/>
        </w:rPr>
        <w:fldChar w:fldCharType="separate"/>
      </w:r>
      <w:r w:rsidRPr="6AC1B2C3">
        <w:rPr>
          <w:rFonts w:ascii="Arial" w:hAnsi="Arial" w:cs="Arial"/>
          <w:noProof/>
          <w:color w:val="000000" w:themeColor="text1"/>
          <w:sz w:val="24"/>
          <w:szCs w:val="24"/>
        </w:rPr>
        <w:t xml:space="preserve">(Paul </w:t>
      </w:r>
      <w:r w:rsidRPr="6AC1B2C3">
        <w:rPr>
          <w:rFonts w:ascii="Arial" w:hAnsi="Arial" w:cs="Arial"/>
          <w:noProof/>
          <w:color w:val="000000" w:themeColor="text1"/>
          <w:sz w:val="24"/>
          <w:szCs w:val="24"/>
        </w:rPr>
        <w:lastRenderedPageBreak/>
        <w:t>Schreiner and Koide, 1993)</w:t>
      </w:r>
      <w:r w:rsidR="00C8179F" w:rsidRPr="6AC1B2C3">
        <w:rPr>
          <w:rFonts w:ascii="Arial" w:hAnsi="Arial" w:cs="Arial"/>
          <w:color w:val="000000" w:themeColor="text1"/>
          <w:sz w:val="24"/>
          <w:szCs w:val="24"/>
        </w:rPr>
        <w:fldChar w:fldCharType="end"/>
      </w:r>
      <w:r w:rsidRPr="6AC1B2C3">
        <w:rPr>
          <w:rFonts w:ascii="Arial" w:hAnsi="Arial" w:cs="Arial"/>
          <w:color w:val="000000" w:themeColor="text1"/>
          <w:sz w:val="24"/>
          <w:szCs w:val="24"/>
        </w:rPr>
        <w:t xml:space="preserve"> are also known to release GSLs into the root rhizosphere. Soil microbes in turn hydrolyse the GSL into ITCs by releasing the enzyme myrosinase </w:t>
      </w:r>
      <w:r w:rsidR="00C8179F" w:rsidRPr="6AC1B2C3">
        <w:rPr>
          <w:rFonts w:ascii="Arial" w:hAnsi="Arial" w:cs="Arial"/>
          <w:color w:val="000000" w:themeColor="text1"/>
          <w:sz w:val="24"/>
          <w:szCs w:val="24"/>
        </w:rPr>
        <w:fldChar w:fldCharType="begin" w:fldLock="1"/>
      </w:r>
      <w:r w:rsidR="00C8179F" w:rsidRPr="6AC1B2C3">
        <w:rPr>
          <w:rFonts w:ascii="Arial" w:hAnsi="Arial" w:cs="Arial"/>
          <w:color w:val="000000" w:themeColor="text1"/>
          <w:sz w:val="24"/>
          <w:szCs w:val="24"/>
        </w:rPr>
        <w:instrText>ADDIN CSL_CITATION {"citationItems":[{"id":"ITEM-1","itemData":{"DOI":"10.1016/j.cpb.2019.02.001","ISSN":"22146628","abstract":"Plant-parasitic nematodes (PPNs)are considered as one of the major limiting factors in global crop production system. Due to the introduction of tighter limits in registering new biocidal molecules and a gradual phase-out of nematicides for high environmental impact, considerations for non-chemical alternatives have been realised. The biofumigation technique which involves the incorporation of mechanically chopped brassicaceous plant material into the soil to control soilborne nematodes offers an attractive alternative for PPN management. Biofumigant effect is mainly caused by the volatile and toxic isothiocynates originated from the hydrolysis of secondary metabolite glucosinolate present in the Brassica tissues. The scope of biofumigation has been expanded to other non-brassica plants which produce volatile pathogen-suppressing molecules. The graminaceous plants such as sorghum and sudangrass are known to produce nematicidal cyanides via enzymatic hydrolysis of precursor cyanogenic glycoside/dhurrin. The allelopathic plant marigold is known to produce α-terthienyl, which has shown potential biofumigation effect against PPNs. The objective of this review is to detail the tactics used to manipulate various brassica and non-brassica biofumigant crops and to present the mechanisms responsible for PPN suppression by these crops. The ecological aspects underpinning the responses of PPNs to these crops were not austerely discussed in earlier literature. Herein, we present a holistic assessment of the impact of biofumigation technique in managing PPNs in various crops and explore the employability of this technique in integrated nematode management (INM)practices.","author":[{"dropping-particle":"","family":"Dutta","given":"Tushar K.","non-dropping-particle":"","parse-names":false,"suffix":""},{"dropping-particle":"","family":"Khan","given":"Matiyar R.","non-dropping-particle":"","parse-names":false,"suffix":""},{"dropping-particle":"","family":"Phani","given":"Victor","non-dropping-particle":"","parse-names":false,"suffix":""}],"container-title":"Current Plant Biology","id":"ITEM-1","issue":"February","issued":{"date-parts":[["2019"]]},"page":"17-32","publisher":"Elsevier","title":"Plant-parasitic nematode management via biofumigation using brassica and non-brassica plants: Current status and future prospects","type":"article-journal","volume":"17"},"uris":["http://www.mendeley.com/documents/?uuid=da3fa037-8177-4777-80c8-9f65769c50a4"]}],"mendeley":{"formattedCitation":"(Dutta, Khan and Phani, 2019)","plainTextFormattedCitation":"(Dutta, Khan and Phani, 2019)","previouslyFormattedCitation":"(Dutta, Khan and Phani, 2019)"},"properties":{"noteIndex":0},"schema":"https://github.com/citation-style-language/schema/raw/master/csl-citation.json"}</w:instrText>
      </w:r>
      <w:r w:rsidR="00C8179F" w:rsidRPr="6AC1B2C3">
        <w:rPr>
          <w:rFonts w:ascii="Arial" w:hAnsi="Arial" w:cs="Arial"/>
          <w:color w:val="000000" w:themeColor="text1"/>
          <w:sz w:val="24"/>
          <w:szCs w:val="24"/>
        </w:rPr>
        <w:fldChar w:fldCharType="separate"/>
      </w:r>
      <w:r w:rsidRPr="6AC1B2C3">
        <w:rPr>
          <w:rFonts w:ascii="Arial" w:hAnsi="Arial" w:cs="Arial"/>
          <w:noProof/>
          <w:color w:val="000000" w:themeColor="text1"/>
          <w:sz w:val="24"/>
          <w:szCs w:val="24"/>
        </w:rPr>
        <w:t>(Dutta, Khan and Phani, 2019)</w:t>
      </w:r>
      <w:r w:rsidR="00C8179F" w:rsidRPr="6AC1B2C3">
        <w:rPr>
          <w:rFonts w:ascii="Arial" w:hAnsi="Arial" w:cs="Arial"/>
          <w:color w:val="000000" w:themeColor="text1"/>
          <w:sz w:val="24"/>
          <w:szCs w:val="24"/>
        </w:rPr>
        <w:fldChar w:fldCharType="end"/>
      </w:r>
      <w:r w:rsidRPr="6AC1B2C3">
        <w:rPr>
          <w:rFonts w:ascii="Arial" w:hAnsi="Arial" w:cs="Arial"/>
          <w:color w:val="000000" w:themeColor="text1"/>
          <w:sz w:val="24"/>
          <w:szCs w:val="24"/>
        </w:rPr>
        <w:t xml:space="preserve">.The exuded compounds from the roots of cover crops might have had some repellent effect making the nematode migrate down the soil profile, or might have had a lethal effect of directly killing the nematode. In similar studies, the roots of </w:t>
      </w:r>
      <w:r w:rsidRPr="6AC1B2C3">
        <w:rPr>
          <w:rFonts w:ascii="Arial" w:hAnsi="Arial" w:cs="Arial"/>
          <w:i/>
          <w:iCs/>
          <w:color w:val="000000" w:themeColor="text1"/>
          <w:sz w:val="24"/>
          <w:szCs w:val="24"/>
        </w:rPr>
        <w:t>Raphanus sativus</w:t>
      </w:r>
      <w:r w:rsidRPr="6AC1B2C3">
        <w:rPr>
          <w:rFonts w:ascii="Arial" w:hAnsi="Arial" w:cs="Arial"/>
          <w:color w:val="000000" w:themeColor="text1"/>
          <w:sz w:val="24"/>
          <w:szCs w:val="24"/>
        </w:rPr>
        <w:t xml:space="preserve"> released ITCs into the rhizosphere, which were detrimental to the encysted eggs of </w:t>
      </w:r>
      <w:r w:rsidRPr="6AC1B2C3">
        <w:rPr>
          <w:rFonts w:ascii="Arial" w:hAnsi="Arial" w:cs="Arial"/>
          <w:i/>
          <w:iCs/>
          <w:color w:val="000000" w:themeColor="text1"/>
          <w:sz w:val="24"/>
          <w:szCs w:val="24"/>
        </w:rPr>
        <w:t xml:space="preserve">Globodera pallida </w:t>
      </w:r>
      <w:r w:rsidR="00C8179F" w:rsidRPr="6AC1B2C3">
        <w:rPr>
          <w:rFonts w:ascii="Arial" w:hAnsi="Arial" w:cs="Arial"/>
          <w:i/>
          <w:iCs/>
          <w:color w:val="000000" w:themeColor="text1"/>
          <w:sz w:val="24"/>
          <w:szCs w:val="24"/>
        </w:rPr>
        <w:fldChar w:fldCharType="begin" w:fldLock="1"/>
      </w:r>
      <w:r w:rsidR="00C8179F" w:rsidRPr="6AC1B2C3">
        <w:rPr>
          <w:rFonts w:ascii="Arial" w:hAnsi="Arial" w:cs="Arial"/>
          <w:i/>
          <w:iCs/>
          <w:color w:val="000000" w:themeColor="text1"/>
          <w:sz w:val="24"/>
          <w:szCs w:val="24"/>
        </w:rPr>
        <w:instrText>ADDIN CSL_CITATION {"citationItems":[{"id":"ITEM-1","itemData":{"DOI":"10.1002/ps.3849","ISSN":"15264998","PMID":"24965697","abstract":"The viability of potato cyst nematode (PCN) populations (Globodera pallida) was evaluated in three field experiments using Brassica juncea, Raphanus sativus and Eruca sativa amendments. These species were summer cultivated and autumn incorporated in experiment 1; in experiment 2, overwintered brassicaceous cover crops were spring incorporated. Experiment 3 involved determination of effects of metconazole application on biomass/glucosinolate production by B. juncea and R. sativus and on PCN pre- and post-incorporation. Glucosinolate contents were determined before incorporation. Following cover crop incorporation, field plots were planted with susceptible potatoes to evaluate the biofumigation effects on PCN reproduction. RESULTS: In experiment 1, PCN population post-potato harvest was reduced (P = 0.03) in B. juncea-treated plots, while R. sativus prevented further multiplication, but in experiment 2 there were no significant effects on PCN reproduction. In experiment 3, B. juncea or R. sativus either untreated or treated with metconazole reduced PCN populations. Glucosinolate concentrations varied significantly between different plant regions and cultivation seasons. Metconazole application increased the sinigrin concentration in B. juncea tissues. Glucosinolate concentrations correlated positively with PCN mortality for summer-cultivated brassicaceous plants. CONCLUSION: The results demonstrated that B. juncea and R. sativus green manures can play an important role in PCN management, particularly if included in an integrated pest management scheme.","author":[{"dropping-particle":"","family":"Ngala","given":"Bruno M.","non-dropping-particle":"","parse-names":false,"suffix":""},{"dropping-particle":"","family":"Haydock","given":"Patrick Pj J","non-dropping-particle":"","parse-names":false,"suffix":""},{"dropping-particle":"","family":"Woods","given":"Simon","non-dropping-particle":"","parse-names":false,"suffix":""},{"dropping-particle":"","family":"Back","given":"Matthew A.","non-dropping-particle":"","parse-names":false,"suffix":""}],"container-title":"Pest Management Science","id":"ITEM-1","issue":"February","issued":{"date-parts":[["2014","5","1"]]},"page":"759-769","publisher":"John Wiley and Sons Ltd","title":"Biofumigation with Brassica juncea , Raphanus sativus and Eruca sativa for the management of field populations of the potato cyst nematode Globodera pallida","type":"article-journal","volume":"71"},"uris":["http://www.mendeley.com/documents/?uuid=e4ec2c3f-f48e-4d54-be48-2a5c0e5b4b6a"]}],"mendeley":{"formattedCitation":"(Ngala &lt;i&gt;et al.&lt;/i&gt;, 2014)","plainTextFormattedCitation":"(Ngala et al., 2014)","previouslyFormattedCitation":"(Ngala &lt;i&gt;et al.&lt;/i&gt;, 2014)"},"properties":{"noteIndex":0},"schema":"https://github.com/citation-style-language/schema/raw/master/csl-citation.json"}</w:instrText>
      </w:r>
      <w:r w:rsidR="00C8179F" w:rsidRPr="6AC1B2C3">
        <w:rPr>
          <w:rFonts w:ascii="Arial" w:hAnsi="Arial" w:cs="Arial"/>
          <w:i/>
          <w:iCs/>
          <w:color w:val="000000" w:themeColor="text1"/>
          <w:sz w:val="24"/>
          <w:szCs w:val="24"/>
        </w:rPr>
        <w:fldChar w:fldCharType="separate"/>
      </w:r>
      <w:r w:rsidRPr="6AC1B2C3">
        <w:rPr>
          <w:rFonts w:ascii="Arial" w:hAnsi="Arial" w:cs="Arial"/>
          <w:noProof/>
          <w:color w:val="000000" w:themeColor="text1"/>
          <w:sz w:val="24"/>
          <w:szCs w:val="24"/>
        </w:rPr>
        <w:t xml:space="preserve">(Ngala </w:t>
      </w:r>
      <w:r w:rsidRPr="6AC1B2C3">
        <w:rPr>
          <w:rFonts w:ascii="Arial" w:hAnsi="Arial" w:cs="Arial"/>
          <w:i/>
          <w:iCs/>
          <w:noProof/>
          <w:color w:val="000000" w:themeColor="text1"/>
          <w:sz w:val="24"/>
          <w:szCs w:val="24"/>
        </w:rPr>
        <w:t>et al.</w:t>
      </w:r>
      <w:r w:rsidRPr="6AC1B2C3">
        <w:rPr>
          <w:rFonts w:ascii="Arial" w:hAnsi="Arial" w:cs="Arial"/>
          <w:noProof/>
          <w:color w:val="000000" w:themeColor="text1"/>
          <w:sz w:val="24"/>
          <w:szCs w:val="24"/>
        </w:rPr>
        <w:t>, 2014)</w:t>
      </w:r>
      <w:r w:rsidR="00C8179F" w:rsidRPr="6AC1B2C3">
        <w:rPr>
          <w:rFonts w:ascii="Arial" w:hAnsi="Arial" w:cs="Arial"/>
          <w:i/>
          <w:iCs/>
          <w:color w:val="000000" w:themeColor="text1"/>
          <w:sz w:val="24"/>
          <w:szCs w:val="24"/>
        </w:rPr>
        <w:fldChar w:fldCharType="end"/>
      </w:r>
      <w:r w:rsidRPr="6AC1B2C3">
        <w:rPr>
          <w:rFonts w:ascii="Arial" w:hAnsi="Arial" w:cs="Arial"/>
          <w:color w:val="000000" w:themeColor="text1"/>
          <w:sz w:val="24"/>
          <w:szCs w:val="24"/>
        </w:rPr>
        <w:t xml:space="preserve">. A higher reproduction observed in the fallow control compared to the plots drilled with the cover crops, might be an indication of nematode attraction to weeds growing in the fallow plot and therefore were able to feed and reproduce. SRN are known to be polyphagous in nature and have many weeds as hosts, which means when the host is absent, they continue feeding and reproducing on weed species present </w:t>
      </w:r>
      <w:r w:rsidR="00C8179F" w:rsidRPr="6AC1B2C3">
        <w:rPr>
          <w:rFonts w:ascii="Arial" w:hAnsi="Arial" w:cs="Arial"/>
          <w:color w:val="000000" w:themeColor="text1"/>
          <w:sz w:val="24"/>
          <w:szCs w:val="24"/>
        </w:rPr>
        <w:fldChar w:fldCharType="begin" w:fldLock="1"/>
      </w:r>
      <w:r w:rsidR="00C8179F" w:rsidRPr="6AC1B2C3">
        <w:rPr>
          <w:rFonts w:ascii="Arial" w:hAnsi="Arial" w:cs="Arial"/>
          <w:color w:val="000000" w:themeColor="text1"/>
          <w:sz w:val="24"/>
          <w:szCs w:val="24"/>
        </w:rPr>
        <w:instrText>ADDIN CSL_CITATION {"citationItems":[{"id":"ITEM-1","itemData":{"DOI":"10.46429/jaupr.v54i2.11098","ISSN":"0041-994X","abstract":"Populations of T. allius increased to levels nine times higher in Glurk tobacco plants infected with California tobacco rattle virus than in healthy plants of the same variety and age. Populations of T. christiei increased with applications of Hoagland's nutrient solution diluted up to 50-percent concentration, whereas population densities were low at the highest concentration (100 percent), and in water alone. Trichodorus allius did not seem to be affected to a large extent by similar applications of Hoagland's nutrient solution. Soil type influenced populations of T. allius; lighter soils were conducive to development of higher populations while soil, coarse sand, and white quartz sand used separately were not favorable for reproduction. Temperature proved to be one of the most important ecological factors in nematode reproduction. The optimum temperatures for the reproduction of each species was as follows: T. christiei, 16° to 24° C; T. porosus, 24° C; and. T allius, 21° to 24° C. Extremes of temperatures at which the different species could reproduce also varied. Populations of T. christiei were affected by an undetermined disease or condition which seemed to slow movement but did not have any apparent effect on rate of reproduction. Host ranges of three species of Trichodorus were studied. All three nematode species seemed to be polyphagous because 90 percent, 90 percent and 95 percent of the plant species tested were hosts of T. christiei, T. porosus, and T. allius, respectively. Twenty-five plant species were tested for T. porosus, 50 for T. christiei and 38 for T. allius. A method is described for keeping populations of T. allius alive in water for extended periods of time.","author":[{"dropping-particle":"","family":"Ayala","given":"Alejandro","non-dropping-particle":"","parse-names":false,"suffix":""},{"dropping-particle":"","family":"Allen","given":"M. W.","non-dropping-particle":"","parse-names":false,"suffix":""},{"dropping-particle":"","family":"Noffsinger","given":"E. M.","non-dropping-particle":"","parse-names":false,"suffix":""}],"container-title":"The Journal of Agriculture of the University of Puerto Rico","id":"ITEM-1","issue":"9","issued":{"date-parts":[["1969"]]},"page":"341-369","title":"Host Range, Biology, and Factors Affecting Survival and Reproduction of the Stubby Root Nematode","type":"article-journal","volume":"54"},"uris":["http://www.mendeley.com/documents/?uuid=f20ddf7a-3335-4e00-bb93-c8e2c1b18b6d"]}],"mendeley":{"formattedCitation":"(Ayala, Allen and Noffsinger, 1969)","plainTextFormattedCitation":"(Ayala, Allen and Noffsinger, 1969)","previouslyFormattedCitation":"(Ayala, Allen and Noffsinger, 1969)"},"properties":{"noteIndex":0},"schema":"https://github.com/citation-style-language/schema/raw/master/csl-citation.json"}</w:instrText>
      </w:r>
      <w:r w:rsidR="00C8179F" w:rsidRPr="6AC1B2C3">
        <w:rPr>
          <w:rFonts w:ascii="Arial" w:hAnsi="Arial" w:cs="Arial"/>
          <w:color w:val="000000" w:themeColor="text1"/>
          <w:sz w:val="24"/>
          <w:szCs w:val="24"/>
        </w:rPr>
        <w:fldChar w:fldCharType="separate"/>
      </w:r>
      <w:r w:rsidRPr="6AC1B2C3">
        <w:rPr>
          <w:rFonts w:ascii="Arial" w:hAnsi="Arial" w:cs="Arial"/>
          <w:noProof/>
          <w:color w:val="000000" w:themeColor="text1"/>
          <w:sz w:val="24"/>
          <w:szCs w:val="24"/>
        </w:rPr>
        <w:t>(Ayala, Allen and Noffsinger, 1969)</w:t>
      </w:r>
      <w:r w:rsidR="00C8179F" w:rsidRPr="6AC1B2C3">
        <w:rPr>
          <w:rFonts w:ascii="Arial" w:hAnsi="Arial" w:cs="Arial"/>
          <w:color w:val="000000" w:themeColor="text1"/>
          <w:sz w:val="24"/>
          <w:szCs w:val="24"/>
        </w:rPr>
        <w:fldChar w:fldCharType="end"/>
      </w:r>
      <w:r w:rsidRPr="6AC1B2C3">
        <w:rPr>
          <w:rFonts w:ascii="Arial" w:hAnsi="Arial" w:cs="Arial"/>
          <w:color w:val="000000" w:themeColor="text1"/>
          <w:sz w:val="24"/>
          <w:szCs w:val="24"/>
        </w:rPr>
        <w:t xml:space="preserve">. </w:t>
      </w:r>
    </w:p>
    <w:p w14:paraId="55F15743" w14:textId="77777777" w:rsidR="00AC07D4" w:rsidRDefault="00AC07D4" w:rsidP="00126FDD">
      <w:pPr>
        <w:spacing w:line="360" w:lineRule="auto"/>
        <w:jc w:val="both"/>
        <w:rPr>
          <w:rFonts w:ascii="Arial" w:hAnsi="Arial" w:cs="Arial"/>
          <w:b/>
          <w:color w:val="000000" w:themeColor="text1"/>
          <w:sz w:val="24"/>
          <w:szCs w:val="24"/>
        </w:rPr>
      </w:pPr>
    </w:p>
    <w:p w14:paraId="0D29D5BE" w14:textId="74BB712A" w:rsidR="002B0489" w:rsidRPr="002B3D8A" w:rsidRDefault="002B0489" w:rsidP="00126FDD">
      <w:pPr>
        <w:spacing w:line="360" w:lineRule="auto"/>
        <w:jc w:val="both"/>
        <w:rPr>
          <w:rFonts w:ascii="Arial" w:hAnsi="Arial" w:cs="Arial"/>
          <w:b/>
          <w:color w:val="000000" w:themeColor="text1"/>
          <w:sz w:val="24"/>
          <w:szCs w:val="24"/>
        </w:rPr>
      </w:pPr>
      <w:r w:rsidRPr="002B3D8A">
        <w:rPr>
          <w:rFonts w:ascii="Arial" w:hAnsi="Arial" w:cs="Arial"/>
          <w:b/>
          <w:color w:val="000000" w:themeColor="text1"/>
          <w:sz w:val="24"/>
          <w:szCs w:val="24"/>
        </w:rPr>
        <w:t xml:space="preserve">Conclusion </w:t>
      </w:r>
    </w:p>
    <w:p w14:paraId="5F99189B" w14:textId="727BFC4B" w:rsidR="007357FA" w:rsidRPr="002B3D8A" w:rsidRDefault="002B0489" w:rsidP="00616CDC">
      <w:pPr>
        <w:spacing w:line="360" w:lineRule="auto"/>
        <w:ind w:left="-284"/>
        <w:jc w:val="both"/>
        <w:rPr>
          <w:rFonts w:ascii="Arial" w:hAnsi="Arial" w:cs="Arial"/>
          <w:color w:val="000000" w:themeColor="text1"/>
          <w:sz w:val="24"/>
          <w:szCs w:val="24"/>
        </w:rPr>
      </w:pPr>
      <w:r w:rsidRPr="002B3D8A">
        <w:rPr>
          <w:rFonts w:ascii="Arial" w:hAnsi="Arial" w:cs="Arial"/>
          <w:color w:val="000000" w:themeColor="text1"/>
          <w:sz w:val="24"/>
          <w:szCs w:val="24"/>
        </w:rPr>
        <w:t xml:space="preserve">Preliminary results from the field experiment show the potential of biofumigants in suppression of SRN. </w:t>
      </w:r>
      <w:r w:rsidR="00021EF8" w:rsidRPr="002B3D8A">
        <w:rPr>
          <w:rFonts w:ascii="Arial" w:hAnsi="Arial" w:cs="Arial"/>
          <w:color w:val="000000" w:themeColor="text1"/>
          <w:sz w:val="24"/>
          <w:szCs w:val="24"/>
        </w:rPr>
        <w:t xml:space="preserve">The </w:t>
      </w:r>
      <w:r w:rsidRPr="002B3D8A">
        <w:rPr>
          <w:rFonts w:ascii="Arial" w:hAnsi="Arial" w:cs="Arial"/>
          <w:color w:val="000000" w:themeColor="text1"/>
          <w:sz w:val="24"/>
          <w:szCs w:val="24"/>
        </w:rPr>
        <w:t xml:space="preserve">field </w:t>
      </w:r>
      <w:r w:rsidR="00021EF8" w:rsidRPr="002B3D8A">
        <w:rPr>
          <w:rFonts w:ascii="Arial" w:hAnsi="Arial" w:cs="Arial"/>
          <w:color w:val="000000" w:themeColor="text1"/>
          <w:sz w:val="24"/>
          <w:szCs w:val="24"/>
        </w:rPr>
        <w:t>experiment is still ongoing to evaluate the effect of biofumigant compounds on SRN densities upon maceration and incorporation of Brassica foliage and stems into the soil when the</w:t>
      </w:r>
      <w:r w:rsidR="00610375">
        <w:rPr>
          <w:rFonts w:ascii="Arial" w:hAnsi="Arial" w:cs="Arial"/>
          <w:color w:val="000000" w:themeColor="text1"/>
          <w:sz w:val="24"/>
          <w:szCs w:val="24"/>
        </w:rPr>
        <w:t>y</w:t>
      </w:r>
      <w:r w:rsidR="00021EF8" w:rsidRPr="002B3D8A">
        <w:rPr>
          <w:rFonts w:ascii="Arial" w:hAnsi="Arial" w:cs="Arial"/>
          <w:color w:val="000000" w:themeColor="text1"/>
          <w:sz w:val="24"/>
          <w:szCs w:val="24"/>
        </w:rPr>
        <w:t xml:space="preserve"> are 10-12 weeks old. </w:t>
      </w:r>
      <w:r w:rsidR="00CC23C4">
        <w:rPr>
          <w:rFonts w:ascii="Arial" w:hAnsi="Arial" w:cs="Arial"/>
          <w:color w:val="000000" w:themeColor="text1"/>
          <w:sz w:val="24"/>
          <w:szCs w:val="24"/>
        </w:rPr>
        <w:t xml:space="preserve">Future work will focus on elucidating the mechanism of action employed by the brassicas in suppression of the stubby root nematodes and possible practices that can be employed to improve efficacy. </w:t>
      </w:r>
    </w:p>
    <w:p w14:paraId="722DB346" w14:textId="793FF679" w:rsidR="00755766" w:rsidRDefault="6AC1B2C3" w:rsidP="00616CDC">
      <w:pPr>
        <w:spacing w:line="360" w:lineRule="auto"/>
        <w:ind w:left="-284"/>
        <w:jc w:val="both"/>
        <w:rPr>
          <w:rFonts w:ascii="Arial" w:hAnsi="Arial" w:cs="Arial"/>
          <w:color w:val="000000" w:themeColor="text1"/>
          <w:sz w:val="24"/>
          <w:szCs w:val="24"/>
        </w:rPr>
      </w:pPr>
      <w:r w:rsidRPr="6AC1B2C3">
        <w:rPr>
          <w:rFonts w:ascii="Arial" w:hAnsi="Arial" w:cs="Arial"/>
          <w:color w:val="000000" w:themeColor="text1"/>
          <w:sz w:val="24"/>
          <w:szCs w:val="24"/>
        </w:rPr>
        <w:t xml:space="preserve">A similar field experiment is also in its early stages to evaluate brassicas and non-brassica cover crops in suppression of SRN in Docking, Norfolk. </w:t>
      </w:r>
    </w:p>
    <w:p w14:paraId="39410998" w14:textId="7739E043" w:rsidR="00CC23C4" w:rsidRDefault="00CC23C4" w:rsidP="00121D40">
      <w:pPr>
        <w:spacing w:line="360" w:lineRule="auto"/>
        <w:jc w:val="both"/>
        <w:rPr>
          <w:rFonts w:ascii="Arial" w:hAnsi="Arial" w:cs="Arial"/>
          <w:color w:val="000000" w:themeColor="text1"/>
          <w:sz w:val="24"/>
          <w:szCs w:val="24"/>
        </w:rPr>
      </w:pPr>
    </w:p>
    <w:p w14:paraId="14DEC9D9" w14:textId="77777777" w:rsidR="00CC23C4" w:rsidRDefault="00CC23C4" w:rsidP="00121D40">
      <w:pPr>
        <w:spacing w:line="360" w:lineRule="auto"/>
        <w:jc w:val="both"/>
        <w:rPr>
          <w:rFonts w:ascii="Arial" w:hAnsi="Arial" w:cs="Arial"/>
          <w:color w:val="000000" w:themeColor="text1"/>
          <w:sz w:val="24"/>
          <w:szCs w:val="24"/>
        </w:rPr>
        <w:sectPr w:rsidR="00CC23C4" w:rsidSect="002572CD">
          <w:pgSz w:w="11906" w:h="16838"/>
          <w:pgMar w:top="1440" w:right="1440" w:bottom="1440" w:left="1440" w:header="708" w:footer="708" w:gutter="0"/>
          <w:cols w:space="708"/>
          <w:docGrid w:linePitch="360"/>
        </w:sectPr>
      </w:pPr>
    </w:p>
    <w:p w14:paraId="68D2B6A4" w14:textId="77777777" w:rsidR="00CC23C4" w:rsidRPr="002B3D8A" w:rsidRDefault="00CC23C4" w:rsidP="00121D40">
      <w:pPr>
        <w:spacing w:line="360" w:lineRule="auto"/>
        <w:jc w:val="both"/>
        <w:rPr>
          <w:rFonts w:ascii="Arial" w:hAnsi="Arial" w:cs="Arial"/>
          <w:color w:val="000000" w:themeColor="text1"/>
          <w:sz w:val="24"/>
          <w:szCs w:val="24"/>
        </w:rPr>
      </w:pPr>
    </w:p>
    <w:p w14:paraId="5D1AB588" w14:textId="3B3404C5" w:rsidR="00755766" w:rsidRPr="002B3D8A" w:rsidRDefault="004C34C1" w:rsidP="006E49E2">
      <w:pPr>
        <w:pStyle w:val="Heading1"/>
        <w:spacing w:line="360" w:lineRule="auto"/>
        <w:rPr>
          <w:rFonts w:ascii="Arial" w:hAnsi="Arial" w:cs="Arial"/>
          <w:b/>
          <w:color w:val="000000" w:themeColor="text1"/>
          <w:sz w:val="24"/>
          <w:szCs w:val="24"/>
        </w:rPr>
      </w:pPr>
      <w:bookmarkStart w:id="64" w:name="_Toc110341302"/>
      <w:r w:rsidRPr="002B3D8A">
        <w:rPr>
          <w:rFonts w:ascii="Arial" w:hAnsi="Arial" w:cs="Arial"/>
          <w:b/>
          <w:color w:val="000000" w:themeColor="text1"/>
          <w:sz w:val="24"/>
          <w:szCs w:val="24"/>
        </w:rPr>
        <w:t>3. References</w:t>
      </w:r>
      <w:bookmarkEnd w:id="64"/>
      <w:r w:rsidRPr="002B3D8A">
        <w:rPr>
          <w:rFonts w:ascii="Arial" w:hAnsi="Arial" w:cs="Arial"/>
          <w:b/>
          <w:color w:val="000000" w:themeColor="text1"/>
          <w:sz w:val="24"/>
          <w:szCs w:val="24"/>
        </w:rPr>
        <w:t xml:space="preserve"> </w:t>
      </w:r>
    </w:p>
    <w:p w14:paraId="64CED053" w14:textId="5CBEB4E6" w:rsidR="008F4396" w:rsidRPr="008F4396" w:rsidRDefault="00F831DC" w:rsidP="00DC56C8">
      <w:pPr>
        <w:widowControl w:val="0"/>
        <w:autoSpaceDE w:val="0"/>
        <w:autoSpaceDN w:val="0"/>
        <w:adjustRightInd w:val="0"/>
        <w:spacing w:line="360" w:lineRule="auto"/>
        <w:ind w:hanging="720"/>
        <w:rPr>
          <w:rFonts w:ascii="Arial" w:hAnsi="Arial" w:cs="Arial"/>
          <w:noProof/>
          <w:sz w:val="24"/>
          <w:szCs w:val="24"/>
        </w:rPr>
      </w:pPr>
      <w:r w:rsidRPr="002B3D8A">
        <w:rPr>
          <w:rFonts w:ascii="Arial" w:hAnsi="Arial" w:cs="Arial"/>
          <w:color w:val="000000" w:themeColor="text1"/>
          <w:sz w:val="24"/>
          <w:szCs w:val="24"/>
        </w:rPr>
        <w:fldChar w:fldCharType="begin" w:fldLock="1"/>
      </w:r>
      <w:r w:rsidRPr="002B3D8A">
        <w:rPr>
          <w:rFonts w:ascii="Arial" w:hAnsi="Arial" w:cs="Arial"/>
          <w:color w:val="000000" w:themeColor="text1"/>
          <w:sz w:val="24"/>
          <w:szCs w:val="24"/>
        </w:rPr>
        <w:instrText xml:space="preserve">ADDIN Mendeley Bibliography CSL_BIBLIOGRAPHY </w:instrText>
      </w:r>
      <w:r w:rsidRPr="002B3D8A">
        <w:rPr>
          <w:rFonts w:ascii="Arial" w:hAnsi="Arial" w:cs="Arial"/>
          <w:color w:val="000000" w:themeColor="text1"/>
          <w:sz w:val="24"/>
          <w:szCs w:val="24"/>
        </w:rPr>
        <w:fldChar w:fldCharType="separate"/>
      </w:r>
      <w:r w:rsidR="008F4396" w:rsidRPr="008F4396">
        <w:rPr>
          <w:rFonts w:ascii="Arial" w:hAnsi="Arial" w:cs="Arial"/>
          <w:noProof/>
          <w:sz w:val="24"/>
          <w:szCs w:val="24"/>
        </w:rPr>
        <w:t xml:space="preserve">Agerbirk, N. and Olsen, C. E. (2012) ‘Glucosinolate structures in evolution’, </w:t>
      </w:r>
      <w:r w:rsidR="008F4396" w:rsidRPr="008F4396">
        <w:rPr>
          <w:rFonts w:ascii="Arial" w:hAnsi="Arial" w:cs="Arial"/>
          <w:i/>
          <w:iCs/>
          <w:noProof/>
          <w:sz w:val="24"/>
          <w:szCs w:val="24"/>
        </w:rPr>
        <w:t>Phytochemistry</w:t>
      </w:r>
      <w:r w:rsidR="008F4396" w:rsidRPr="008F4396">
        <w:rPr>
          <w:rFonts w:ascii="Arial" w:hAnsi="Arial" w:cs="Arial"/>
          <w:noProof/>
          <w:sz w:val="24"/>
          <w:szCs w:val="24"/>
        </w:rPr>
        <w:t>, 77, pp. 16–45.</w:t>
      </w:r>
    </w:p>
    <w:p w14:paraId="6D1AF15E"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Allen, M. W. (1957) ‘A review of the nematode genus trichodorus with descriptions of ten new species’, </w:t>
      </w:r>
      <w:r w:rsidRPr="008F4396">
        <w:rPr>
          <w:rFonts w:ascii="Arial" w:hAnsi="Arial" w:cs="Arial"/>
          <w:i/>
          <w:iCs/>
          <w:noProof/>
          <w:sz w:val="24"/>
          <w:szCs w:val="24"/>
        </w:rPr>
        <w:t>Nematologica</w:t>
      </w:r>
      <w:r w:rsidRPr="008F4396">
        <w:rPr>
          <w:rFonts w:ascii="Arial" w:hAnsi="Arial" w:cs="Arial"/>
          <w:noProof/>
          <w:sz w:val="24"/>
          <w:szCs w:val="24"/>
        </w:rPr>
        <w:t>, 2(1), pp. 32–62. doi: 10.1163/187529257X00635.</w:t>
      </w:r>
    </w:p>
    <w:p w14:paraId="3DAA8E99"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Alphey, T. J. W. and Boag, B. (1976) ‘Distribution of trichodorid nematodes in Great Britain’, </w:t>
      </w:r>
      <w:r w:rsidRPr="008F4396">
        <w:rPr>
          <w:rFonts w:ascii="Arial" w:hAnsi="Arial" w:cs="Arial"/>
          <w:i/>
          <w:iCs/>
          <w:noProof/>
          <w:sz w:val="24"/>
          <w:szCs w:val="24"/>
        </w:rPr>
        <w:t>Annals of Applied Biology</w:t>
      </w:r>
      <w:r w:rsidRPr="008F4396">
        <w:rPr>
          <w:rFonts w:ascii="Arial" w:hAnsi="Arial" w:cs="Arial"/>
          <w:noProof/>
          <w:sz w:val="24"/>
          <w:szCs w:val="24"/>
        </w:rPr>
        <w:t>, 84(3), pp. 371–381. doi: 10.1111/j.1744-7348.1976.tb01780.x.</w:t>
      </w:r>
    </w:p>
    <w:p w14:paraId="532D4957"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Anonymous (2009) ‘Soil test for virus-vector nematodes in the framework of EPPO Standard PM 4 Schemes for the production of healthy plants for planting of fruit crops, grapevine, Populus and Salix’, </w:t>
      </w:r>
      <w:r w:rsidRPr="008F4396">
        <w:rPr>
          <w:rFonts w:ascii="Arial" w:hAnsi="Arial" w:cs="Arial"/>
          <w:i/>
          <w:iCs/>
          <w:noProof/>
          <w:sz w:val="24"/>
          <w:szCs w:val="24"/>
        </w:rPr>
        <w:t>EPPO Bulletin</w:t>
      </w:r>
      <w:r w:rsidRPr="008F4396">
        <w:rPr>
          <w:rFonts w:ascii="Arial" w:hAnsi="Arial" w:cs="Arial"/>
          <w:noProof/>
          <w:sz w:val="24"/>
          <w:szCs w:val="24"/>
        </w:rPr>
        <w:t>, 39(3), pp. 284–288. doi: 10.1111/j.1365-2338.2009.02314.x.</w:t>
      </w:r>
    </w:p>
    <w:p w14:paraId="0B636C92"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Argentieri, M. P. </w:t>
      </w:r>
      <w:r w:rsidRPr="008F4396">
        <w:rPr>
          <w:rFonts w:ascii="Arial" w:hAnsi="Arial" w:cs="Arial"/>
          <w:i/>
          <w:iCs/>
          <w:noProof/>
          <w:sz w:val="24"/>
          <w:szCs w:val="24"/>
        </w:rPr>
        <w:t>et al.</w:t>
      </w:r>
      <w:r w:rsidRPr="008F4396">
        <w:rPr>
          <w:rFonts w:ascii="Arial" w:hAnsi="Arial" w:cs="Arial"/>
          <w:noProof/>
          <w:sz w:val="24"/>
          <w:szCs w:val="24"/>
        </w:rPr>
        <w:t xml:space="preserve"> (2008) ‘Evaluation of nematicidal properties of saponins from Medicago spp.’, </w:t>
      </w:r>
      <w:r w:rsidRPr="008F4396">
        <w:rPr>
          <w:rFonts w:ascii="Arial" w:hAnsi="Arial" w:cs="Arial"/>
          <w:i/>
          <w:iCs/>
          <w:noProof/>
          <w:sz w:val="24"/>
          <w:szCs w:val="24"/>
        </w:rPr>
        <w:t>European Journal of Plant Pathology</w:t>
      </w:r>
      <w:r w:rsidRPr="008F4396">
        <w:rPr>
          <w:rFonts w:ascii="Arial" w:hAnsi="Arial" w:cs="Arial"/>
          <w:noProof/>
          <w:sz w:val="24"/>
          <w:szCs w:val="24"/>
        </w:rPr>
        <w:t>, 120(2), pp. 189–197. doi: 10.1007/s10658-007-9207-8.</w:t>
      </w:r>
    </w:p>
    <w:p w14:paraId="0048C7FA"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Argento, S., Melilli, M. G. and Branca, F. (2019) ‘Enhancing Greenhouse Tomato-Crop Productivity by Using Brassica macrocarpa Guss. Leaves for Controlling Root-Knot Nematodes’, </w:t>
      </w:r>
      <w:r w:rsidRPr="008F4396">
        <w:rPr>
          <w:rFonts w:ascii="Arial" w:hAnsi="Arial" w:cs="Arial"/>
          <w:i/>
          <w:iCs/>
          <w:noProof/>
          <w:sz w:val="24"/>
          <w:szCs w:val="24"/>
        </w:rPr>
        <w:t>Agronomy</w:t>
      </w:r>
      <w:r w:rsidRPr="008F4396">
        <w:rPr>
          <w:rFonts w:ascii="Arial" w:hAnsi="Arial" w:cs="Arial"/>
          <w:noProof/>
          <w:sz w:val="24"/>
          <w:szCs w:val="24"/>
        </w:rPr>
        <w:t>, 9(12), pp. 1–13. doi: 10.3390/agronomy9120820.</w:t>
      </w:r>
    </w:p>
    <w:p w14:paraId="032C785F"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Asghari, R. </w:t>
      </w:r>
      <w:r w:rsidRPr="008F4396">
        <w:rPr>
          <w:rFonts w:ascii="Arial" w:hAnsi="Arial" w:cs="Arial"/>
          <w:i/>
          <w:iCs/>
          <w:noProof/>
          <w:sz w:val="24"/>
          <w:szCs w:val="24"/>
        </w:rPr>
        <w:t>et al.</w:t>
      </w:r>
      <w:r w:rsidRPr="008F4396">
        <w:rPr>
          <w:rFonts w:ascii="Arial" w:hAnsi="Arial" w:cs="Arial"/>
          <w:noProof/>
          <w:sz w:val="24"/>
          <w:szCs w:val="24"/>
        </w:rPr>
        <w:t xml:space="preserve"> (2018) ‘Characterisation of a new species of Trichodorus Cobb, 1913 (Triplonchida: Trichodoridae) from Iran based on morphological and molecular data’, </w:t>
      </w:r>
      <w:r w:rsidRPr="008F4396">
        <w:rPr>
          <w:rFonts w:ascii="Arial" w:hAnsi="Arial" w:cs="Arial"/>
          <w:i/>
          <w:iCs/>
          <w:noProof/>
          <w:sz w:val="24"/>
          <w:szCs w:val="24"/>
        </w:rPr>
        <w:t>Systematic Parasitology</w:t>
      </w:r>
      <w:r w:rsidRPr="008F4396">
        <w:rPr>
          <w:rFonts w:ascii="Arial" w:hAnsi="Arial" w:cs="Arial"/>
          <w:noProof/>
          <w:sz w:val="24"/>
          <w:szCs w:val="24"/>
        </w:rPr>
        <w:t>, 95(2–3), pp. 257–269. doi: 10.1007/s11230-018-9780-6.</w:t>
      </w:r>
    </w:p>
    <w:p w14:paraId="5C1290FB"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Ashmit, K. C. </w:t>
      </w:r>
      <w:r w:rsidRPr="008F4396">
        <w:rPr>
          <w:rFonts w:ascii="Arial" w:hAnsi="Arial" w:cs="Arial"/>
          <w:i/>
          <w:iCs/>
          <w:noProof/>
          <w:sz w:val="24"/>
          <w:szCs w:val="24"/>
        </w:rPr>
        <w:t>et al.</w:t>
      </w:r>
      <w:r w:rsidRPr="008F4396">
        <w:rPr>
          <w:rFonts w:ascii="Arial" w:hAnsi="Arial" w:cs="Arial"/>
          <w:noProof/>
          <w:sz w:val="24"/>
          <w:szCs w:val="24"/>
        </w:rPr>
        <w:t xml:space="preserve"> (2021) ‘Occurrence of plant-parasitic nematodes in sugarbeet fields of North Dakota and Minnesota’, </w:t>
      </w:r>
      <w:r w:rsidRPr="008F4396">
        <w:rPr>
          <w:rFonts w:ascii="Arial" w:hAnsi="Arial" w:cs="Arial"/>
          <w:i/>
          <w:iCs/>
          <w:noProof/>
          <w:sz w:val="24"/>
          <w:szCs w:val="24"/>
        </w:rPr>
        <w:t>Crop Protection</w:t>
      </w:r>
      <w:r w:rsidRPr="008F4396">
        <w:rPr>
          <w:rFonts w:ascii="Arial" w:hAnsi="Arial" w:cs="Arial"/>
          <w:noProof/>
          <w:sz w:val="24"/>
          <w:szCs w:val="24"/>
        </w:rPr>
        <w:t>, 142, p. 105503. doi: 10.1016/j.cropro.2020.105503.</w:t>
      </w:r>
    </w:p>
    <w:p w14:paraId="4F50C570"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Avato, P. </w:t>
      </w:r>
      <w:r w:rsidRPr="008F4396">
        <w:rPr>
          <w:rFonts w:ascii="Arial" w:hAnsi="Arial" w:cs="Arial"/>
          <w:i/>
          <w:iCs/>
          <w:noProof/>
          <w:sz w:val="24"/>
          <w:szCs w:val="24"/>
        </w:rPr>
        <w:t>et al.</w:t>
      </w:r>
      <w:r w:rsidRPr="008F4396">
        <w:rPr>
          <w:rFonts w:ascii="Arial" w:hAnsi="Arial" w:cs="Arial"/>
          <w:noProof/>
          <w:sz w:val="24"/>
          <w:szCs w:val="24"/>
        </w:rPr>
        <w:t xml:space="preserve"> (2006) ‘Antimicrobial activity of saponins from Medicago sp.: Structure-activity relationship’, </w:t>
      </w:r>
      <w:r w:rsidRPr="008F4396">
        <w:rPr>
          <w:rFonts w:ascii="Arial" w:hAnsi="Arial" w:cs="Arial"/>
          <w:i/>
          <w:iCs/>
          <w:noProof/>
          <w:sz w:val="24"/>
          <w:szCs w:val="24"/>
        </w:rPr>
        <w:t>Phytotherapy Research</w:t>
      </w:r>
      <w:r w:rsidRPr="008F4396">
        <w:rPr>
          <w:rFonts w:ascii="Arial" w:hAnsi="Arial" w:cs="Arial"/>
          <w:noProof/>
          <w:sz w:val="24"/>
          <w:szCs w:val="24"/>
        </w:rPr>
        <w:t>, 20(6), pp. 454–457. doi: 10.1002/ptr.1876.</w:t>
      </w:r>
    </w:p>
    <w:p w14:paraId="68B3328D"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Ayala, A., Allen, M. W. and Noffsinger, E. M. (1969) ‘Host Range, Biology, and Factors </w:t>
      </w:r>
      <w:r w:rsidRPr="008F4396">
        <w:rPr>
          <w:rFonts w:ascii="Arial" w:hAnsi="Arial" w:cs="Arial"/>
          <w:noProof/>
          <w:sz w:val="24"/>
          <w:szCs w:val="24"/>
        </w:rPr>
        <w:lastRenderedPageBreak/>
        <w:t xml:space="preserve">Affecting Survival and Reproduction of the Stubby Root Nematode’, </w:t>
      </w:r>
      <w:r w:rsidRPr="008F4396">
        <w:rPr>
          <w:rFonts w:ascii="Arial" w:hAnsi="Arial" w:cs="Arial"/>
          <w:i/>
          <w:iCs/>
          <w:noProof/>
          <w:sz w:val="24"/>
          <w:szCs w:val="24"/>
        </w:rPr>
        <w:t>The Journal of Agriculture of the University of Puerto Rico</w:t>
      </w:r>
      <w:r w:rsidRPr="008F4396">
        <w:rPr>
          <w:rFonts w:ascii="Arial" w:hAnsi="Arial" w:cs="Arial"/>
          <w:noProof/>
          <w:sz w:val="24"/>
          <w:szCs w:val="24"/>
        </w:rPr>
        <w:t>, 54(9), pp. 341–369. doi: 10.46429/jaupr.v54i2.11098.</w:t>
      </w:r>
    </w:p>
    <w:p w14:paraId="3DA73566"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Aydınlı, G. and Mennan, S. (2018) ‘Biofumigation Studies by Using Raphanus sativus and Eruca sativa as a Winter Cycle Crops to Control Root-knot Nematodes’, </w:t>
      </w:r>
      <w:r w:rsidRPr="008F4396">
        <w:rPr>
          <w:rFonts w:ascii="Arial" w:hAnsi="Arial" w:cs="Arial"/>
          <w:i/>
          <w:iCs/>
          <w:noProof/>
          <w:sz w:val="24"/>
          <w:szCs w:val="24"/>
        </w:rPr>
        <w:t>Brazilian Archives of Biology and Technology</w:t>
      </w:r>
      <w:r w:rsidRPr="008F4396">
        <w:rPr>
          <w:rFonts w:ascii="Arial" w:hAnsi="Arial" w:cs="Arial"/>
          <w:noProof/>
          <w:sz w:val="24"/>
          <w:szCs w:val="24"/>
        </w:rPr>
        <w:t>, 61(0). doi: 10.1590/1678-4324-2018180249.</w:t>
      </w:r>
    </w:p>
    <w:p w14:paraId="52B84C4A"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Bacetty, A. A. </w:t>
      </w:r>
      <w:r w:rsidRPr="008F4396">
        <w:rPr>
          <w:rFonts w:ascii="Arial" w:hAnsi="Arial" w:cs="Arial"/>
          <w:i/>
          <w:iCs/>
          <w:noProof/>
          <w:sz w:val="24"/>
          <w:szCs w:val="24"/>
        </w:rPr>
        <w:t>et al.</w:t>
      </w:r>
      <w:r w:rsidRPr="008F4396">
        <w:rPr>
          <w:rFonts w:ascii="Arial" w:hAnsi="Arial" w:cs="Arial"/>
          <w:noProof/>
          <w:sz w:val="24"/>
          <w:szCs w:val="24"/>
        </w:rPr>
        <w:t xml:space="preserve"> (2009) ‘Toxicity of Endophyte-Infected Tall Fescue Alkaloids and Grass Metabolites on Pratylenchus scribneri’. doi: 10.1094/PHYTO-99-12-1336.</w:t>
      </w:r>
    </w:p>
    <w:p w14:paraId="0353A29B"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Barnes, J. P. and Putnam, A. R. (1987) ‘Role of benzoxazinones in allelopathy by rye (Secale cereale L.)’, </w:t>
      </w:r>
      <w:r w:rsidRPr="008F4396">
        <w:rPr>
          <w:rFonts w:ascii="Arial" w:hAnsi="Arial" w:cs="Arial"/>
          <w:i/>
          <w:iCs/>
          <w:noProof/>
          <w:sz w:val="24"/>
          <w:szCs w:val="24"/>
        </w:rPr>
        <w:t>Journal of Chemical Ecology</w:t>
      </w:r>
      <w:r w:rsidRPr="008F4396">
        <w:rPr>
          <w:rFonts w:ascii="Arial" w:hAnsi="Arial" w:cs="Arial"/>
          <w:noProof/>
          <w:sz w:val="24"/>
          <w:szCs w:val="24"/>
        </w:rPr>
        <w:t>, 13(4), pp. 889–906. doi: 10.1007/BF01020168.</w:t>
      </w:r>
    </w:p>
    <w:p w14:paraId="3A91C11E"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Bellostas, N., Sørensen, J. and Sørensen, H. (2004) ‘Qualitative and quantitative evaluation of glucosinolates in cruciferous plants during their life cycles’, </w:t>
      </w:r>
      <w:r w:rsidRPr="008F4396">
        <w:rPr>
          <w:rFonts w:ascii="Arial" w:hAnsi="Arial" w:cs="Arial"/>
          <w:i/>
          <w:iCs/>
          <w:noProof/>
          <w:sz w:val="24"/>
          <w:szCs w:val="24"/>
        </w:rPr>
        <w:t>Agroindustria</w:t>
      </w:r>
      <w:r w:rsidRPr="008F4396">
        <w:rPr>
          <w:rFonts w:ascii="Arial" w:hAnsi="Arial" w:cs="Arial"/>
          <w:noProof/>
          <w:sz w:val="24"/>
          <w:szCs w:val="24"/>
        </w:rPr>
        <w:t>, 3(3), pp. 5–10. Available at: http://orgprints.org/5611 (Accessed: 14 December 2020).</w:t>
      </w:r>
    </w:p>
    <w:p w14:paraId="04AA6735"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Bezooijen, J. Van (2006) ‘Methods and techniques for nematology.’</w:t>
      </w:r>
    </w:p>
    <w:p w14:paraId="1846156D"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Bhandari, S. R., Su Jo, J. and Gu Lee, J. (2015) ‘molecules Comparison of Glucosinolate Profiles in Different Tissues of Nine Brassica Crops’, </w:t>
      </w:r>
      <w:r w:rsidRPr="008F4396">
        <w:rPr>
          <w:rFonts w:ascii="Arial" w:hAnsi="Arial" w:cs="Arial"/>
          <w:i/>
          <w:iCs/>
          <w:noProof/>
          <w:sz w:val="24"/>
          <w:szCs w:val="24"/>
        </w:rPr>
        <w:t>Molecules</w:t>
      </w:r>
      <w:r w:rsidRPr="008F4396">
        <w:rPr>
          <w:rFonts w:ascii="Arial" w:hAnsi="Arial" w:cs="Arial"/>
          <w:noProof/>
          <w:sz w:val="24"/>
          <w:szCs w:val="24"/>
        </w:rPr>
        <w:t>, 20, pp. 15827–15841. doi: 10.3390/molecules200915827.</w:t>
      </w:r>
    </w:p>
    <w:p w14:paraId="53B0C0C7"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Bird, G. W., Goodman, R. M. and Mai, W. F. (1968) ‘ Observations on the embryogenesis of Trichodorus christiei (Nematodea: Diphtherophoroidea) ’, </w:t>
      </w:r>
      <w:r w:rsidRPr="008F4396">
        <w:rPr>
          <w:rFonts w:ascii="Arial" w:hAnsi="Arial" w:cs="Arial"/>
          <w:i/>
          <w:iCs/>
          <w:noProof/>
          <w:sz w:val="24"/>
          <w:szCs w:val="24"/>
        </w:rPr>
        <w:t>Canadian Journal of Zoology</w:t>
      </w:r>
      <w:r w:rsidRPr="008F4396">
        <w:rPr>
          <w:rFonts w:ascii="Arial" w:hAnsi="Arial" w:cs="Arial"/>
          <w:noProof/>
          <w:sz w:val="24"/>
          <w:szCs w:val="24"/>
        </w:rPr>
        <w:t>, 46(2), pp. 292–293. doi: 10.1139/z68-045.</w:t>
      </w:r>
    </w:p>
    <w:p w14:paraId="3EE06564"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Blaxter, M. </w:t>
      </w:r>
      <w:r w:rsidRPr="008F4396">
        <w:rPr>
          <w:rFonts w:ascii="Arial" w:hAnsi="Arial" w:cs="Arial"/>
          <w:i/>
          <w:iCs/>
          <w:noProof/>
          <w:sz w:val="24"/>
          <w:szCs w:val="24"/>
        </w:rPr>
        <w:t>et al.</w:t>
      </w:r>
      <w:r w:rsidRPr="008F4396">
        <w:rPr>
          <w:rFonts w:ascii="Arial" w:hAnsi="Arial" w:cs="Arial"/>
          <w:noProof/>
          <w:sz w:val="24"/>
          <w:szCs w:val="24"/>
        </w:rPr>
        <w:t xml:space="preserve"> (2004) ‘Utilising the new nematode phylogeny for studies of parasitism and diversity’, </w:t>
      </w:r>
      <w:r w:rsidRPr="008F4396">
        <w:rPr>
          <w:rFonts w:ascii="Arial" w:hAnsi="Arial" w:cs="Arial"/>
          <w:i/>
          <w:iCs/>
          <w:noProof/>
          <w:sz w:val="24"/>
          <w:szCs w:val="24"/>
        </w:rPr>
        <w:t>Nematology monographs and perspectives (ed. R. Cook &amp; DJ Hunt)</w:t>
      </w:r>
      <w:r w:rsidRPr="008F4396">
        <w:rPr>
          <w:rFonts w:ascii="Arial" w:hAnsi="Arial" w:cs="Arial"/>
          <w:noProof/>
          <w:sz w:val="24"/>
          <w:szCs w:val="24"/>
        </w:rPr>
        <w:t>, pp. 615–632.</w:t>
      </w:r>
    </w:p>
    <w:p w14:paraId="419E71AA"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Booth, E. J., Walker, K. C. and Griffiths, D. W. (1991) ‘A time</w:t>
      </w:r>
      <w:r w:rsidRPr="008F4396">
        <w:rPr>
          <w:rFonts w:ascii="Cambria Math" w:hAnsi="Cambria Math" w:cs="Cambria Math"/>
          <w:noProof/>
          <w:sz w:val="24"/>
          <w:szCs w:val="24"/>
        </w:rPr>
        <w:t>‐</w:t>
      </w:r>
      <w:r w:rsidRPr="008F4396">
        <w:rPr>
          <w:rFonts w:ascii="Arial" w:hAnsi="Arial" w:cs="Arial"/>
          <w:noProof/>
          <w:sz w:val="24"/>
          <w:szCs w:val="24"/>
        </w:rPr>
        <w:t xml:space="preserve">course study of the effect of sulphur on glucosinolates in oilseed rape (Brassica napus) from the vegetative stage to maturity’, </w:t>
      </w:r>
      <w:r w:rsidRPr="008F4396">
        <w:rPr>
          <w:rFonts w:ascii="Arial" w:hAnsi="Arial" w:cs="Arial"/>
          <w:i/>
          <w:iCs/>
          <w:noProof/>
          <w:sz w:val="24"/>
          <w:szCs w:val="24"/>
        </w:rPr>
        <w:t>Journal of the Science of Food and Agriculture</w:t>
      </w:r>
      <w:r w:rsidRPr="008F4396">
        <w:rPr>
          <w:rFonts w:ascii="Arial" w:hAnsi="Arial" w:cs="Arial"/>
          <w:noProof/>
          <w:sz w:val="24"/>
          <w:szCs w:val="24"/>
        </w:rPr>
        <w:t>, 56(4), pp. 479–493.</w:t>
      </w:r>
    </w:p>
    <w:p w14:paraId="767B5368"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Bor, N. A. and Kuiper, K. (1966) </w:t>
      </w:r>
      <w:r w:rsidRPr="008F4396">
        <w:rPr>
          <w:rFonts w:ascii="Arial" w:hAnsi="Arial" w:cs="Arial"/>
          <w:i/>
          <w:iCs/>
          <w:noProof/>
          <w:sz w:val="24"/>
          <w:szCs w:val="24"/>
        </w:rPr>
        <w:t>Gevoeligheid van Trichodorus teres en T. pachydermus voor uitwendige invloeden</w:t>
      </w:r>
      <w:r w:rsidRPr="008F4396">
        <w:rPr>
          <w:rFonts w:ascii="Arial" w:hAnsi="Arial" w:cs="Arial"/>
          <w:noProof/>
          <w:sz w:val="24"/>
          <w:szCs w:val="24"/>
        </w:rPr>
        <w:t>. Plantenziektenkundige Dienst.</w:t>
      </w:r>
    </w:p>
    <w:p w14:paraId="743BB603"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lastRenderedPageBreak/>
        <w:t xml:space="preserve">Brodie, B. B., Good, J. M. and Jaworski, C. A. (1970) ‘Population Dynamics of Plant Nematodes in Cultivated Soil: Effect of Summer Cover Crops in Newly Cleared Land 1’, </w:t>
      </w:r>
      <w:r w:rsidRPr="008F4396">
        <w:rPr>
          <w:rFonts w:ascii="Arial" w:hAnsi="Arial" w:cs="Arial"/>
          <w:i/>
          <w:iCs/>
          <w:noProof/>
          <w:sz w:val="24"/>
          <w:szCs w:val="24"/>
        </w:rPr>
        <w:t>Journal of Nematology</w:t>
      </w:r>
      <w:r w:rsidRPr="008F4396">
        <w:rPr>
          <w:rFonts w:ascii="Arial" w:hAnsi="Arial" w:cs="Arial"/>
          <w:noProof/>
          <w:sz w:val="24"/>
          <w:szCs w:val="24"/>
        </w:rPr>
        <w:t>, 2(3), pp. 217–222.</w:t>
      </w:r>
    </w:p>
    <w:p w14:paraId="31C28D66"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Brolsma, K. M. </w:t>
      </w:r>
      <w:r w:rsidRPr="008F4396">
        <w:rPr>
          <w:rFonts w:ascii="Arial" w:hAnsi="Arial" w:cs="Arial"/>
          <w:i/>
          <w:iCs/>
          <w:noProof/>
          <w:sz w:val="24"/>
          <w:szCs w:val="24"/>
        </w:rPr>
        <w:t>et al.</w:t>
      </w:r>
      <w:r w:rsidRPr="008F4396">
        <w:rPr>
          <w:rFonts w:ascii="Arial" w:hAnsi="Arial" w:cs="Arial"/>
          <w:noProof/>
          <w:sz w:val="24"/>
          <w:szCs w:val="24"/>
        </w:rPr>
        <w:t xml:space="preserve"> (2014) ‘Hatching of Globodera pallida is inhibited by 2-propenyl isothiocyanate in vitro but not by incorporation of Brassica juncea tissue in soil’, </w:t>
      </w:r>
      <w:r w:rsidRPr="008F4396">
        <w:rPr>
          <w:rFonts w:ascii="Arial" w:hAnsi="Arial" w:cs="Arial"/>
          <w:i/>
          <w:iCs/>
          <w:noProof/>
          <w:sz w:val="24"/>
          <w:szCs w:val="24"/>
        </w:rPr>
        <w:t>Applied Soil Ecology</w:t>
      </w:r>
      <w:r w:rsidRPr="008F4396">
        <w:rPr>
          <w:rFonts w:ascii="Arial" w:hAnsi="Arial" w:cs="Arial"/>
          <w:noProof/>
          <w:sz w:val="24"/>
          <w:szCs w:val="24"/>
        </w:rPr>
        <w:t>, 84, pp. 6–11. doi: 10.1016/j.apsoil.2014.05.011.</w:t>
      </w:r>
    </w:p>
    <w:p w14:paraId="0FB742B9"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Brown, P. D. </w:t>
      </w:r>
      <w:r w:rsidRPr="008F4396">
        <w:rPr>
          <w:rFonts w:ascii="Arial" w:hAnsi="Arial" w:cs="Arial"/>
          <w:i/>
          <w:iCs/>
          <w:noProof/>
          <w:sz w:val="24"/>
          <w:szCs w:val="24"/>
        </w:rPr>
        <w:t>et al.</w:t>
      </w:r>
      <w:r w:rsidRPr="008F4396">
        <w:rPr>
          <w:rFonts w:ascii="Arial" w:hAnsi="Arial" w:cs="Arial"/>
          <w:noProof/>
          <w:sz w:val="24"/>
          <w:szCs w:val="24"/>
        </w:rPr>
        <w:t xml:space="preserve"> (2003) ‘Variation of glucosinolate accumulation among different organs and developmental stages of Arabidopsis thaliana’, </w:t>
      </w:r>
      <w:r w:rsidRPr="008F4396">
        <w:rPr>
          <w:rFonts w:ascii="Arial" w:hAnsi="Arial" w:cs="Arial"/>
          <w:i/>
          <w:iCs/>
          <w:noProof/>
          <w:sz w:val="24"/>
          <w:szCs w:val="24"/>
        </w:rPr>
        <w:t>Phytochemistry</w:t>
      </w:r>
      <w:r w:rsidRPr="008F4396">
        <w:rPr>
          <w:rFonts w:ascii="Arial" w:hAnsi="Arial" w:cs="Arial"/>
          <w:noProof/>
          <w:sz w:val="24"/>
          <w:szCs w:val="24"/>
        </w:rPr>
        <w:t>, 62(3), pp. 471–481. doi: 10.1016/S0031-9422(02)00549-6.</w:t>
      </w:r>
    </w:p>
    <w:p w14:paraId="04875D52"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Buskov, S. </w:t>
      </w:r>
      <w:r w:rsidRPr="008F4396">
        <w:rPr>
          <w:rFonts w:ascii="Arial" w:hAnsi="Arial" w:cs="Arial"/>
          <w:i/>
          <w:iCs/>
          <w:noProof/>
          <w:sz w:val="24"/>
          <w:szCs w:val="24"/>
        </w:rPr>
        <w:t>et al.</w:t>
      </w:r>
      <w:r w:rsidRPr="008F4396">
        <w:rPr>
          <w:rFonts w:ascii="Arial" w:hAnsi="Arial" w:cs="Arial"/>
          <w:noProof/>
          <w:sz w:val="24"/>
          <w:szCs w:val="24"/>
        </w:rPr>
        <w:t xml:space="preserve"> (2002) ‘Effects of intact glucosinolates and products produced from glucosinolates in myrosinase-catalyzed hydrolysis on the potato cyst nematode (Globodera rostochiensis cv. Woll)’, </w:t>
      </w:r>
      <w:r w:rsidRPr="008F4396">
        <w:rPr>
          <w:rFonts w:ascii="Arial" w:hAnsi="Arial" w:cs="Arial"/>
          <w:i/>
          <w:iCs/>
          <w:noProof/>
          <w:sz w:val="24"/>
          <w:szCs w:val="24"/>
        </w:rPr>
        <w:t>Journal of Agricultural and Food Chemistry</w:t>
      </w:r>
      <w:r w:rsidRPr="008F4396">
        <w:rPr>
          <w:rFonts w:ascii="Arial" w:hAnsi="Arial" w:cs="Arial"/>
          <w:noProof/>
          <w:sz w:val="24"/>
          <w:szCs w:val="24"/>
        </w:rPr>
        <w:t>, 50(4), pp. 690–695. doi: 10.1021/jf010470s.</w:t>
      </w:r>
    </w:p>
    <w:p w14:paraId="5813C969"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Carlos, J. </w:t>
      </w:r>
      <w:r w:rsidRPr="008F4396">
        <w:rPr>
          <w:rFonts w:ascii="Arial" w:hAnsi="Arial" w:cs="Arial"/>
          <w:i/>
          <w:iCs/>
          <w:noProof/>
          <w:sz w:val="24"/>
          <w:szCs w:val="24"/>
        </w:rPr>
        <w:t>et al.</w:t>
      </w:r>
      <w:r w:rsidRPr="008F4396">
        <w:rPr>
          <w:rFonts w:ascii="Arial" w:hAnsi="Arial" w:cs="Arial"/>
          <w:noProof/>
          <w:sz w:val="24"/>
          <w:szCs w:val="24"/>
        </w:rPr>
        <w:t xml:space="preserve"> (2018) ‘Plant Volatiles Reduce the Viability of the Root-Knot Nematode Meloidogyne incognita Either Directly or When Retained in Water’, </w:t>
      </w:r>
      <w:r w:rsidRPr="008F4396">
        <w:rPr>
          <w:rFonts w:ascii="Arial" w:hAnsi="Arial" w:cs="Arial"/>
          <w:i/>
          <w:iCs/>
          <w:noProof/>
          <w:sz w:val="24"/>
          <w:szCs w:val="24"/>
        </w:rPr>
        <w:t>Plant Disease</w:t>
      </w:r>
      <w:r w:rsidRPr="008F4396">
        <w:rPr>
          <w:rFonts w:ascii="Arial" w:hAnsi="Arial" w:cs="Arial"/>
          <w:noProof/>
          <w:sz w:val="24"/>
          <w:szCs w:val="24"/>
        </w:rPr>
        <w:t>, 102(11), pp. 2171–2179. doi: 10.1094/PDIS-01-18-0143-RE.</w:t>
      </w:r>
    </w:p>
    <w:p w14:paraId="0A22AAF2"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Caswell, E. P. </w:t>
      </w:r>
      <w:r w:rsidRPr="008F4396">
        <w:rPr>
          <w:rFonts w:ascii="Arial" w:hAnsi="Arial" w:cs="Arial"/>
          <w:i/>
          <w:iCs/>
          <w:noProof/>
          <w:sz w:val="24"/>
          <w:szCs w:val="24"/>
        </w:rPr>
        <w:t>et al.</w:t>
      </w:r>
      <w:r w:rsidRPr="008F4396">
        <w:rPr>
          <w:rFonts w:ascii="Arial" w:hAnsi="Arial" w:cs="Arial"/>
          <w:noProof/>
          <w:sz w:val="24"/>
          <w:szCs w:val="24"/>
        </w:rPr>
        <w:t xml:space="preserve"> (1991) ‘Influence of Nonhost Plants on Population Decline of Rotylenchulus reniformis 1’, </w:t>
      </w:r>
      <w:r w:rsidRPr="008F4396">
        <w:rPr>
          <w:rFonts w:ascii="Arial" w:hAnsi="Arial" w:cs="Arial"/>
          <w:i/>
          <w:iCs/>
          <w:noProof/>
          <w:sz w:val="24"/>
          <w:szCs w:val="24"/>
        </w:rPr>
        <w:t>Journal of Nematology</w:t>
      </w:r>
      <w:r w:rsidRPr="008F4396">
        <w:rPr>
          <w:rFonts w:ascii="Arial" w:hAnsi="Arial" w:cs="Arial"/>
          <w:noProof/>
          <w:sz w:val="24"/>
          <w:szCs w:val="24"/>
        </w:rPr>
        <w:t>, 23(1), pp. 91–98.</w:t>
      </w:r>
    </w:p>
    <w:p w14:paraId="6F04CBAB"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Challenger, F. (1960) ‘Aspects of the organic chemistry of sulphur: Butterworth’s scientific publications, London, 1959. vii+ 253 pp.,£ 2, $7.50’. Pergamon.</w:t>
      </w:r>
    </w:p>
    <w:p w14:paraId="26066372"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Chitwood, D. J. (2002) ‘Phytochemical based strategies for nematode control’, </w:t>
      </w:r>
      <w:r w:rsidRPr="008F4396">
        <w:rPr>
          <w:rFonts w:ascii="Arial" w:hAnsi="Arial" w:cs="Arial"/>
          <w:i/>
          <w:iCs/>
          <w:noProof/>
          <w:sz w:val="24"/>
          <w:szCs w:val="24"/>
        </w:rPr>
        <w:t>Annual Review of Phytopathology</w:t>
      </w:r>
      <w:r w:rsidRPr="008F4396">
        <w:rPr>
          <w:rFonts w:ascii="Arial" w:hAnsi="Arial" w:cs="Arial"/>
          <w:noProof/>
          <w:sz w:val="24"/>
          <w:szCs w:val="24"/>
        </w:rPr>
        <w:t>, 40, pp. 221–249. doi: 10.1146/annurev.phyto.40.032602.130045.</w:t>
      </w:r>
    </w:p>
    <w:p w14:paraId="5E21DDDC"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Choesin, D. N. and Boerner, R. E. J. (1991) ‘Allyl isothiocyanate release and the allelopathic potential of Brassica napus (Brassicaceae)’, </w:t>
      </w:r>
      <w:r w:rsidRPr="008F4396">
        <w:rPr>
          <w:rFonts w:ascii="Arial" w:hAnsi="Arial" w:cs="Arial"/>
          <w:i/>
          <w:iCs/>
          <w:noProof/>
          <w:sz w:val="24"/>
          <w:szCs w:val="24"/>
        </w:rPr>
        <w:t>American journal of botany</w:t>
      </w:r>
      <w:r w:rsidRPr="008F4396">
        <w:rPr>
          <w:rFonts w:ascii="Arial" w:hAnsi="Arial" w:cs="Arial"/>
          <w:noProof/>
          <w:sz w:val="24"/>
          <w:szCs w:val="24"/>
        </w:rPr>
        <w:t>, 78(8), pp. 1083–1090.</w:t>
      </w:r>
    </w:p>
    <w:p w14:paraId="54492BC5"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Christensen, M. J. </w:t>
      </w:r>
      <w:r w:rsidRPr="008F4396">
        <w:rPr>
          <w:rFonts w:ascii="Arial" w:hAnsi="Arial" w:cs="Arial"/>
          <w:i/>
          <w:iCs/>
          <w:noProof/>
          <w:sz w:val="24"/>
          <w:szCs w:val="24"/>
        </w:rPr>
        <w:t>et al.</w:t>
      </w:r>
      <w:r w:rsidRPr="008F4396">
        <w:rPr>
          <w:rFonts w:ascii="Arial" w:hAnsi="Arial" w:cs="Arial"/>
          <w:noProof/>
          <w:sz w:val="24"/>
          <w:szCs w:val="24"/>
        </w:rPr>
        <w:t xml:space="preserve"> (2008) ‘Epichloë endophytes grow by intercalary hyphal extension in elongating grass leaves’, </w:t>
      </w:r>
      <w:r w:rsidRPr="008F4396">
        <w:rPr>
          <w:rFonts w:ascii="Arial" w:hAnsi="Arial" w:cs="Arial"/>
          <w:i/>
          <w:iCs/>
          <w:noProof/>
          <w:sz w:val="24"/>
          <w:szCs w:val="24"/>
        </w:rPr>
        <w:t>Fungal Genetics and Biology</w:t>
      </w:r>
      <w:r w:rsidRPr="008F4396">
        <w:rPr>
          <w:rFonts w:ascii="Arial" w:hAnsi="Arial" w:cs="Arial"/>
          <w:noProof/>
          <w:sz w:val="24"/>
          <w:szCs w:val="24"/>
        </w:rPr>
        <w:t>, 45(2), pp. 84–93. doi: 10.1016/J.FGB.2007.07.013.</w:t>
      </w:r>
    </w:p>
    <w:p w14:paraId="1620FF28"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Christie, J. R. and Perry, V. G. (1951) ‘A Root Disease of Plants Caused by a Nematode of </w:t>
      </w:r>
      <w:r w:rsidRPr="008F4396">
        <w:rPr>
          <w:rFonts w:ascii="Arial" w:hAnsi="Arial" w:cs="Arial"/>
          <w:noProof/>
          <w:sz w:val="24"/>
          <w:szCs w:val="24"/>
        </w:rPr>
        <w:lastRenderedPageBreak/>
        <w:t xml:space="preserve">the Genus Trichodorus’, </w:t>
      </w:r>
      <w:r w:rsidRPr="008F4396">
        <w:rPr>
          <w:rFonts w:ascii="Arial" w:hAnsi="Arial" w:cs="Arial"/>
          <w:i/>
          <w:iCs/>
          <w:noProof/>
          <w:sz w:val="24"/>
          <w:szCs w:val="24"/>
        </w:rPr>
        <w:t>Science</w:t>
      </w:r>
      <w:r w:rsidRPr="008F4396">
        <w:rPr>
          <w:rFonts w:ascii="Arial" w:hAnsi="Arial" w:cs="Arial"/>
          <w:noProof/>
          <w:sz w:val="24"/>
          <w:szCs w:val="24"/>
        </w:rPr>
        <w:t>, 113(2939), pp. 491–493. Available at: http://www.jstor.org/stable/1679265.</w:t>
      </w:r>
    </w:p>
    <w:p w14:paraId="0AE96C2A"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Clay, K. and Schardl, C. (2015) ‘Evolutionary Origins and Ecological Consequences of Endophyte Symbiosis with Grasses’, </w:t>
      </w:r>
      <w:r w:rsidRPr="008F4396">
        <w:rPr>
          <w:rFonts w:ascii="Arial" w:hAnsi="Arial" w:cs="Arial"/>
          <w:i/>
          <w:iCs/>
          <w:noProof/>
          <w:sz w:val="24"/>
          <w:szCs w:val="24"/>
        </w:rPr>
        <w:t>https://doi.org/10.1086/342161</w:t>
      </w:r>
      <w:r w:rsidRPr="008F4396">
        <w:rPr>
          <w:rFonts w:ascii="Arial" w:hAnsi="Arial" w:cs="Arial"/>
          <w:noProof/>
          <w:sz w:val="24"/>
          <w:szCs w:val="24"/>
        </w:rPr>
        <w:t>, 160(4 SUPPL.). doi: 10.1086/342161.</w:t>
      </w:r>
    </w:p>
    <w:p w14:paraId="37E73770"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Cooke, D. A. (1973) ‘The Effect of Plant Parasitic Nematodes, Rainfall and Other Factors on Docking Disorder of Sugar Beet’, </w:t>
      </w:r>
      <w:r w:rsidRPr="008F4396">
        <w:rPr>
          <w:rFonts w:ascii="Arial" w:hAnsi="Arial" w:cs="Arial"/>
          <w:i/>
          <w:iCs/>
          <w:noProof/>
          <w:sz w:val="24"/>
          <w:szCs w:val="24"/>
        </w:rPr>
        <w:t>Plant Pathology</w:t>
      </w:r>
      <w:r w:rsidRPr="008F4396">
        <w:rPr>
          <w:rFonts w:ascii="Arial" w:hAnsi="Arial" w:cs="Arial"/>
          <w:noProof/>
          <w:sz w:val="24"/>
          <w:szCs w:val="24"/>
        </w:rPr>
        <w:t>, 22(4), pp. 161–170. doi: 10.1111/j.1365-3059.1973.tb01800.x.</w:t>
      </w:r>
    </w:p>
    <w:p w14:paraId="3C4695A9"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Cooke, D. A. (1989) ‘Damage to sugar-beet crops by ectoparasitic nematodes, and its control by soil-applied granular pesticides’, </w:t>
      </w:r>
      <w:r w:rsidRPr="008F4396">
        <w:rPr>
          <w:rFonts w:ascii="Arial" w:hAnsi="Arial" w:cs="Arial"/>
          <w:i/>
          <w:iCs/>
          <w:noProof/>
          <w:sz w:val="24"/>
          <w:szCs w:val="24"/>
        </w:rPr>
        <w:t>Crop Protection</w:t>
      </w:r>
      <w:r w:rsidRPr="008F4396">
        <w:rPr>
          <w:rFonts w:ascii="Arial" w:hAnsi="Arial" w:cs="Arial"/>
          <w:noProof/>
          <w:sz w:val="24"/>
          <w:szCs w:val="24"/>
        </w:rPr>
        <w:t>, 8(1), pp. 63–70. doi: 10.1016/0261-2194(89)90101-4.</w:t>
      </w:r>
    </w:p>
    <w:p w14:paraId="7AE8434A"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Cooke, D. A., Bromilow, R. H. and Nicholls, P. H. (1985) ‘The extent and efficacy of granular pesticide usage to control ectoparasitic nematodes on sugar beet’, </w:t>
      </w:r>
      <w:r w:rsidRPr="008F4396">
        <w:rPr>
          <w:rFonts w:ascii="Arial" w:hAnsi="Arial" w:cs="Arial"/>
          <w:i/>
          <w:iCs/>
          <w:noProof/>
          <w:sz w:val="24"/>
          <w:szCs w:val="24"/>
        </w:rPr>
        <w:t>Crop Protection</w:t>
      </w:r>
      <w:r w:rsidRPr="008F4396">
        <w:rPr>
          <w:rFonts w:ascii="Arial" w:hAnsi="Arial" w:cs="Arial"/>
          <w:noProof/>
          <w:sz w:val="24"/>
          <w:szCs w:val="24"/>
        </w:rPr>
        <w:t>, 4(4), pp. 446–457. doi: 10.1016/0261-2194(85)90049-3.</w:t>
      </w:r>
    </w:p>
    <w:p w14:paraId="3B6A785A"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Cooke, D. A. and Draycott, A. P. (1971) ‘The effects of soil fumigation and nitrogen fertilizers on nematodes and sugar beet in sandy soils’, </w:t>
      </w:r>
      <w:r w:rsidRPr="008F4396">
        <w:rPr>
          <w:rFonts w:ascii="Arial" w:hAnsi="Arial" w:cs="Arial"/>
          <w:i/>
          <w:iCs/>
          <w:noProof/>
          <w:sz w:val="24"/>
          <w:szCs w:val="24"/>
        </w:rPr>
        <w:t>Annals of Applied Biology</w:t>
      </w:r>
      <w:r w:rsidRPr="008F4396">
        <w:rPr>
          <w:rFonts w:ascii="Arial" w:hAnsi="Arial" w:cs="Arial"/>
          <w:noProof/>
          <w:sz w:val="24"/>
          <w:szCs w:val="24"/>
        </w:rPr>
        <w:t>, 69(3), pp. 253–264. doi: 10.1111/j.1744-7348.1971.tb04678.x.</w:t>
      </w:r>
    </w:p>
    <w:p w14:paraId="7E97E1F1"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Cooke, D. A. and Holden, M. R. (1975) ‘A Comparison of Two Methods of Overall Fumigation for the Control of Docking Disorder of Sugar Beet’, </w:t>
      </w:r>
      <w:r w:rsidRPr="008F4396">
        <w:rPr>
          <w:rFonts w:ascii="Arial" w:hAnsi="Arial" w:cs="Arial"/>
          <w:i/>
          <w:iCs/>
          <w:noProof/>
          <w:sz w:val="24"/>
          <w:szCs w:val="24"/>
        </w:rPr>
        <w:t>Plant Pathology</w:t>
      </w:r>
      <w:r w:rsidRPr="008F4396">
        <w:rPr>
          <w:rFonts w:ascii="Arial" w:hAnsi="Arial" w:cs="Arial"/>
          <w:noProof/>
          <w:sz w:val="24"/>
          <w:szCs w:val="24"/>
        </w:rPr>
        <w:t>, 24(3), pp. 134–139. doi: 10.1111/j.1365-3059.1975.tb01879.x.</w:t>
      </w:r>
    </w:p>
    <w:p w14:paraId="23C3E52C"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Cooper, J. I. (1971) ‘The Distribution in Scotland of Tobacco Rattle Virus and its Nematode Vectors in Relation to Soil Type’, </w:t>
      </w:r>
      <w:r w:rsidRPr="008F4396">
        <w:rPr>
          <w:rFonts w:ascii="Arial" w:hAnsi="Arial" w:cs="Arial"/>
          <w:i/>
          <w:iCs/>
          <w:noProof/>
          <w:sz w:val="24"/>
          <w:szCs w:val="24"/>
        </w:rPr>
        <w:t>Plant Pathology</w:t>
      </w:r>
      <w:r w:rsidRPr="008F4396">
        <w:rPr>
          <w:rFonts w:ascii="Arial" w:hAnsi="Arial" w:cs="Arial"/>
          <w:noProof/>
          <w:sz w:val="24"/>
          <w:szCs w:val="24"/>
        </w:rPr>
        <w:t>, 20(2), pp. 51–58. doi: 10.1111/j.1365-3059.1971.tb00510.x.</w:t>
      </w:r>
    </w:p>
    <w:p w14:paraId="2D3B7DF6"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Curto, G. </w:t>
      </w:r>
      <w:r w:rsidRPr="008F4396">
        <w:rPr>
          <w:rFonts w:ascii="Arial" w:hAnsi="Arial" w:cs="Arial"/>
          <w:i/>
          <w:iCs/>
          <w:noProof/>
          <w:sz w:val="24"/>
          <w:szCs w:val="24"/>
        </w:rPr>
        <w:t>et al.</w:t>
      </w:r>
      <w:r w:rsidRPr="008F4396">
        <w:rPr>
          <w:rFonts w:ascii="Arial" w:hAnsi="Arial" w:cs="Arial"/>
          <w:noProof/>
          <w:sz w:val="24"/>
          <w:szCs w:val="24"/>
        </w:rPr>
        <w:t xml:space="preserve"> (2012) ‘Evaluation of the activity of dhurrin and sorghum towards Meloidogyne incognita’, </w:t>
      </w:r>
      <w:r w:rsidRPr="008F4396">
        <w:rPr>
          <w:rFonts w:ascii="Arial" w:hAnsi="Arial" w:cs="Arial"/>
          <w:i/>
          <w:iCs/>
          <w:noProof/>
          <w:sz w:val="24"/>
          <w:szCs w:val="24"/>
        </w:rPr>
        <w:t>Nematology</w:t>
      </w:r>
      <w:r w:rsidRPr="008F4396">
        <w:rPr>
          <w:rFonts w:ascii="Arial" w:hAnsi="Arial" w:cs="Arial"/>
          <w:noProof/>
          <w:sz w:val="24"/>
          <w:szCs w:val="24"/>
        </w:rPr>
        <w:t>, 16(PART6), pp. 759–769. doi: 10.1163/156854112X627291.</w:t>
      </w:r>
    </w:p>
    <w:p w14:paraId="5E5C09F3"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D’Addabbo, T. </w:t>
      </w:r>
      <w:r w:rsidRPr="008F4396">
        <w:rPr>
          <w:rFonts w:ascii="Arial" w:hAnsi="Arial" w:cs="Arial"/>
          <w:i/>
          <w:iCs/>
          <w:noProof/>
          <w:sz w:val="24"/>
          <w:szCs w:val="24"/>
        </w:rPr>
        <w:t>et al.</w:t>
      </w:r>
      <w:r w:rsidRPr="008F4396">
        <w:rPr>
          <w:rFonts w:ascii="Arial" w:hAnsi="Arial" w:cs="Arial"/>
          <w:noProof/>
          <w:sz w:val="24"/>
          <w:szCs w:val="24"/>
        </w:rPr>
        <w:t xml:space="preserve"> (2011) ‘Control of plant parasitic nematodes with active saponins and biomass from Medicago sativa’, </w:t>
      </w:r>
      <w:r w:rsidRPr="008F4396">
        <w:rPr>
          <w:rFonts w:ascii="Arial" w:hAnsi="Arial" w:cs="Arial"/>
          <w:i/>
          <w:iCs/>
          <w:noProof/>
          <w:sz w:val="24"/>
          <w:szCs w:val="24"/>
        </w:rPr>
        <w:t>Phytochemistry Reviews</w:t>
      </w:r>
      <w:r w:rsidRPr="008F4396">
        <w:rPr>
          <w:rFonts w:ascii="Arial" w:hAnsi="Arial" w:cs="Arial"/>
          <w:noProof/>
          <w:sz w:val="24"/>
          <w:szCs w:val="24"/>
        </w:rPr>
        <w:t>, 10(4), pp. 503–519. doi: 10.1007/s11101-010-9180-2.</w:t>
      </w:r>
    </w:p>
    <w:p w14:paraId="0BF6A957"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D’Addabbo, T. </w:t>
      </w:r>
      <w:r w:rsidRPr="008F4396">
        <w:rPr>
          <w:rFonts w:ascii="Arial" w:hAnsi="Arial" w:cs="Arial"/>
          <w:i/>
          <w:iCs/>
          <w:noProof/>
          <w:sz w:val="24"/>
          <w:szCs w:val="24"/>
        </w:rPr>
        <w:t>et al.</w:t>
      </w:r>
      <w:r w:rsidRPr="008F4396">
        <w:rPr>
          <w:rFonts w:ascii="Arial" w:hAnsi="Arial" w:cs="Arial"/>
          <w:noProof/>
          <w:sz w:val="24"/>
          <w:szCs w:val="24"/>
        </w:rPr>
        <w:t xml:space="preserve"> (2020) ‘Activity of saponins from Medicago species against </w:t>
      </w:r>
      <w:r w:rsidRPr="008F4396">
        <w:rPr>
          <w:rFonts w:ascii="Arial" w:hAnsi="Arial" w:cs="Arial"/>
          <w:noProof/>
          <w:sz w:val="24"/>
          <w:szCs w:val="24"/>
        </w:rPr>
        <w:lastRenderedPageBreak/>
        <w:t xml:space="preserve">phytoparasitic nematodes’, </w:t>
      </w:r>
      <w:r w:rsidRPr="008F4396">
        <w:rPr>
          <w:rFonts w:ascii="Arial" w:hAnsi="Arial" w:cs="Arial"/>
          <w:i/>
          <w:iCs/>
          <w:noProof/>
          <w:sz w:val="24"/>
          <w:szCs w:val="24"/>
        </w:rPr>
        <w:t>Plants</w:t>
      </w:r>
      <w:r w:rsidRPr="008F4396">
        <w:rPr>
          <w:rFonts w:ascii="Arial" w:hAnsi="Arial" w:cs="Arial"/>
          <w:noProof/>
          <w:sz w:val="24"/>
          <w:szCs w:val="24"/>
        </w:rPr>
        <w:t>, 9(4), p. 443. doi: 10.3390/plants9040443.</w:t>
      </w:r>
    </w:p>
    <w:p w14:paraId="10CB1DF7"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D’Addabbo, T., Avato, P. and Tava, A. (2009) ‘Nematicidal potential of materials from Medicago spp’, </w:t>
      </w:r>
      <w:r w:rsidRPr="008F4396">
        <w:rPr>
          <w:rFonts w:ascii="Arial" w:hAnsi="Arial" w:cs="Arial"/>
          <w:i/>
          <w:iCs/>
          <w:noProof/>
          <w:sz w:val="24"/>
          <w:szCs w:val="24"/>
        </w:rPr>
        <w:t>European Journal of Plant Pathology</w:t>
      </w:r>
      <w:r w:rsidRPr="008F4396">
        <w:rPr>
          <w:rFonts w:ascii="Arial" w:hAnsi="Arial" w:cs="Arial"/>
          <w:noProof/>
          <w:sz w:val="24"/>
          <w:szCs w:val="24"/>
        </w:rPr>
        <w:t>, 125(1), pp. 39–49. doi: 10.1007/s10658-009-9456-9.</w:t>
      </w:r>
    </w:p>
    <w:p w14:paraId="5B49386A"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Daulton, R. A. C. and Curtis, R. F. (1963) ‘The effects of tagetes spp. on meloidogyne javanica in southern rhodesia’, </w:t>
      </w:r>
      <w:r w:rsidRPr="008F4396">
        <w:rPr>
          <w:rFonts w:ascii="Arial" w:hAnsi="Arial" w:cs="Arial"/>
          <w:i/>
          <w:iCs/>
          <w:noProof/>
          <w:sz w:val="24"/>
          <w:szCs w:val="24"/>
        </w:rPr>
        <w:t>Nematologica</w:t>
      </w:r>
      <w:r w:rsidRPr="008F4396">
        <w:rPr>
          <w:rFonts w:ascii="Arial" w:hAnsi="Arial" w:cs="Arial"/>
          <w:noProof/>
          <w:sz w:val="24"/>
          <w:szCs w:val="24"/>
        </w:rPr>
        <w:t>, 9(3), pp. 357–362. doi: 10.1163/187529263X00890.</w:t>
      </w:r>
    </w:p>
    <w:p w14:paraId="23061061"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Decraemer, W. (1980) ‘Systernatics of the Trichodoridae (Nematoda) with keys to their species’, </w:t>
      </w:r>
      <w:r w:rsidRPr="008F4396">
        <w:rPr>
          <w:rFonts w:ascii="Arial" w:hAnsi="Arial" w:cs="Arial"/>
          <w:i/>
          <w:iCs/>
          <w:noProof/>
          <w:sz w:val="24"/>
          <w:szCs w:val="24"/>
        </w:rPr>
        <w:t>Revue de Nematologie</w:t>
      </w:r>
      <w:r w:rsidRPr="008F4396">
        <w:rPr>
          <w:rFonts w:ascii="Arial" w:hAnsi="Arial" w:cs="Arial"/>
          <w:noProof/>
          <w:sz w:val="24"/>
          <w:szCs w:val="24"/>
        </w:rPr>
        <w:t>, 3(1), pp. 81–99.</w:t>
      </w:r>
    </w:p>
    <w:p w14:paraId="3AAF12DC"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Decraemer, W. (1995) ‘General Morphology BT - The Family Trichodoridae: Stubby Root and Virus Vector Nematodes’, in Decraemer, W (ed.). Dordrecht: Springer Netherlands, pp. 4–25. doi: 10.1007/978-94-015-8482-1_2.</w:t>
      </w:r>
    </w:p>
    <w:p w14:paraId="69734F8C"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Decraemer, W. and Baujard, P. (1998) ‘A polytomous key for the identification of species of the family Trichodoridae Thorne, 1935 (Nematoda: Triplonchida)’, </w:t>
      </w:r>
      <w:r w:rsidRPr="008F4396">
        <w:rPr>
          <w:rFonts w:ascii="Arial" w:hAnsi="Arial" w:cs="Arial"/>
          <w:i/>
          <w:iCs/>
          <w:noProof/>
          <w:sz w:val="24"/>
          <w:szCs w:val="24"/>
        </w:rPr>
        <w:t>Fundamental and Applied Nematology</w:t>
      </w:r>
      <w:r w:rsidRPr="008F4396">
        <w:rPr>
          <w:rFonts w:ascii="Arial" w:hAnsi="Arial" w:cs="Arial"/>
          <w:noProof/>
          <w:sz w:val="24"/>
          <w:szCs w:val="24"/>
        </w:rPr>
        <w:t>, 21(1), pp. 37–62.</w:t>
      </w:r>
    </w:p>
    <w:p w14:paraId="07BF8E98"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Decraemer, W., Coolen, W. A. and Hendrickx, G. J. (1979) ‘Evaluation of extraction methods for a survey of Trichodoridae in fields of seed potatoes.’, </w:t>
      </w:r>
      <w:r w:rsidRPr="008F4396">
        <w:rPr>
          <w:rFonts w:ascii="Arial" w:hAnsi="Arial" w:cs="Arial"/>
          <w:i/>
          <w:iCs/>
          <w:noProof/>
          <w:sz w:val="24"/>
          <w:szCs w:val="24"/>
        </w:rPr>
        <w:t>Nematologica</w:t>
      </w:r>
      <w:r w:rsidRPr="008F4396">
        <w:rPr>
          <w:rFonts w:ascii="Arial" w:hAnsi="Arial" w:cs="Arial"/>
          <w:noProof/>
          <w:sz w:val="24"/>
          <w:szCs w:val="24"/>
        </w:rPr>
        <w:t>, 25.</w:t>
      </w:r>
    </w:p>
    <w:p w14:paraId="5ACE23CD"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Decraemer, W. and Geraert, E. (2006) ‘Ectoparasitic nematodes.’, </w:t>
      </w:r>
      <w:r w:rsidRPr="008F4396">
        <w:rPr>
          <w:rFonts w:ascii="Arial" w:hAnsi="Arial" w:cs="Arial"/>
          <w:i/>
          <w:iCs/>
          <w:noProof/>
          <w:sz w:val="24"/>
          <w:szCs w:val="24"/>
        </w:rPr>
        <w:t>Plant nematology</w:t>
      </w:r>
      <w:r w:rsidRPr="008F4396">
        <w:rPr>
          <w:rFonts w:ascii="Arial" w:hAnsi="Arial" w:cs="Arial"/>
          <w:noProof/>
          <w:sz w:val="24"/>
          <w:szCs w:val="24"/>
        </w:rPr>
        <w:t>, pp. 153–184.</w:t>
      </w:r>
    </w:p>
    <w:p w14:paraId="31404D5C"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Decraemer, W. and Geraert, E. (2013) ‘Ectoparasitic nematodes.’, in </w:t>
      </w:r>
      <w:r w:rsidRPr="008F4396">
        <w:rPr>
          <w:rFonts w:ascii="Arial" w:hAnsi="Arial" w:cs="Arial"/>
          <w:i/>
          <w:iCs/>
          <w:noProof/>
          <w:sz w:val="24"/>
          <w:szCs w:val="24"/>
        </w:rPr>
        <w:t>Plant nematology</w:t>
      </w:r>
      <w:r w:rsidRPr="008F4396">
        <w:rPr>
          <w:rFonts w:ascii="Arial" w:hAnsi="Arial" w:cs="Arial"/>
          <w:noProof/>
          <w:sz w:val="24"/>
          <w:szCs w:val="24"/>
        </w:rPr>
        <w:t>. CABI, pp. 179–216.</w:t>
      </w:r>
    </w:p>
    <w:p w14:paraId="0AE48CC1"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Decraemer, W. and Robbins, R. T. (2007) ‘The who, what and where of longidoridae and trichodoridae’, </w:t>
      </w:r>
      <w:r w:rsidRPr="008F4396">
        <w:rPr>
          <w:rFonts w:ascii="Arial" w:hAnsi="Arial" w:cs="Arial"/>
          <w:i/>
          <w:iCs/>
          <w:noProof/>
          <w:sz w:val="24"/>
          <w:szCs w:val="24"/>
        </w:rPr>
        <w:t>Journal of Nematology</w:t>
      </w:r>
      <w:r w:rsidRPr="008F4396">
        <w:rPr>
          <w:rFonts w:ascii="Arial" w:hAnsi="Arial" w:cs="Arial"/>
          <w:noProof/>
          <w:sz w:val="24"/>
          <w:szCs w:val="24"/>
        </w:rPr>
        <w:t>, 39(4), pp. 295–297.</w:t>
      </w:r>
    </w:p>
    <w:p w14:paraId="7CF882C7"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Dutta, T. K., Khan, M. R. and Phani, V. (2019) ‘Plant-parasitic nematode management via biofumigation using brassica and non-brassica plants: Current status and future prospects’, </w:t>
      </w:r>
      <w:r w:rsidRPr="008F4396">
        <w:rPr>
          <w:rFonts w:ascii="Arial" w:hAnsi="Arial" w:cs="Arial"/>
          <w:i/>
          <w:iCs/>
          <w:noProof/>
          <w:sz w:val="24"/>
          <w:szCs w:val="24"/>
        </w:rPr>
        <w:t>Current Plant Biology</w:t>
      </w:r>
      <w:r w:rsidRPr="008F4396">
        <w:rPr>
          <w:rFonts w:ascii="Arial" w:hAnsi="Arial" w:cs="Arial"/>
          <w:noProof/>
          <w:sz w:val="24"/>
          <w:szCs w:val="24"/>
        </w:rPr>
        <w:t>, 17(February), pp. 17–32. doi: 10.1016/j.cpb.2019.02.001.</w:t>
      </w:r>
    </w:p>
    <w:p w14:paraId="64BE151C"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Eerens, J. P. J. </w:t>
      </w:r>
      <w:r w:rsidRPr="008F4396">
        <w:rPr>
          <w:rFonts w:ascii="Arial" w:hAnsi="Arial" w:cs="Arial"/>
          <w:i/>
          <w:iCs/>
          <w:noProof/>
          <w:sz w:val="24"/>
          <w:szCs w:val="24"/>
        </w:rPr>
        <w:t>et al.</w:t>
      </w:r>
      <w:r w:rsidRPr="008F4396">
        <w:rPr>
          <w:rFonts w:ascii="Arial" w:hAnsi="Arial" w:cs="Arial"/>
          <w:noProof/>
          <w:sz w:val="24"/>
          <w:szCs w:val="24"/>
        </w:rPr>
        <w:t xml:space="preserve"> (1998) ‘Influence of the ryegrass endophyte (Neotyphodiumï¿¿lolii) in a cool moist environment IV. Plant parasitic nematodes’, </w:t>
      </w:r>
      <w:r w:rsidRPr="008F4396">
        <w:rPr>
          <w:rFonts w:ascii="Arial" w:hAnsi="Arial" w:cs="Arial"/>
          <w:i/>
          <w:iCs/>
          <w:noProof/>
          <w:sz w:val="24"/>
          <w:szCs w:val="24"/>
        </w:rPr>
        <w:t xml:space="preserve">New Zealand Journal of </w:t>
      </w:r>
      <w:r w:rsidRPr="008F4396">
        <w:rPr>
          <w:rFonts w:ascii="Arial" w:hAnsi="Arial" w:cs="Arial"/>
          <w:i/>
          <w:iCs/>
          <w:noProof/>
          <w:sz w:val="24"/>
          <w:szCs w:val="24"/>
        </w:rPr>
        <w:lastRenderedPageBreak/>
        <w:t>Agricultural Research</w:t>
      </w:r>
      <w:r w:rsidRPr="008F4396">
        <w:rPr>
          <w:rFonts w:ascii="Arial" w:hAnsi="Arial" w:cs="Arial"/>
          <w:noProof/>
          <w:sz w:val="24"/>
          <w:szCs w:val="24"/>
        </w:rPr>
        <w:t>, 41(2), pp. 209–217. doi: 10.1080/00288233.1998.9513304.</w:t>
      </w:r>
    </w:p>
    <w:p w14:paraId="6B3CC715"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Elliott, M. C. and Stowe, B. B. (1971) ‘Distribution and Variation of Indole Glucosinolates in Woad (Isatis tinctoria L.)1’, </w:t>
      </w:r>
      <w:r w:rsidRPr="008F4396">
        <w:rPr>
          <w:rFonts w:ascii="Arial" w:hAnsi="Arial" w:cs="Arial"/>
          <w:i/>
          <w:iCs/>
          <w:noProof/>
          <w:sz w:val="24"/>
          <w:szCs w:val="24"/>
        </w:rPr>
        <w:t>Plant Physiol</w:t>
      </w:r>
      <w:r w:rsidRPr="008F4396">
        <w:rPr>
          <w:rFonts w:ascii="Arial" w:hAnsi="Arial" w:cs="Arial"/>
          <w:noProof/>
          <w:sz w:val="24"/>
          <w:szCs w:val="24"/>
        </w:rPr>
        <w:t>, 48, pp. 498–503. Available at: https://academic.oup.com/plphys/article/48/4/498/6091428 (Accessed: 1 November 2021).</w:t>
      </w:r>
    </w:p>
    <w:p w14:paraId="15AE70C2"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Engelen-Eigles, G. </w:t>
      </w:r>
      <w:r w:rsidRPr="008F4396">
        <w:rPr>
          <w:rFonts w:ascii="Arial" w:hAnsi="Arial" w:cs="Arial"/>
          <w:i/>
          <w:iCs/>
          <w:noProof/>
          <w:sz w:val="24"/>
          <w:szCs w:val="24"/>
        </w:rPr>
        <w:t>et al.</w:t>
      </w:r>
      <w:r w:rsidRPr="008F4396">
        <w:rPr>
          <w:rFonts w:ascii="Arial" w:hAnsi="Arial" w:cs="Arial"/>
          <w:noProof/>
          <w:sz w:val="24"/>
          <w:szCs w:val="24"/>
        </w:rPr>
        <w:t xml:space="preserve"> (2006) ‘The effect of temperature, photoperiod, and light quality on gluconasturtiin concentration in watercress (Nasturtium officinale R. Br.)’, </w:t>
      </w:r>
      <w:r w:rsidRPr="008F4396">
        <w:rPr>
          <w:rFonts w:ascii="Arial" w:hAnsi="Arial" w:cs="Arial"/>
          <w:i/>
          <w:iCs/>
          <w:noProof/>
          <w:sz w:val="24"/>
          <w:szCs w:val="24"/>
        </w:rPr>
        <w:t>Journal of Agricultural and Food Chemistry</w:t>
      </w:r>
      <w:r w:rsidRPr="008F4396">
        <w:rPr>
          <w:rFonts w:ascii="Arial" w:hAnsi="Arial" w:cs="Arial"/>
          <w:noProof/>
          <w:sz w:val="24"/>
          <w:szCs w:val="24"/>
        </w:rPr>
        <w:t>, 54(2), pp. 328–334. doi: 10.1021/jf051857o.</w:t>
      </w:r>
    </w:p>
    <w:p w14:paraId="60288D54"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F Meyer, S. L. </w:t>
      </w:r>
      <w:r w:rsidRPr="008F4396">
        <w:rPr>
          <w:rFonts w:ascii="Arial" w:hAnsi="Arial" w:cs="Arial"/>
          <w:i/>
          <w:iCs/>
          <w:noProof/>
          <w:sz w:val="24"/>
          <w:szCs w:val="24"/>
        </w:rPr>
        <w:t>et al.</w:t>
      </w:r>
      <w:r w:rsidRPr="008F4396">
        <w:rPr>
          <w:rFonts w:ascii="Arial" w:hAnsi="Arial" w:cs="Arial"/>
          <w:noProof/>
          <w:sz w:val="24"/>
          <w:szCs w:val="24"/>
        </w:rPr>
        <w:t xml:space="preserve"> (2020) ‘Festulolium and fungal endophyte associations: host status for Meloidogyne incognita and nematotoxic plant extracts’, </w:t>
      </w:r>
      <w:r w:rsidRPr="008F4396">
        <w:rPr>
          <w:rFonts w:ascii="Arial" w:hAnsi="Arial" w:cs="Arial"/>
          <w:i/>
          <w:iCs/>
          <w:noProof/>
          <w:sz w:val="24"/>
          <w:szCs w:val="24"/>
        </w:rPr>
        <w:t>JOURNAL OF NEMATOLOGY</w:t>
      </w:r>
      <w:r w:rsidRPr="008F4396">
        <w:rPr>
          <w:rFonts w:ascii="Arial" w:hAnsi="Arial" w:cs="Arial"/>
          <w:noProof/>
          <w:sz w:val="24"/>
          <w:szCs w:val="24"/>
        </w:rPr>
        <w:t>, 52, pp. 2020–76. doi: 10.21307/jofnem-2020-076.</w:t>
      </w:r>
    </w:p>
    <w:p w14:paraId="0EC2BAF7"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Fahey, J. ., Zalcmann, A. . and Talalay, P. (2001) ‘The chemical diversity and distribution of glucosinolates and isothiocyanates among plants’, </w:t>
      </w:r>
      <w:r w:rsidRPr="008F4396">
        <w:rPr>
          <w:rFonts w:ascii="Arial" w:hAnsi="Arial" w:cs="Arial"/>
          <w:i/>
          <w:iCs/>
          <w:noProof/>
          <w:sz w:val="24"/>
          <w:szCs w:val="24"/>
        </w:rPr>
        <w:t>Phytochemistry</w:t>
      </w:r>
      <w:r w:rsidRPr="008F4396">
        <w:rPr>
          <w:rFonts w:ascii="Arial" w:hAnsi="Arial" w:cs="Arial"/>
          <w:noProof/>
          <w:sz w:val="24"/>
          <w:szCs w:val="24"/>
        </w:rPr>
        <w:t>, 56.</w:t>
      </w:r>
    </w:p>
    <w:p w14:paraId="5F8B5B56"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Fletcher, L. </w:t>
      </w:r>
      <w:r w:rsidRPr="008F4396">
        <w:rPr>
          <w:rFonts w:ascii="Arial" w:hAnsi="Arial" w:cs="Arial"/>
          <w:i/>
          <w:iCs/>
          <w:noProof/>
          <w:sz w:val="24"/>
          <w:szCs w:val="24"/>
        </w:rPr>
        <w:t>et al.</w:t>
      </w:r>
      <w:r w:rsidRPr="008F4396">
        <w:rPr>
          <w:rFonts w:ascii="Arial" w:hAnsi="Arial" w:cs="Arial"/>
          <w:noProof/>
          <w:sz w:val="24"/>
          <w:szCs w:val="24"/>
        </w:rPr>
        <w:t xml:space="preserve"> (2017) ‘New Zealand Veterinary Journal The occurrence of ryegrass staggers and heat stress in sheep grazing ryegrass-endophyte associations with diverse alkaloid profiles The occurrence of ryegrass staggers and heat stress in sheep grazing ryegrass-endophyte asso’, </w:t>
      </w:r>
      <w:r w:rsidRPr="008F4396">
        <w:rPr>
          <w:rFonts w:ascii="Arial" w:hAnsi="Arial" w:cs="Arial"/>
          <w:i/>
          <w:iCs/>
          <w:noProof/>
          <w:sz w:val="24"/>
          <w:szCs w:val="24"/>
        </w:rPr>
        <w:t>New Zealand Veterinary</w:t>
      </w:r>
      <w:r w:rsidRPr="008F4396">
        <w:rPr>
          <w:rFonts w:ascii="Arial" w:hAnsi="Arial" w:cs="Arial"/>
          <w:noProof/>
          <w:sz w:val="24"/>
          <w:szCs w:val="24"/>
        </w:rPr>
        <w:t>, 65(5), pp. 232–241. doi: 10.1080/00480169.2017.1329673.</w:t>
      </w:r>
    </w:p>
    <w:p w14:paraId="003BE8A2"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Fourie, H. </w:t>
      </w:r>
      <w:r w:rsidRPr="008F4396">
        <w:rPr>
          <w:rFonts w:ascii="Arial" w:hAnsi="Arial" w:cs="Arial"/>
          <w:i/>
          <w:iCs/>
          <w:noProof/>
          <w:sz w:val="24"/>
          <w:szCs w:val="24"/>
        </w:rPr>
        <w:t>et al.</w:t>
      </w:r>
      <w:r w:rsidRPr="008F4396">
        <w:rPr>
          <w:rFonts w:ascii="Arial" w:hAnsi="Arial" w:cs="Arial"/>
          <w:noProof/>
          <w:sz w:val="24"/>
          <w:szCs w:val="24"/>
        </w:rPr>
        <w:t xml:space="preserve"> (2016) ‘Brassicacea-based management strategies as an alternative to combat nematode pests: A synopsis’, </w:t>
      </w:r>
      <w:r w:rsidRPr="008F4396">
        <w:rPr>
          <w:rFonts w:ascii="Arial" w:hAnsi="Arial" w:cs="Arial"/>
          <w:i/>
          <w:iCs/>
          <w:noProof/>
          <w:sz w:val="24"/>
          <w:szCs w:val="24"/>
        </w:rPr>
        <w:t>Crop Protection</w:t>
      </w:r>
      <w:r w:rsidRPr="008F4396">
        <w:rPr>
          <w:rFonts w:ascii="Arial" w:hAnsi="Arial" w:cs="Arial"/>
          <w:noProof/>
          <w:sz w:val="24"/>
          <w:szCs w:val="24"/>
        </w:rPr>
        <w:t>, 80, pp. 21–41. doi: 10.1016/j.cropro.2015.10.026.</w:t>
      </w:r>
    </w:p>
    <w:p w14:paraId="15584208"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Fourie, H. </w:t>
      </w:r>
      <w:r w:rsidRPr="008F4396">
        <w:rPr>
          <w:rFonts w:ascii="Arial" w:hAnsi="Arial" w:cs="Arial"/>
          <w:i/>
          <w:iCs/>
          <w:noProof/>
          <w:sz w:val="24"/>
          <w:szCs w:val="24"/>
        </w:rPr>
        <w:t>et al.</w:t>
      </w:r>
      <w:r w:rsidRPr="008F4396">
        <w:rPr>
          <w:rFonts w:ascii="Arial" w:hAnsi="Arial" w:cs="Arial"/>
          <w:noProof/>
          <w:sz w:val="24"/>
          <w:szCs w:val="24"/>
        </w:rPr>
        <w:t xml:space="preserve"> (2017) ‘Nematology in South Africa: A View from the 21st Century’, </w:t>
      </w:r>
      <w:r w:rsidRPr="008F4396">
        <w:rPr>
          <w:rFonts w:ascii="Arial" w:hAnsi="Arial" w:cs="Arial"/>
          <w:i/>
          <w:iCs/>
          <w:noProof/>
          <w:sz w:val="24"/>
          <w:szCs w:val="24"/>
        </w:rPr>
        <w:t>Nematology in South Africa: A View from the 21st Century</w:t>
      </w:r>
      <w:r w:rsidRPr="008F4396">
        <w:rPr>
          <w:rFonts w:ascii="Arial" w:hAnsi="Arial" w:cs="Arial"/>
          <w:noProof/>
          <w:sz w:val="24"/>
          <w:szCs w:val="24"/>
        </w:rPr>
        <w:t>, pp. 1–558. doi: 10.1007/978-3-319-44210-5.</w:t>
      </w:r>
    </w:p>
    <w:p w14:paraId="75E9E2B4"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Gardiner, J. B. </w:t>
      </w:r>
      <w:r w:rsidRPr="008F4396">
        <w:rPr>
          <w:rFonts w:ascii="Arial" w:hAnsi="Arial" w:cs="Arial"/>
          <w:i/>
          <w:iCs/>
          <w:noProof/>
          <w:sz w:val="24"/>
          <w:szCs w:val="24"/>
        </w:rPr>
        <w:t>et al.</w:t>
      </w:r>
      <w:r w:rsidRPr="008F4396">
        <w:rPr>
          <w:rFonts w:ascii="Arial" w:hAnsi="Arial" w:cs="Arial"/>
          <w:noProof/>
          <w:sz w:val="24"/>
          <w:szCs w:val="24"/>
        </w:rPr>
        <w:t xml:space="preserve"> (1999) ‘Allelochemicals released in soil following incorporation of rapeseed (Brassica napus) green manures’, </w:t>
      </w:r>
      <w:r w:rsidRPr="008F4396">
        <w:rPr>
          <w:rFonts w:ascii="Arial" w:hAnsi="Arial" w:cs="Arial"/>
          <w:i/>
          <w:iCs/>
          <w:noProof/>
          <w:sz w:val="24"/>
          <w:szCs w:val="24"/>
        </w:rPr>
        <w:t>Journal of Agricultural and Food Chemistry</w:t>
      </w:r>
      <w:r w:rsidRPr="008F4396">
        <w:rPr>
          <w:rFonts w:ascii="Arial" w:hAnsi="Arial" w:cs="Arial"/>
          <w:noProof/>
          <w:sz w:val="24"/>
          <w:szCs w:val="24"/>
        </w:rPr>
        <w:t>, 47(9), pp. 3837–3842. doi: 10.1021/jf9812679.</w:t>
      </w:r>
    </w:p>
    <w:p w14:paraId="28AB0BA2"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bookmarkStart w:id="65" w:name="_Hlk87868336"/>
      <w:r w:rsidRPr="008F4396">
        <w:rPr>
          <w:rFonts w:ascii="Arial" w:hAnsi="Arial" w:cs="Arial"/>
          <w:noProof/>
          <w:sz w:val="24"/>
          <w:szCs w:val="24"/>
        </w:rPr>
        <w:t xml:space="preserve">Gibbs, A. J. (1959) ‘DOCKING DISORDER’, </w:t>
      </w:r>
      <w:r w:rsidRPr="008F4396">
        <w:rPr>
          <w:rFonts w:ascii="Arial" w:hAnsi="Arial" w:cs="Arial"/>
          <w:i/>
          <w:iCs/>
          <w:noProof/>
          <w:sz w:val="24"/>
          <w:szCs w:val="24"/>
        </w:rPr>
        <w:t>Plant Pathology</w:t>
      </w:r>
      <w:r w:rsidRPr="008F4396">
        <w:rPr>
          <w:rFonts w:ascii="Arial" w:hAnsi="Arial" w:cs="Arial"/>
          <w:noProof/>
          <w:sz w:val="24"/>
          <w:szCs w:val="24"/>
        </w:rPr>
        <w:t>, 8(3), pp. 93–94. doi: 10.1111/J.1365-3059.1959.TB00884.X.</w:t>
      </w:r>
    </w:p>
    <w:bookmarkEnd w:id="65"/>
    <w:p w14:paraId="44EA15A6"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Gibbs, A. J. and Harrison, B. D. (1963) ‘Nematode-transmitted viruses in sugar beet in East </w:t>
      </w:r>
      <w:r w:rsidRPr="008F4396">
        <w:rPr>
          <w:rFonts w:ascii="Arial" w:hAnsi="Arial" w:cs="Arial"/>
          <w:noProof/>
          <w:sz w:val="24"/>
          <w:szCs w:val="24"/>
        </w:rPr>
        <w:lastRenderedPageBreak/>
        <w:t xml:space="preserve">Anglia’, </w:t>
      </w:r>
      <w:r w:rsidRPr="008F4396">
        <w:rPr>
          <w:rFonts w:ascii="Arial" w:hAnsi="Arial" w:cs="Arial"/>
          <w:i/>
          <w:iCs/>
          <w:noProof/>
          <w:sz w:val="24"/>
          <w:szCs w:val="24"/>
        </w:rPr>
        <w:t>Plant Pathology</w:t>
      </w:r>
      <w:r w:rsidRPr="008F4396">
        <w:rPr>
          <w:rFonts w:ascii="Arial" w:hAnsi="Arial" w:cs="Arial"/>
          <w:noProof/>
          <w:sz w:val="24"/>
          <w:szCs w:val="24"/>
        </w:rPr>
        <w:t>.</w:t>
      </w:r>
    </w:p>
    <w:p w14:paraId="634D6C4D"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Gooneratne, S. </w:t>
      </w:r>
      <w:r w:rsidRPr="008F4396">
        <w:rPr>
          <w:rFonts w:ascii="Arial" w:hAnsi="Arial" w:cs="Arial"/>
          <w:i/>
          <w:iCs/>
          <w:noProof/>
          <w:sz w:val="24"/>
          <w:szCs w:val="24"/>
        </w:rPr>
        <w:t>et al.</w:t>
      </w:r>
      <w:r w:rsidRPr="008F4396">
        <w:rPr>
          <w:rFonts w:ascii="Arial" w:hAnsi="Arial" w:cs="Arial"/>
          <w:noProof/>
          <w:sz w:val="24"/>
          <w:szCs w:val="24"/>
        </w:rPr>
        <w:t xml:space="preserve"> (2012) ‘Excretion of loline alkaloids in urine and faeces of sheep dosed with meadow fescue (Festuca pratensis) seed containing high concentrations of loline alkaloids’, </w:t>
      </w:r>
      <w:r w:rsidRPr="008F4396">
        <w:rPr>
          <w:rFonts w:ascii="Arial" w:hAnsi="Arial" w:cs="Arial"/>
          <w:i/>
          <w:iCs/>
          <w:noProof/>
          <w:sz w:val="24"/>
          <w:szCs w:val="24"/>
        </w:rPr>
        <w:t>New Zealand Veterinary</w:t>
      </w:r>
      <w:r w:rsidRPr="008F4396">
        <w:rPr>
          <w:rFonts w:ascii="Arial" w:hAnsi="Arial" w:cs="Arial"/>
          <w:noProof/>
          <w:sz w:val="24"/>
          <w:szCs w:val="24"/>
        </w:rPr>
        <w:t>, 60(3), pp. 176–182. doi: 10.1080/00480169.2011.644189.</w:t>
      </w:r>
    </w:p>
    <w:p w14:paraId="2C40AE80"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Grabau, Z. J., Noling, J. W. and Navia Gine, P. A. (2019) ‘Fluensulfone and 1,3-dichloroprene for plant-parasitic nematode management in potato production’, </w:t>
      </w:r>
      <w:r w:rsidRPr="008F4396">
        <w:rPr>
          <w:rFonts w:ascii="Arial" w:hAnsi="Arial" w:cs="Arial"/>
          <w:i/>
          <w:iCs/>
          <w:noProof/>
          <w:sz w:val="24"/>
          <w:szCs w:val="24"/>
        </w:rPr>
        <w:t>Journal of Nematology</w:t>
      </w:r>
      <w:r w:rsidRPr="008F4396">
        <w:rPr>
          <w:rFonts w:ascii="Arial" w:hAnsi="Arial" w:cs="Arial"/>
          <w:noProof/>
          <w:sz w:val="24"/>
          <w:szCs w:val="24"/>
        </w:rPr>
        <w:t>, 51(1), pp. 1–12. doi: 10.21307/jofnem-2019-038.</w:t>
      </w:r>
    </w:p>
    <w:p w14:paraId="487326E3"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Graham Stirling,  by and Nicol, J. (2002) </w:t>
      </w:r>
      <w:r w:rsidRPr="008F4396">
        <w:rPr>
          <w:rFonts w:ascii="Arial" w:hAnsi="Arial" w:cs="Arial"/>
          <w:i/>
          <w:iCs/>
          <w:noProof/>
          <w:sz w:val="24"/>
          <w:szCs w:val="24"/>
        </w:rPr>
        <w:t>Advisory Services for Nematode Pests Operational Guidelines A report for the Rural Industries Research and Development Corporation</w:t>
      </w:r>
      <w:r w:rsidRPr="008F4396">
        <w:rPr>
          <w:rFonts w:ascii="Arial" w:hAnsi="Arial" w:cs="Arial"/>
          <w:noProof/>
          <w:sz w:val="24"/>
          <w:szCs w:val="24"/>
        </w:rPr>
        <w:t>. Available at: http://www.rirdc.gov.au (Accessed: 16 January 2021).</w:t>
      </w:r>
    </w:p>
    <w:p w14:paraId="04A7A9C3"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Hafez, S. L. (1998) ‘Sugar Beet Nematodes In Idaho And Eastern Oregon’, pp. 1–12.</w:t>
      </w:r>
    </w:p>
    <w:p w14:paraId="2F284268"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Halbrendt, J. M. (1996) ‘Allelopathy in the management of plant-parasitic nematodes’, </w:t>
      </w:r>
      <w:r w:rsidRPr="008F4396">
        <w:rPr>
          <w:rFonts w:ascii="Arial" w:hAnsi="Arial" w:cs="Arial"/>
          <w:i/>
          <w:iCs/>
          <w:noProof/>
          <w:sz w:val="24"/>
          <w:szCs w:val="24"/>
        </w:rPr>
        <w:t>Journal of Nematology</w:t>
      </w:r>
      <w:r w:rsidRPr="008F4396">
        <w:rPr>
          <w:rFonts w:ascii="Arial" w:hAnsi="Arial" w:cs="Arial"/>
          <w:noProof/>
          <w:sz w:val="24"/>
          <w:szCs w:val="24"/>
        </w:rPr>
        <w:t>, 28(1), pp. 8–14.</w:t>
      </w:r>
    </w:p>
    <w:p w14:paraId="36885BD6"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Halkier, B. A. and Gershenzon, J. (2006) ‘Biology and biochemistry of glucosinolates’, </w:t>
      </w:r>
      <w:r w:rsidRPr="008F4396">
        <w:rPr>
          <w:rFonts w:ascii="Arial" w:hAnsi="Arial" w:cs="Arial"/>
          <w:i/>
          <w:iCs/>
          <w:noProof/>
          <w:sz w:val="24"/>
          <w:szCs w:val="24"/>
        </w:rPr>
        <w:t>Annu. Rev. Plant Biol.</w:t>
      </w:r>
      <w:r w:rsidRPr="008F4396">
        <w:rPr>
          <w:rFonts w:ascii="Arial" w:hAnsi="Arial" w:cs="Arial"/>
          <w:noProof/>
          <w:sz w:val="24"/>
          <w:szCs w:val="24"/>
        </w:rPr>
        <w:t>, 57, pp. 303–333.</w:t>
      </w:r>
    </w:p>
    <w:p w14:paraId="2837E23B"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Harrison, J. M. and Green, C. D. (1975) ‘Comparison of centrifugal and other methods for standardization of extraction of nematodes from soil’, </w:t>
      </w:r>
      <w:r w:rsidRPr="008F4396">
        <w:rPr>
          <w:rFonts w:ascii="Arial" w:hAnsi="Arial" w:cs="Arial"/>
          <w:i/>
          <w:iCs/>
          <w:noProof/>
          <w:sz w:val="24"/>
          <w:szCs w:val="24"/>
        </w:rPr>
        <w:t>Am. appl. Biol</w:t>
      </w:r>
      <w:r w:rsidRPr="008F4396">
        <w:rPr>
          <w:rFonts w:ascii="Arial" w:hAnsi="Arial" w:cs="Arial"/>
          <w:noProof/>
          <w:sz w:val="24"/>
          <w:szCs w:val="24"/>
        </w:rPr>
        <w:t>, 82, pp. 299–308.</w:t>
      </w:r>
    </w:p>
    <w:p w14:paraId="02EEC1D6"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Hartsema, O. H. </w:t>
      </w:r>
      <w:r w:rsidRPr="008F4396">
        <w:rPr>
          <w:rFonts w:ascii="Arial" w:hAnsi="Arial" w:cs="Arial"/>
          <w:i/>
          <w:iCs/>
          <w:noProof/>
          <w:sz w:val="24"/>
          <w:szCs w:val="24"/>
        </w:rPr>
        <w:t>et al.</w:t>
      </w:r>
      <w:r w:rsidRPr="008F4396">
        <w:rPr>
          <w:rFonts w:ascii="Arial" w:hAnsi="Arial" w:cs="Arial"/>
          <w:noProof/>
          <w:sz w:val="24"/>
          <w:szCs w:val="24"/>
        </w:rPr>
        <w:t xml:space="preserve"> (2005) ‘Rotational Research Paratrichodorus teres (1991–2000)’, </w:t>
      </w:r>
      <w:r w:rsidRPr="008F4396">
        <w:rPr>
          <w:rFonts w:ascii="Arial" w:hAnsi="Arial" w:cs="Arial"/>
          <w:i/>
          <w:iCs/>
          <w:noProof/>
          <w:sz w:val="24"/>
          <w:szCs w:val="24"/>
        </w:rPr>
        <w:t>Practical Research Plant and Environment: Utrecht, The Netherlands</w:t>
      </w:r>
      <w:r w:rsidRPr="008F4396">
        <w:rPr>
          <w:rFonts w:ascii="Arial" w:hAnsi="Arial" w:cs="Arial"/>
          <w:noProof/>
          <w:sz w:val="24"/>
          <w:szCs w:val="24"/>
        </w:rPr>
        <w:t>, p. 85.</w:t>
      </w:r>
    </w:p>
    <w:p w14:paraId="1C8EDE66"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Hoff, J. K. and Mai, W. F. (1962) ‘Hoff, J. K., and Mai, W. F., Pathogenicity of the stubby root nematode to onion, Plant Dis. Reptr. 46 (1): 24,1962.’, </w:t>
      </w:r>
      <w:r w:rsidRPr="008F4396">
        <w:rPr>
          <w:rFonts w:ascii="Arial" w:hAnsi="Arial" w:cs="Arial"/>
          <w:i/>
          <w:iCs/>
          <w:noProof/>
          <w:sz w:val="24"/>
          <w:szCs w:val="24"/>
        </w:rPr>
        <w:t>PLANT DISEASE REPORTER</w:t>
      </w:r>
      <w:r w:rsidRPr="008F4396">
        <w:rPr>
          <w:rFonts w:ascii="Arial" w:hAnsi="Arial" w:cs="Arial"/>
          <w:noProof/>
          <w:sz w:val="24"/>
          <w:szCs w:val="24"/>
        </w:rPr>
        <w:t>, 46(1), pp. 24–25.</w:t>
      </w:r>
    </w:p>
    <w:p w14:paraId="2FF6B69D"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Hooks, C. R. R. </w:t>
      </w:r>
      <w:r w:rsidRPr="008F4396">
        <w:rPr>
          <w:rFonts w:ascii="Arial" w:hAnsi="Arial" w:cs="Arial"/>
          <w:i/>
          <w:iCs/>
          <w:noProof/>
          <w:sz w:val="24"/>
          <w:szCs w:val="24"/>
        </w:rPr>
        <w:t>et al.</w:t>
      </w:r>
      <w:r w:rsidRPr="008F4396">
        <w:rPr>
          <w:rFonts w:ascii="Arial" w:hAnsi="Arial" w:cs="Arial"/>
          <w:noProof/>
          <w:sz w:val="24"/>
          <w:szCs w:val="24"/>
        </w:rPr>
        <w:t xml:space="preserve"> (2010) ‘Using marigold (Tagetes spp.) as a cover crop to protect crops from plant-parasitic nematodes’, </w:t>
      </w:r>
      <w:r w:rsidRPr="008F4396">
        <w:rPr>
          <w:rFonts w:ascii="Arial" w:hAnsi="Arial" w:cs="Arial"/>
          <w:i/>
          <w:iCs/>
          <w:noProof/>
          <w:sz w:val="24"/>
          <w:szCs w:val="24"/>
        </w:rPr>
        <w:t>Applied Soil Ecology</w:t>
      </w:r>
      <w:r w:rsidRPr="008F4396">
        <w:rPr>
          <w:rFonts w:ascii="Arial" w:hAnsi="Arial" w:cs="Arial"/>
          <w:noProof/>
          <w:sz w:val="24"/>
          <w:szCs w:val="24"/>
        </w:rPr>
        <w:t>, 46(3), pp. 307–320. doi: 10.1016/j.apsoil.2010.09.005.</w:t>
      </w:r>
    </w:p>
    <w:p w14:paraId="26C8816C"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Hooper, D. J. (1962) ‘Three new species of trichodorus (Nematoda: Dorylaimoidea) and observations on t. minor colbran, 1956’, </w:t>
      </w:r>
      <w:r w:rsidRPr="008F4396">
        <w:rPr>
          <w:rFonts w:ascii="Arial" w:hAnsi="Arial" w:cs="Arial"/>
          <w:i/>
          <w:iCs/>
          <w:noProof/>
          <w:sz w:val="24"/>
          <w:szCs w:val="24"/>
        </w:rPr>
        <w:t>Nematologica</w:t>
      </w:r>
      <w:r w:rsidRPr="008F4396">
        <w:rPr>
          <w:rFonts w:ascii="Arial" w:hAnsi="Arial" w:cs="Arial"/>
          <w:noProof/>
          <w:sz w:val="24"/>
          <w:szCs w:val="24"/>
        </w:rPr>
        <w:t xml:space="preserve">, 7(4), pp. 273–280. doi: </w:t>
      </w:r>
      <w:r w:rsidRPr="008F4396">
        <w:rPr>
          <w:rFonts w:ascii="Arial" w:hAnsi="Arial" w:cs="Arial"/>
          <w:noProof/>
          <w:sz w:val="24"/>
          <w:szCs w:val="24"/>
        </w:rPr>
        <w:lastRenderedPageBreak/>
        <w:t>10.1163/187529262X00567.</w:t>
      </w:r>
    </w:p>
    <w:p w14:paraId="7519E4A6"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Hooper, D. J. (1963) ‘Trichodorus viruliferus n. sp. (Nematoda: Dorylaimida)’, </w:t>
      </w:r>
      <w:r w:rsidRPr="008F4396">
        <w:rPr>
          <w:rFonts w:ascii="Arial" w:hAnsi="Arial" w:cs="Arial"/>
          <w:i/>
          <w:iCs/>
          <w:noProof/>
          <w:sz w:val="24"/>
          <w:szCs w:val="24"/>
        </w:rPr>
        <w:t>Nematologica</w:t>
      </w:r>
      <w:r w:rsidRPr="008F4396">
        <w:rPr>
          <w:rFonts w:ascii="Arial" w:hAnsi="Arial" w:cs="Arial"/>
          <w:noProof/>
          <w:sz w:val="24"/>
          <w:szCs w:val="24"/>
        </w:rPr>
        <w:t>, 9(2), pp. 200–204. doi: 10.1163/187529263X00368.</w:t>
      </w:r>
    </w:p>
    <w:p w14:paraId="7D659B07"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Ibrahim, M. A. and Srour, H. A. (2013) ‘Citation: Ibrahim MAR, Srour HAM (2013) Saponins Suppress Nematode Cholesterol Biosynthesis and Inhibit Root Knot Nematode Development in Tomato Seedlings’, </w:t>
      </w:r>
      <w:r w:rsidRPr="008F4396">
        <w:rPr>
          <w:rFonts w:ascii="Arial" w:hAnsi="Arial" w:cs="Arial"/>
          <w:i/>
          <w:iCs/>
          <w:noProof/>
          <w:sz w:val="24"/>
          <w:szCs w:val="24"/>
        </w:rPr>
        <w:t>Nat Prod Chem Res</w:t>
      </w:r>
      <w:r w:rsidRPr="008F4396">
        <w:rPr>
          <w:rFonts w:ascii="Arial" w:hAnsi="Arial" w:cs="Arial"/>
          <w:noProof/>
          <w:sz w:val="24"/>
          <w:szCs w:val="24"/>
        </w:rPr>
        <w:t>, 2(1), p. 123. doi: 10.4172/2329-6836.1000123.</w:t>
      </w:r>
    </w:p>
    <w:p w14:paraId="3DF95CF2"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Jones, F. G. W., Larbey, D. W. and Parrott, D. M. (1969) ‘The influence of soil structure and moisture on nematodes, especially xiphinema, longidorus, trichodorus and heterodera spp.’, </w:t>
      </w:r>
      <w:r w:rsidRPr="008F4396">
        <w:rPr>
          <w:rFonts w:ascii="Arial" w:hAnsi="Arial" w:cs="Arial"/>
          <w:i/>
          <w:iCs/>
          <w:noProof/>
          <w:sz w:val="24"/>
          <w:szCs w:val="24"/>
        </w:rPr>
        <w:t>Soil Biology and Biochemistry</w:t>
      </w:r>
      <w:r w:rsidRPr="008F4396">
        <w:rPr>
          <w:rFonts w:ascii="Arial" w:hAnsi="Arial" w:cs="Arial"/>
          <w:noProof/>
          <w:sz w:val="24"/>
          <w:szCs w:val="24"/>
        </w:rPr>
        <w:t>, 1(2). doi: 10.1016/0038-0717(69)90006-6.</w:t>
      </w:r>
    </w:p>
    <w:p w14:paraId="226F7E11"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Kirkegaard, J. A. </w:t>
      </w:r>
      <w:r w:rsidRPr="008F4396">
        <w:rPr>
          <w:rFonts w:ascii="Arial" w:hAnsi="Arial" w:cs="Arial"/>
          <w:i/>
          <w:iCs/>
          <w:noProof/>
          <w:sz w:val="24"/>
          <w:szCs w:val="24"/>
        </w:rPr>
        <w:t>et al.</w:t>
      </w:r>
      <w:r w:rsidRPr="008F4396">
        <w:rPr>
          <w:rFonts w:ascii="Arial" w:hAnsi="Arial" w:cs="Arial"/>
          <w:noProof/>
          <w:sz w:val="24"/>
          <w:szCs w:val="24"/>
        </w:rPr>
        <w:t xml:space="preserve"> (1993) ‘Biofumigation: using Brassica species to control pests and diseases in horticulture and agriculture’, in </w:t>
      </w:r>
      <w:r w:rsidRPr="008F4396">
        <w:rPr>
          <w:rFonts w:ascii="Arial" w:hAnsi="Arial" w:cs="Arial"/>
          <w:i/>
          <w:iCs/>
          <w:noProof/>
          <w:sz w:val="24"/>
          <w:szCs w:val="24"/>
        </w:rPr>
        <w:t>Proceedings of the 9th Australian Research Assembly on Brassicas</w:t>
      </w:r>
      <w:r w:rsidRPr="008F4396">
        <w:rPr>
          <w:rFonts w:ascii="Arial" w:hAnsi="Arial" w:cs="Arial"/>
          <w:noProof/>
          <w:sz w:val="24"/>
          <w:szCs w:val="24"/>
        </w:rPr>
        <w:t>.</w:t>
      </w:r>
    </w:p>
    <w:p w14:paraId="2A4416F6"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Kowalska, B. and Smolinska, U. (2001) ‘Effect of Brassicaceae plants on the nematodes Paratylenchus spp. and soil microorganisms’, </w:t>
      </w:r>
      <w:r w:rsidRPr="008F4396">
        <w:rPr>
          <w:rFonts w:ascii="Arial" w:hAnsi="Arial" w:cs="Arial"/>
          <w:i/>
          <w:iCs/>
          <w:noProof/>
          <w:sz w:val="24"/>
          <w:szCs w:val="24"/>
        </w:rPr>
        <w:t>Vegetable Crops Research Bulletin</w:t>
      </w:r>
      <w:r w:rsidRPr="008F4396">
        <w:rPr>
          <w:rFonts w:ascii="Arial" w:hAnsi="Arial" w:cs="Arial"/>
          <w:noProof/>
          <w:sz w:val="24"/>
          <w:szCs w:val="24"/>
        </w:rPr>
        <w:t>, 55.</w:t>
      </w:r>
    </w:p>
    <w:p w14:paraId="1131AB78"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Kruger, D. H. M., Fourie, J. C. and Malan, A. P. (2015) ‘The effect of cover crops and their management on plant-parasitic nematodes in vineyards’, </w:t>
      </w:r>
      <w:r w:rsidRPr="008F4396">
        <w:rPr>
          <w:rFonts w:ascii="Arial" w:hAnsi="Arial" w:cs="Arial"/>
          <w:i/>
          <w:iCs/>
          <w:noProof/>
          <w:sz w:val="24"/>
          <w:szCs w:val="24"/>
        </w:rPr>
        <w:t>South African Journal of Enology and Viticulture</w:t>
      </w:r>
      <w:r w:rsidRPr="008F4396">
        <w:rPr>
          <w:rFonts w:ascii="Arial" w:hAnsi="Arial" w:cs="Arial"/>
          <w:noProof/>
          <w:sz w:val="24"/>
          <w:szCs w:val="24"/>
        </w:rPr>
        <w:t>, 36(2), pp. 195–209.</w:t>
      </w:r>
    </w:p>
    <w:p w14:paraId="398BD4BD"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Kuiper, K. and Loof, P. A. A. (1962) ‘Trichodorus flevensis n. sp.(Nematoda: Enoplida) a plant nematode from new polder soil.’, </w:t>
      </w:r>
      <w:r w:rsidRPr="008F4396">
        <w:rPr>
          <w:rFonts w:ascii="Arial" w:hAnsi="Arial" w:cs="Arial"/>
          <w:i/>
          <w:iCs/>
          <w:noProof/>
          <w:sz w:val="24"/>
          <w:szCs w:val="24"/>
        </w:rPr>
        <w:t>Trichodorus flevensis n. sp.(Nematoda: Enoplida) a plant nematode from new polder soil.</w:t>
      </w:r>
      <w:r w:rsidRPr="008F4396">
        <w:rPr>
          <w:rFonts w:ascii="Arial" w:hAnsi="Arial" w:cs="Arial"/>
          <w:noProof/>
          <w:sz w:val="24"/>
          <w:szCs w:val="24"/>
        </w:rPr>
        <w:t>, (136).</w:t>
      </w:r>
    </w:p>
    <w:p w14:paraId="446D2EB3"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Lazzeri, L. </w:t>
      </w:r>
      <w:r w:rsidRPr="008F4396">
        <w:rPr>
          <w:rFonts w:ascii="Arial" w:hAnsi="Arial" w:cs="Arial"/>
          <w:i/>
          <w:iCs/>
          <w:noProof/>
          <w:sz w:val="24"/>
          <w:szCs w:val="24"/>
        </w:rPr>
        <w:t>et al.</w:t>
      </w:r>
      <w:r w:rsidRPr="008F4396">
        <w:rPr>
          <w:rFonts w:ascii="Arial" w:hAnsi="Arial" w:cs="Arial"/>
          <w:noProof/>
          <w:sz w:val="24"/>
          <w:szCs w:val="24"/>
        </w:rPr>
        <w:t xml:space="preserve"> (2004) ‘Plants, techniques and products for optimising biofumigation in the full field.’, </w:t>
      </w:r>
      <w:r w:rsidRPr="008F4396">
        <w:rPr>
          <w:rFonts w:ascii="Arial" w:hAnsi="Arial" w:cs="Arial"/>
          <w:i/>
          <w:iCs/>
          <w:noProof/>
          <w:sz w:val="24"/>
          <w:szCs w:val="24"/>
        </w:rPr>
        <w:t>Agroindustria</w:t>
      </w:r>
      <w:r w:rsidRPr="008F4396">
        <w:rPr>
          <w:rFonts w:ascii="Arial" w:hAnsi="Arial" w:cs="Arial"/>
          <w:noProof/>
          <w:sz w:val="24"/>
          <w:szCs w:val="24"/>
        </w:rPr>
        <w:t>, 3(December 2020), pp. 281–287.</w:t>
      </w:r>
    </w:p>
    <w:p w14:paraId="2BA57347"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Lazzeri, L., Tacconi, R. and Palmieri, S. (1993) ‘In Vitro Activity of Some Glucosinolates and Their Reaction Products toward a Population of the Nematode Heterodera schachtii’, </w:t>
      </w:r>
      <w:r w:rsidRPr="008F4396">
        <w:rPr>
          <w:rFonts w:ascii="Arial" w:hAnsi="Arial" w:cs="Arial"/>
          <w:i/>
          <w:iCs/>
          <w:noProof/>
          <w:sz w:val="24"/>
          <w:szCs w:val="24"/>
        </w:rPr>
        <w:t>Journal of Agricultural and Food Chemistry</w:t>
      </w:r>
      <w:r w:rsidRPr="008F4396">
        <w:rPr>
          <w:rFonts w:ascii="Arial" w:hAnsi="Arial" w:cs="Arial"/>
          <w:noProof/>
          <w:sz w:val="24"/>
          <w:szCs w:val="24"/>
        </w:rPr>
        <w:t>, 41(5), pp. 825–829. doi: 10.1021/jf00029a028.</w:t>
      </w:r>
    </w:p>
    <w:p w14:paraId="05443400"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Lewis, J. A. and Papavizas, G. C. (1971) ‘Effect of Sulfur-Containing Volatile Compounds </w:t>
      </w:r>
      <w:r w:rsidRPr="008F4396">
        <w:rPr>
          <w:rFonts w:ascii="Arial" w:hAnsi="Arial" w:cs="Arial"/>
          <w:noProof/>
          <w:sz w:val="24"/>
          <w:szCs w:val="24"/>
        </w:rPr>
        <w:lastRenderedPageBreak/>
        <w:t xml:space="preserve">and Vapors from Cabbage Decomposition on Aphanomyces euteiches’, </w:t>
      </w:r>
      <w:r w:rsidRPr="008F4396">
        <w:rPr>
          <w:rFonts w:ascii="Arial" w:hAnsi="Arial" w:cs="Arial"/>
          <w:i/>
          <w:iCs/>
          <w:noProof/>
          <w:sz w:val="24"/>
          <w:szCs w:val="24"/>
        </w:rPr>
        <w:t>Phytopathology</w:t>
      </w:r>
      <w:r w:rsidRPr="008F4396">
        <w:rPr>
          <w:rFonts w:ascii="Arial" w:hAnsi="Arial" w:cs="Arial"/>
          <w:noProof/>
          <w:sz w:val="24"/>
          <w:szCs w:val="24"/>
        </w:rPr>
        <w:t>, p. 208. doi: 10.1094/phyto-61-208.</w:t>
      </w:r>
    </w:p>
    <w:p w14:paraId="248BA93C"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Linford, M. (1937) ‘Stimulated activity of natural enemies of nematodes’, </w:t>
      </w:r>
      <w:r w:rsidRPr="008F4396">
        <w:rPr>
          <w:rFonts w:ascii="Arial" w:hAnsi="Arial" w:cs="Arial"/>
          <w:i/>
          <w:iCs/>
          <w:noProof/>
          <w:sz w:val="24"/>
          <w:szCs w:val="24"/>
        </w:rPr>
        <w:t>science.org</w:t>
      </w:r>
      <w:r w:rsidRPr="008F4396">
        <w:rPr>
          <w:rFonts w:ascii="Arial" w:hAnsi="Arial" w:cs="Arial"/>
          <w:noProof/>
          <w:sz w:val="24"/>
          <w:szCs w:val="24"/>
        </w:rPr>
        <w:t>, 85(2196), pp. 123–124. doi: 10.1126/science.85.2196.123.</w:t>
      </w:r>
    </w:p>
    <w:p w14:paraId="1CE83658"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Loof, P. A. A. (1973) ‘Taxonomy of the Trichodorus aequalis complex (Diphtherophorina)’, </w:t>
      </w:r>
      <w:r w:rsidRPr="008F4396">
        <w:rPr>
          <w:rFonts w:ascii="Arial" w:hAnsi="Arial" w:cs="Arial"/>
          <w:i/>
          <w:iCs/>
          <w:noProof/>
          <w:sz w:val="24"/>
          <w:szCs w:val="24"/>
        </w:rPr>
        <w:t>Nematologica</w:t>
      </w:r>
      <w:r w:rsidRPr="008F4396">
        <w:rPr>
          <w:rFonts w:ascii="Arial" w:hAnsi="Arial" w:cs="Arial"/>
          <w:noProof/>
          <w:sz w:val="24"/>
          <w:szCs w:val="24"/>
        </w:rPr>
        <w:t>, 19, pp. 49–61.</w:t>
      </w:r>
    </w:p>
    <w:p w14:paraId="137995C1"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Lord, J. S. </w:t>
      </w:r>
      <w:r w:rsidRPr="008F4396">
        <w:rPr>
          <w:rFonts w:ascii="Arial" w:hAnsi="Arial" w:cs="Arial"/>
          <w:i/>
          <w:iCs/>
          <w:noProof/>
          <w:sz w:val="24"/>
          <w:szCs w:val="24"/>
        </w:rPr>
        <w:t>et al.</w:t>
      </w:r>
      <w:r w:rsidRPr="008F4396">
        <w:rPr>
          <w:rFonts w:ascii="Arial" w:hAnsi="Arial" w:cs="Arial"/>
          <w:noProof/>
          <w:sz w:val="24"/>
          <w:szCs w:val="24"/>
        </w:rPr>
        <w:t xml:space="preserve"> (2011) ‘Biofumigation for control of pale potato cyst nematodes: Activity of brassica leaf extracts and green manures on globodera pallida in vitro and in soil’, </w:t>
      </w:r>
      <w:r w:rsidRPr="008F4396">
        <w:rPr>
          <w:rFonts w:ascii="Arial" w:hAnsi="Arial" w:cs="Arial"/>
          <w:i/>
          <w:iCs/>
          <w:noProof/>
          <w:sz w:val="24"/>
          <w:szCs w:val="24"/>
        </w:rPr>
        <w:t>Journal of Agricultural and Food Chemistry</w:t>
      </w:r>
      <w:r w:rsidRPr="008F4396">
        <w:rPr>
          <w:rFonts w:ascii="Arial" w:hAnsi="Arial" w:cs="Arial"/>
          <w:noProof/>
          <w:sz w:val="24"/>
          <w:szCs w:val="24"/>
        </w:rPr>
        <w:t>, 59(14), pp. 7882–7890. doi: 10.1021/jf200925k.</w:t>
      </w:r>
    </w:p>
    <w:p w14:paraId="3A72C10A"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Maistrello, L., Vaccari, G. and Sasanelli, N. (2010) ‘Effect of chestnut tannins on the root-knot nematode Meloidogyne javanica’, </w:t>
      </w:r>
      <w:r w:rsidRPr="008F4396">
        <w:rPr>
          <w:rFonts w:ascii="Arial" w:hAnsi="Arial" w:cs="Arial"/>
          <w:i/>
          <w:iCs/>
          <w:noProof/>
          <w:sz w:val="24"/>
          <w:szCs w:val="24"/>
        </w:rPr>
        <w:t>Helminthologia</w:t>
      </w:r>
      <w:r w:rsidRPr="008F4396">
        <w:rPr>
          <w:rFonts w:ascii="Arial" w:hAnsi="Arial" w:cs="Arial"/>
          <w:noProof/>
          <w:sz w:val="24"/>
          <w:szCs w:val="24"/>
        </w:rPr>
        <w:t>, 47(1), pp. 48–57. doi: 10.2478/s11687-010-0008-9.</w:t>
      </w:r>
    </w:p>
    <w:p w14:paraId="5F6471C0"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Martín, R. S. and Magunacelaya, J. C. (2005) ‘Control of plant-parasitic nematodes with extracts of Quillaja saponaria’, </w:t>
      </w:r>
      <w:r w:rsidRPr="008F4396">
        <w:rPr>
          <w:rFonts w:ascii="Arial" w:hAnsi="Arial" w:cs="Arial"/>
          <w:i/>
          <w:iCs/>
          <w:noProof/>
          <w:sz w:val="24"/>
          <w:szCs w:val="24"/>
        </w:rPr>
        <w:t>Nematology</w:t>
      </w:r>
      <w:r w:rsidRPr="008F4396">
        <w:rPr>
          <w:rFonts w:ascii="Arial" w:hAnsi="Arial" w:cs="Arial"/>
          <w:noProof/>
          <w:sz w:val="24"/>
          <w:szCs w:val="24"/>
        </w:rPr>
        <w:t>, 7(4), pp. 577–585. doi: 10.1163/156854105774384732.</w:t>
      </w:r>
    </w:p>
    <w:p w14:paraId="2B6CB9C7"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Matthiessen, J. and Kirkegaard, J. (2006) ‘Biofumigation and enhanced biodegradation: Opportunity and challenge in soilborne pest and disease management’, </w:t>
      </w:r>
      <w:r w:rsidRPr="008F4396">
        <w:rPr>
          <w:rFonts w:ascii="Arial" w:hAnsi="Arial" w:cs="Arial"/>
          <w:i/>
          <w:iCs/>
          <w:noProof/>
          <w:sz w:val="24"/>
          <w:szCs w:val="24"/>
        </w:rPr>
        <w:t>Critical Reviews in Plant Sciences</w:t>
      </w:r>
      <w:r w:rsidRPr="008F4396">
        <w:rPr>
          <w:rFonts w:ascii="Arial" w:hAnsi="Arial" w:cs="Arial"/>
          <w:noProof/>
          <w:sz w:val="24"/>
          <w:szCs w:val="24"/>
        </w:rPr>
        <w:t>, pp. 235–265. doi: 10.1080/07352680600611543.</w:t>
      </w:r>
    </w:p>
    <w:p w14:paraId="051FD7C5"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Matthiessen, J. N., Warton, B. and Shackleton, M. A. (2004) ‘The importance of plant maceration and water addition in achieving high Brassica-derived isothiocyanate levels in soil’, </w:t>
      </w:r>
      <w:r w:rsidRPr="008F4396">
        <w:rPr>
          <w:rFonts w:ascii="Arial" w:hAnsi="Arial" w:cs="Arial"/>
          <w:i/>
          <w:iCs/>
          <w:noProof/>
          <w:sz w:val="24"/>
          <w:szCs w:val="24"/>
        </w:rPr>
        <w:t>Agroindustria</w:t>
      </w:r>
      <w:r w:rsidRPr="008F4396">
        <w:rPr>
          <w:rFonts w:ascii="Arial" w:hAnsi="Arial" w:cs="Arial"/>
          <w:noProof/>
          <w:sz w:val="24"/>
          <w:szCs w:val="24"/>
        </w:rPr>
        <w:t>, 3(3), pp. 277–280.</w:t>
      </w:r>
    </w:p>
    <w:p w14:paraId="31A55731"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Mattner, S. W. </w:t>
      </w:r>
      <w:r w:rsidRPr="008F4396">
        <w:rPr>
          <w:rFonts w:ascii="Arial" w:hAnsi="Arial" w:cs="Arial"/>
          <w:i/>
          <w:iCs/>
          <w:noProof/>
          <w:sz w:val="24"/>
          <w:szCs w:val="24"/>
        </w:rPr>
        <w:t>et al.</w:t>
      </w:r>
      <w:r w:rsidRPr="008F4396">
        <w:rPr>
          <w:rFonts w:ascii="Arial" w:hAnsi="Arial" w:cs="Arial"/>
          <w:noProof/>
          <w:sz w:val="24"/>
          <w:szCs w:val="24"/>
        </w:rPr>
        <w:t xml:space="preserve"> (2008) ‘Factors that impact on the ability of biofumigants to suppress fungal pathogens and weeds of strawberry’, </w:t>
      </w:r>
      <w:r w:rsidRPr="008F4396">
        <w:rPr>
          <w:rFonts w:ascii="Arial" w:hAnsi="Arial" w:cs="Arial"/>
          <w:i/>
          <w:iCs/>
          <w:noProof/>
          <w:sz w:val="24"/>
          <w:szCs w:val="24"/>
        </w:rPr>
        <w:t>Crop Protection</w:t>
      </w:r>
      <w:r w:rsidRPr="008F4396">
        <w:rPr>
          <w:rFonts w:ascii="Arial" w:hAnsi="Arial" w:cs="Arial"/>
          <w:noProof/>
          <w:sz w:val="24"/>
          <w:szCs w:val="24"/>
        </w:rPr>
        <w:t>, 27(8), pp. 1165–1173.</w:t>
      </w:r>
    </w:p>
    <w:p w14:paraId="2F0EB63D"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Maughan, G. L., Cooke, D. A. and Gnanasakthy, A. (1984) ‘The effects of soil-applied granular pesticides on the establishment and yield of sugar beet in commercial fields’, </w:t>
      </w:r>
      <w:r w:rsidRPr="008F4396">
        <w:rPr>
          <w:rFonts w:ascii="Arial" w:hAnsi="Arial" w:cs="Arial"/>
          <w:i/>
          <w:iCs/>
          <w:noProof/>
          <w:sz w:val="24"/>
          <w:szCs w:val="24"/>
        </w:rPr>
        <w:t>Crop Protection</w:t>
      </w:r>
      <w:r w:rsidRPr="008F4396">
        <w:rPr>
          <w:rFonts w:ascii="Arial" w:hAnsi="Arial" w:cs="Arial"/>
          <w:noProof/>
          <w:sz w:val="24"/>
          <w:szCs w:val="24"/>
        </w:rPr>
        <w:t>, 3(4), pp. 439–450. doi: 10.1016/0261-2194(84)90026-7.</w:t>
      </w:r>
    </w:p>
    <w:p w14:paraId="627207EB"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McLeod, R. and Steel, C. (1999) ‘Effects of brassica-leaf green manures and crops on activity and reproduction of Meloidogyne javanica’, </w:t>
      </w:r>
      <w:r w:rsidRPr="008F4396">
        <w:rPr>
          <w:rFonts w:ascii="Arial" w:hAnsi="Arial" w:cs="Arial"/>
          <w:i/>
          <w:iCs/>
          <w:noProof/>
          <w:sz w:val="24"/>
          <w:szCs w:val="24"/>
        </w:rPr>
        <w:t>Nematology</w:t>
      </w:r>
      <w:r w:rsidRPr="008F4396">
        <w:rPr>
          <w:rFonts w:ascii="Arial" w:hAnsi="Arial" w:cs="Arial"/>
          <w:noProof/>
          <w:sz w:val="24"/>
          <w:szCs w:val="24"/>
        </w:rPr>
        <w:t>, 1(6), pp. 613–624. doi: 10.1163/156854199508568.</w:t>
      </w:r>
    </w:p>
    <w:p w14:paraId="4BA6A055"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lastRenderedPageBreak/>
        <w:t xml:space="preserve">Miller, P. M., Turner, N. C. and Tomlinson, H. (1973) ‘Toxicity of Leaf and Stem Extracts to Tylenchorhynchus dubius’, </w:t>
      </w:r>
      <w:r w:rsidRPr="008F4396">
        <w:rPr>
          <w:rFonts w:ascii="Arial" w:hAnsi="Arial" w:cs="Arial"/>
          <w:i/>
          <w:iCs/>
          <w:noProof/>
          <w:sz w:val="24"/>
          <w:szCs w:val="24"/>
        </w:rPr>
        <w:t>J. Nematol.</w:t>
      </w:r>
      <w:r w:rsidRPr="008F4396">
        <w:rPr>
          <w:rFonts w:ascii="Arial" w:hAnsi="Arial" w:cs="Arial"/>
          <w:noProof/>
          <w:sz w:val="24"/>
          <w:szCs w:val="24"/>
        </w:rPr>
        <w:t>, 5(3), pp. 174–177.</w:t>
      </w:r>
    </w:p>
    <w:p w14:paraId="5261AE2D"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Mojtahedi, H., Santo, G. S. and Ingham, R. E. (1993) ‘Suppression of Meloidogyne chitwoodi with Sudangrass Cultivars as Green Manure 1’, </w:t>
      </w:r>
      <w:r w:rsidRPr="008F4396">
        <w:rPr>
          <w:rFonts w:ascii="Arial" w:hAnsi="Arial" w:cs="Arial"/>
          <w:i/>
          <w:iCs/>
          <w:noProof/>
          <w:sz w:val="24"/>
          <w:szCs w:val="24"/>
        </w:rPr>
        <w:t>Journal of Nematology</w:t>
      </w:r>
      <w:r w:rsidRPr="008F4396">
        <w:rPr>
          <w:rFonts w:ascii="Arial" w:hAnsi="Arial" w:cs="Arial"/>
          <w:noProof/>
          <w:sz w:val="24"/>
          <w:szCs w:val="24"/>
        </w:rPr>
        <w:t>, 25(2), pp. 303–311.</w:t>
      </w:r>
    </w:p>
    <w:p w14:paraId="0863D143"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Ngala, B. M. </w:t>
      </w:r>
      <w:r w:rsidRPr="008F4396">
        <w:rPr>
          <w:rFonts w:ascii="Arial" w:hAnsi="Arial" w:cs="Arial"/>
          <w:i/>
          <w:iCs/>
          <w:noProof/>
          <w:sz w:val="24"/>
          <w:szCs w:val="24"/>
        </w:rPr>
        <w:t>et al.</w:t>
      </w:r>
      <w:r w:rsidRPr="008F4396">
        <w:rPr>
          <w:rFonts w:ascii="Arial" w:hAnsi="Arial" w:cs="Arial"/>
          <w:noProof/>
          <w:sz w:val="24"/>
          <w:szCs w:val="24"/>
        </w:rPr>
        <w:t xml:space="preserve"> (2014) ‘Biofumigation with Brassica juncea , Raphanus sativus and Eruca sativa for the management of field populations of the potato cyst nematode Globodera pallida’, </w:t>
      </w:r>
      <w:r w:rsidRPr="008F4396">
        <w:rPr>
          <w:rFonts w:ascii="Arial" w:hAnsi="Arial" w:cs="Arial"/>
          <w:i/>
          <w:iCs/>
          <w:noProof/>
          <w:sz w:val="24"/>
          <w:szCs w:val="24"/>
        </w:rPr>
        <w:t>Pest Management Science</w:t>
      </w:r>
      <w:r w:rsidRPr="008F4396">
        <w:rPr>
          <w:rFonts w:ascii="Arial" w:hAnsi="Arial" w:cs="Arial"/>
          <w:noProof/>
          <w:sz w:val="24"/>
          <w:szCs w:val="24"/>
        </w:rPr>
        <w:t>, 71(February), pp. 759–769. doi: 10.1002/ps.3849.</w:t>
      </w:r>
    </w:p>
    <w:p w14:paraId="785FB3CE"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Ngala, B. M., Woods, S. R. and Back, M. A. (2015) ‘Sinigrin degradation and G. pallida suppression in soil cultivated with brassicas under controlled environmental conditions’, </w:t>
      </w:r>
      <w:r w:rsidRPr="008F4396">
        <w:rPr>
          <w:rFonts w:ascii="Arial" w:hAnsi="Arial" w:cs="Arial"/>
          <w:i/>
          <w:iCs/>
          <w:noProof/>
          <w:sz w:val="24"/>
          <w:szCs w:val="24"/>
        </w:rPr>
        <w:t>Applied Soil Ecology</w:t>
      </w:r>
      <w:r w:rsidRPr="008F4396">
        <w:rPr>
          <w:rFonts w:ascii="Arial" w:hAnsi="Arial" w:cs="Arial"/>
          <w:noProof/>
          <w:sz w:val="24"/>
          <w:szCs w:val="24"/>
        </w:rPr>
        <w:t>, 95, pp. 9–14. doi: 10.1016/j.apsoil.2015.05.009.</w:t>
      </w:r>
    </w:p>
    <w:p w14:paraId="0A81D615"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Ntalli, N. and Caboni, P. (2017) ‘A review of isothiocyanates biofumigation activity on plant parasitic nematodes’, </w:t>
      </w:r>
      <w:r w:rsidRPr="008F4396">
        <w:rPr>
          <w:rFonts w:ascii="Arial" w:hAnsi="Arial" w:cs="Arial"/>
          <w:i/>
          <w:iCs/>
          <w:noProof/>
          <w:sz w:val="24"/>
          <w:szCs w:val="24"/>
        </w:rPr>
        <w:t>Phytochemistry Reviews</w:t>
      </w:r>
      <w:r w:rsidRPr="008F4396">
        <w:rPr>
          <w:rFonts w:ascii="Arial" w:hAnsi="Arial" w:cs="Arial"/>
          <w:noProof/>
          <w:sz w:val="24"/>
          <w:szCs w:val="24"/>
        </w:rPr>
        <w:t>, 16(5), pp. 827–834. doi: 10.1007/s11101-017-9491-7.</w:t>
      </w:r>
    </w:p>
    <w:p w14:paraId="31FE9B01"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Nyczepir, A. P. and Rodriguez-Kabana, R. (2007) ‘Preplant Biofumigation with Sorghum or Methyl Bromide Compared for Managing Criconemoides xenoplax in a Young Peach Orchard’, </w:t>
      </w:r>
      <w:r w:rsidRPr="008F4396">
        <w:rPr>
          <w:rFonts w:ascii="Arial" w:hAnsi="Arial" w:cs="Arial"/>
          <w:i/>
          <w:iCs/>
          <w:noProof/>
          <w:sz w:val="24"/>
          <w:szCs w:val="24"/>
        </w:rPr>
        <w:t>Plant Disease</w:t>
      </w:r>
      <w:r w:rsidRPr="008F4396">
        <w:rPr>
          <w:rFonts w:ascii="Arial" w:hAnsi="Arial" w:cs="Arial"/>
          <w:noProof/>
          <w:sz w:val="24"/>
          <w:szCs w:val="24"/>
        </w:rPr>
        <w:t>, 91(12), pp. 1607–1611. doi: 10.1094/PDIS-91-12-1607.</w:t>
      </w:r>
    </w:p>
    <w:p w14:paraId="0F8D31C2"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Paul Schreiner, R. and Koide, R. T. (1993) ‘Mustards, mustard oils and mycorrhizas’, </w:t>
      </w:r>
      <w:r w:rsidRPr="008F4396">
        <w:rPr>
          <w:rFonts w:ascii="Arial" w:hAnsi="Arial" w:cs="Arial"/>
          <w:i/>
          <w:iCs/>
          <w:noProof/>
          <w:sz w:val="24"/>
          <w:szCs w:val="24"/>
        </w:rPr>
        <w:t>New Phytologist</w:t>
      </w:r>
      <w:r w:rsidRPr="008F4396">
        <w:rPr>
          <w:rFonts w:ascii="Arial" w:hAnsi="Arial" w:cs="Arial"/>
          <w:noProof/>
          <w:sz w:val="24"/>
          <w:szCs w:val="24"/>
        </w:rPr>
        <w:t>, 123(1), pp. 107–113. doi: 10.1111/j.1469-8137.1993.tb04536.x.</w:t>
      </w:r>
    </w:p>
    <w:p w14:paraId="36BAA263"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Pelsmaeker, M. de and Coomans, A. (1987) ‘Nematodes in potato fields and the relation to some biotic and abiotic factors’, </w:t>
      </w:r>
      <w:r w:rsidRPr="008F4396">
        <w:rPr>
          <w:rFonts w:ascii="Arial" w:hAnsi="Arial" w:cs="Arial"/>
          <w:i/>
          <w:iCs/>
          <w:noProof/>
          <w:sz w:val="24"/>
          <w:szCs w:val="24"/>
        </w:rPr>
        <w:t>Mededelingen van de Faculteit Landbouwwetenschappen, Rijksuniversiteit Gent</w:t>
      </w:r>
      <w:r w:rsidRPr="008F4396">
        <w:rPr>
          <w:rFonts w:ascii="Arial" w:hAnsi="Arial" w:cs="Arial"/>
          <w:noProof/>
          <w:sz w:val="24"/>
          <w:szCs w:val="24"/>
        </w:rPr>
        <w:t>, 52, pp. 561–569.</w:t>
      </w:r>
    </w:p>
    <w:p w14:paraId="30F491AC"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Persmark, L. and Janson, H.-B. (1997) ‘Nematophagous fungi in the rhizosphere of agricultural crops’, </w:t>
      </w:r>
      <w:r w:rsidRPr="008F4396">
        <w:rPr>
          <w:rFonts w:ascii="Arial" w:hAnsi="Arial" w:cs="Arial"/>
          <w:i/>
          <w:iCs/>
          <w:noProof/>
          <w:sz w:val="24"/>
          <w:szCs w:val="24"/>
        </w:rPr>
        <w:t>FEMS Microbiology Ecology</w:t>
      </w:r>
      <w:r w:rsidRPr="008F4396">
        <w:rPr>
          <w:rFonts w:ascii="Arial" w:hAnsi="Arial" w:cs="Arial"/>
          <w:noProof/>
          <w:sz w:val="24"/>
          <w:szCs w:val="24"/>
        </w:rPr>
        <w:t>, 22, pp. 303–312. doi: 10.1111/j.1574-6941.1997.tb00382.x.</w:t>
      </w:r>
    </w:p>
    <w:p w14:paraId="318547EE"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Pinto, S., Rosa, E. and Santos, S. (1998) ‘Effect of 2-propenyl glucosinolate and derived isothiocyanate on the activity of the nematodes Globodera rostochiensis (Woll.)’, in </w:t>
      </w:r>
      <w:r w:rsidRPr="008F4396">
        <w:rPr>
          <w:rFonts w:ascii="Arial" w:hAnsi="Arial" w:cs="Arial"/>
          <w:i/>
          <w:iCs/>
          <w:noProof/>
          <w:sz w:val="24"/>
          <w:szCs w:val="24"/>
        </w:rPr>
        <w:t>International Symposium Brassica 97, Xth Crucifer Genetics Workshop 459</w:t>
      </w:r>
      <w:r w:rsidRPr="008F4396">
        <w:rPr>
          <w:rFonts w:ascii="Arial" w:hAnsi="Arial" w:cs="Arial"/>
          <w:noProof/>
          <w:sz w:val="24"/>
          <w:szCs w:val="24"/>
        </w:rPr>
        <w:t>, pp. 323–328.</w:t>
      </w:r>
    </w:p>
    <w:p w14:paraId="61254422" w14:textId="5284B8EB"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lastRenderedPageBreak/>
        <w:t>Pitcher, R. S. and Mcnamara, D. G. (1970) ‘</w:t>
      </w:r>
      <w:r w:rsidR="00000CD2">
        <w:rPr>
          <w:rFonts w:ascii="Arial" w:hAnsi="Arial" w:cs="Arial"/>
          <w:noProof/>
          <w:sz w:val="24"/>
          <w:szCs w:val="24"/>
        </w:rPr>
        <w:t>T</w:t>
      </w:r>
      <w:r w:rsidR="00000CD2" w:rsidRPr="008F4396">
        <w:rPr>
          <w:rFonts w:ascii="Arial" w:hAnsi="Arial" w:cs="Arial"/>
          <w:noProof/>
          <w:sz w:val="24"/>
          <w:szCs w:val="24"/>
        </w:rPr>
        <w:t>he effect of nutrition and season of year on the reproduction of trichodorus viruliferus’</w:t>
      </w:r>
      <w:r w:rsidRPr="008F4396">
        <w:rPr>
          <w:rFonts w:ascii="Arial" w:hAnsi="Arial" w:cs="Arial"/>
          <w:noProof/>
          <w:sz w:val="24"/>
          <w:szCs w:val="24"/>
        </w:rPr>
        <w:t xml:space="preserve">, </w:t>
      </w:r>
      <w:r w:rsidRPr="008F4396">
        <w:rPr>
          <w:rFonts w:ascii="Arial" w:hAnsi="Arial" w:cs="Arial"/>
          <w:i/>
          <w:iCs/>
          <w:noProof/>
          <w:sz w:val="24"/>
          <w:szCs w:val="24"/>
        </w:rPr>
        <w:t>Nematologica</w:t>
      </w:r>
      <w:r w:rsidRPr="008F4396">
        <w:rPr>
          <w:rFonts w:ascii="Arial" w:hAnsi="Arial" w:cs="Arial"/>
          <w:noProof/>
          <w:sz w:val="24"/>
          <w:szCs w:val="24"/>
        </w:rPr>
        <w:t>, 16, pp. 99–106. Available at: http://www.elsevier.com/locate/scp.</w:t>
      </w:r>
    </w:p>
    <w:p w14:paraId="6DB3C1E9"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Ploeg, A. T. and Maris, P. C. (1999) ‘Effect of Temperature on Suppression of Meloidogyne incognita by Tagetes Cultivars 1’, </w:t>
      </w:r>
      <w:r w:rsidRPr="008F4396">
        <w:rPr>
          <w:rFonts w:ascii="Arial" w:hAnsi="Arial" w:cs="Arial"/>
          <w:i/>
          <w:iCs/>
          <w:noProof/>
          <w:sz w:val="24"/>
          <w:szCs w:val="24"/>
        </w:rPr>
        <w:t>Journal of Nematology</w:t>
      </w:r>
      <w:r w:rsidRPr="008F4396">
        <w:rPr>
          <w:rFonts w:ascii="Arial" w:hAnsi="Arial" w:cs="Arial"/>
          <w:noProof/>
          <w:sz w:val="24"/>
          <w:szCs w:val="24"/>
        </w:rPr>
        <w:t>, 31(4S), pp. 709–714.</w:t>
      </w:r>
    </w:p>
    <w:p w14:paraId="242307A0"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Popay, A. J. and Thom, E. R. (2009) ‘Endophyte effects on major insect pests in Waikato dairy pasture’, </w:t>
      </w:r>
      <w:r w:rsidRPr="008F4396">
        <w:rPr>
          <w:rFonts w:ascii="Arial" w:hAnsi="Arial" w:cs="Arial"/>
          <w:i/>
          <w:iCs/>
          <w:noProof/>
          <w:sz w:val="24"/>
          <w:szCs w:val="24"/>
        </w:rPr>
        <w:t>Proceedings of the New Zealand Grassland Association</w:t>
      </w:r>
      <w:r w:rsidRPr="008F4396">
        <w:rPr>
          <w:rFonts w:ascii="Arial" w:hAnsi="Arial" w:cs="Arial"/>
          <w:noProof/>
          <w:sz w:val="24"/>
          <w:szCs w:val="24"/>
        </w:rPr>
        <w:t>, pp. 121–126. doi: 10.33584/jnzg.2009.71.2758.</w:t>
      </w:r>
    </w:p>
    <w:p w14:paraId="6EE841E4"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Potter, M. J., Davies, K. and Rathjen, A. J. (1998) ‘Suppressive Impact of Glucosinolates in Brassica Vegetative Tissues on Root Lesion Nematode Pratylenchus neglectus’, </w:t>
      </w:r>
      <w:r w:rsidRPr="008F4396">
        <w:rPr>
          <w:rFonts w:ascii="Arial" w:hAnsi="Arial" w:cs="Arial"/>
          <w:i/>
          <w:iCs/>
          <w:noProof/>
          <w:sz w:val="24"/>
          <w:szCs w:val="24"/>
        </w:rPr>
        <w:t>Journal of Chemical Ecology 1998 24:1</w:t>
      </w:r>
      <w:r w:rsidRPr="008F4396">
        <w:rPr>
          <w:rFonts w:ascii="Arial" w:hAnsi="Arial" w:cs="Arial"/>
          <w:noProof/>
          <w:sz w:val="24"/>
          <w:szCs w:val="24"/>
        </w:rPr>
        <w:t>, 24(1), pp. 67–80. doi: 10.1023/A:1022336812240.</w:t>
      </w:r>
    </w:p>
    <w:p w14:paraId="5F34AD94"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Price, A. J. </w:t>
      </w:r>
      <w:r w:rsidRPr="008F4396">
        <w:rPr>
          <w:rFonts w:ascii="Arial" w:hAnsi="Arial" w:cs="Arial"/>
          <w:i/>
          <w:iCs/>
          <w:noProof/>
          <w:sz w:val="24"/>
          <w:szCs w:val="24"/>
        </w:rPr>
        <w:t>et al.</w:t>
      </w:r>
      <w:r w:rsidRPr="008F4396">
        <w:rPr>
          <w:rFonts w:ascii="Arial" w:hAnsi="Arial" w:cs="Arial"/>
          <w:noProof/>
          <w:sz w:val="24"/>
          <w:szCs w:val="24"/>
        </w:rPr>
        <w:t xml:space="preserve"> (2005) ‘Allyl isothiocyanate and carbon dioxide produced during degradation of Brassica juncea tissue in different soil conditions’, </w:t>
      </w:r>
      <w:r w:rsidRPr="008F4396">
        <w:rPr>
          <w:rFonts w:ascii="Arial" w:hAnsi="Arial" w:cs="Arial"/>
          <w:i/>
          <w:iCs/>
          <w:noProof/>
          <w:sz w:val="24"/>
          <w:szCs w:val="24"/>
        </w:rPr>
        <w:t>HortScience</w:t>
      </w:r>
      <w:r w:rsidRPr="008F4396">
        <w:rPr>
          <w:rFonts w:ascii="Arial" w:hAnsi="Arial" w:cs="Arial"/>
          <w:noProof/>
          <w:sz w:val="24"/>
          <w:szCs w:val="24"/>
        </w:rPr>
        <w:t>, 40(6), pp. 1734–1739.</w:t>
      </w:r>
    </w:p>
    <w:p w14:paraId="02F3FA62"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Randhawa, N. and Sharma, S. K. (2008) ‘Control of root-knot nematode (Meloidogyne incognita) in nursery beds of tomato by soil amendment with Brassica rapa, Brassica juncea, Brassica napus and Eruca sativa plants.’, </w:t>
      </w:r>
      <w:r w:rsidRPr="008F4396">
        <w:rPr>
          <w:rFonts w:ascii="Arial" w:hAnsi="Arial" w:cs="Arial"/>
          <w:i/>
          <w:iCs/>
          <w:noProof/>
          <w:sz w:val="24"/>
          <w:szCs w:val="24"/>
        </w:rPr>
        <w:t>Pakistan Journal of Nematology</w:t>
      </w:r>
      <w:r w:rsidRPr="008F4396">
        <w:rPr>
          <w:rFonts w:ascii="Arial" w:hAnsi="Arial" w:cs="Arial"/>
          <w:noProof/>
          <w:sz w:val="24"/>
          <w:szCs w:val="24"/>
        </w:rPr>
        <w:t>, 26(1), pp. 91–96.</w:t>
      </w:r>
    </w:p>
    <w:p w14:paraId="64D93F7E"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Renco, M., Sasanelli, N. and Maistrello, L. (2014) ‘Plants as natural sources of nematicides’, in Lee M. Davis (ed.) </w:t>
      </w:r>
      <w:r w:rsidRPr="008F4396">
        <w:rPr>
          <w:rFonts w:ascii="Arial" w:hAnsi="Arial" w:cs="Arial"/>
          <w:i/>
          <w:iCs/>
          <w:noProof/>
          <w:sz w:val="24"/>
          <w:szCs w:val="24"/>
        </w:rPr>
        <w:t>Nematodes: Comparative Genomics, Disease Management and Ecological Importance</w:t>
      </w:r>
      <w:r w:rsidRPr="008F4396">
        <w:rPr>
          <w:rFonts w:ascii="Arial" w:hAnsi="Arial" w:cs="Arial"/>
          <w:noProof/>
          <w:sz w:val="24"/>
          <w:szCs w:val="24"/>
        </w:rPr>
        <w:t>. ISBN: 978-. Nova Science Publishers, Inc., pp. 115–142.</w:t>
      </w:r>
    </w:p>
    <w:p w14:paraId="7D659FF6"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Rhoades (1969) ‘Nématicide efficacy in controlling sting and stubbyroot nematodes attacking onions in Central Florida.’, </w:t>
      </w:r>
      <w:r w:rsidRPr="008F4396">
        <w:rPr>
          <w:rFonts w:ascii="Arial" w:hAnsi="Arial" w:cs="Arial"/>
          <w:i/>
          <w:iCs/>
          <w:noProof/>
          <w:sz w:val="24"/>
          <w:szCs w:val="24"/>
        </w:rPr>
        <w:t>Plant Disease Reporter</w:t>
      </w:r>
      <w:r w:rsidRPr="008F4396">
        <w:rPr>
          <w:rFonts w:ascii="Arial" w:hAnsi="Arial" w:cs="Arial"/>
          <w:noProof/>
          <w:sz w:val="24"/>
          <w:szCs w:val="24"/>
        </w:rPr>
        <w:t>, 53(9), pp. 728–730.</w:t>
      </w:r>
    </w:p>
    <w:p w14:paraId="3EB69362"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Rhoades, H. (1965) ‘Parasitism and pathogenicity of Trichodorus proximus to St. Augustine grass.’, </w:t>
      </w:r>
      <w:r w:rsidRPr="008F4396">
        <w:rPr>
          <w:rFonts w:ascii="Arial" w:hAnsi="Arial" w:cs="Arial"/>
          <w:i/>
          <w:iCs/>
          <w:noProof/>
          <w:sz w:val="24"/>
          <w:szCs w:val="24"/>
        </w:rPr>
        <w:t>Plant Disease Reporter</w:t>
      </w:r>
      <w:r w:rsidRPr="008F4396">
        <w:rPr>
          <w:rFonts w:ascii="Arial" w:hAnsi="Arial" w:cs="Arial"/>
          <w:noProof/>
          <w:sz w:val="24"/>
          <w:szCs w:val="24"/>
        </w:rPr>
        <w:t>, 49(3), pp. 259–262.</w:t>
      </w:r>
    </w:p>
    <w:p w14:paraId="7D40E98B"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Richter, E. (1969) ‘Zur vertikalen Verteilung von Nematoden in einem Sandboden’, </w:t>
      </w:r>
      <w:r w:rsidRPr="008F4396">
        <w:rPr>
          <w:rFonts w:ascii="Arial" w:hAnsi="Arial" w:cs="Arial"/>
          <w:i/>
          <w:iCs/>
          <w:noProof/>
          <w:sz w:val="24"/>
          <w:szCs w:val="24"/>
        </w:rPr>
        <w:t>Nematologica</w:t>
      </w:r>
      <w:r w:rsidRPr="008F4396">
        <w:rPr>
          <w:rFonts w:ascii="Arial" w:hAnsi="Arial" w:cs="Arial"/>
          <w:noProof/>
          <w:sz w:val="24"/>
          <w:szCs w:val="24"/>
        </w:rPr>
        <w:t>, 15(1), pp. 44–54.</w:t>
      </w:r>
    </w:p>
    <w:p w14:paraId="3E4C7C9F" w14:textId="207CC1EC"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Riga, E., Wilson, J. and Dossey, Z. (2010) ‘</w:t>
      </w:r>
      <w:r w:rsidR="008F1D03">
        <w:rPr>
          <w:rFonts w:ascii="Arial" w:hAnsi="Arial" w:cs="Arial"/>
          <w:noProof/>
          <w:sz w:val="24"/>
          <w:szCs w:val="24"/>
        </w:rPr>
        <w:t>B</w:t>
      </w:r>
      <w:r w:rsidR="008F1D03" w:rsidRPr="008F4396">
        <w:rPr>
          <w:rFonts w:ascii="Arial" w:hAnsi="Arial" w:cs="Arial"/>
          <w:noProof/>
          <w:sz w:val="24"/>
          <w:szCs w:val="24"/>
        </w:rPr>
        <w:t xml:space="preserve">iofumigation against endogenous and </w:t>
      </w:r>
      <w:r w:rsidR="008F1D03" w:rsidRPr="008F4396">
        <w:rPr>
          <w:rFonts w:ascii="Arial" w:hAnsi="Arial" w:cs="Arial"/>
          <w:noProof/>
          <w:sz w:val="24"/>
          <w:szCs w:val="24"/>
        </w:rPr>
        <w:lastRenderedPageBreak/>
        <w:t xml:space="preserve">quarantine plant parasitic nematodes of vegetable crops in the pacific northwest’, in </w:t>
      </w:r>
      <w:r w:rsidR="008F1D03" w:rsidRPr="008F4396">
        <w:rPr>
          <w:rFonts w:ascii="Arial" w:hAnsi="Arial" w:cs="Arial"/>
          <w:i/>
          <w:iCs/>
          <w:noProof/>
          <w:sz w:val="24"/>
          <w:szCs w:val="24"/>
        </w:rPr>
        <w:t>journal of nematology</w:t>
      </w:r>
      <w:r w:rsidR="008F1D03" w:rsidRPr="008F4396">
        <w:rPr>
          <w:rFonts w:ascii="Arial" w:hAnsi="Arial" w:cs="Arial"/>
          <w:noProof/>
          <w:sz w:val="24"/>
          <w:szCs w:val="24"/>
        </w:rPr>
        <w:t>. soc nematologists po box 311, marceline, mo 64658 usa</w:t>
      </w:r>
      <w:r w:rsidRPr="008F4396">
        <w:rPr>
          <w:rFonts w:ascii="Arial" w:hAnsi="Arial" w:cs="Arial"/>
          <w:noProof/>
          <w:sz w:val="24"/>
          <w:szCs w:val="24"/>
        </w:rPr>
        <w:t>, p. 265.</w:t>
      </w:r>
    </w:p>
    <w:p w14:paraId="1755B4CF" w14:textId="206BCB8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Rohde, R. A. and Jenkins, W. R. (1957) ‘Effect of temperature on the life cycle of stubby-root nematodes’, in </w:t>
      </w:r>
      <w:r w:rsidRPr="008F4396">
        <w:rPr>
          <w:rFonts w:ascii="Arial" w:hAnsi="Arial" w:cs="Arial"/>
          <w:i/>
          <w:iCs/>
          <w:noProof/>
          <w:sz w:val="24"/>
          <w:szCs w:val="24"/>
        </w:rPr>
        <w:t>Phytopathology</w:t>
      </w:r>
      <w:r w:rsidRPr="008F4396">
        <w:rPr>
          <w:rFonts w:ascii="Arial" w:hAnsi="Arial" w:cs="Arial"/>
          <w:noProof/>
          <w:sz w:val="24"/>
          <w:szCs w:val="24"/>
        </w:rPr>
        <w:t xml:space="preserve">. </w:t>
      </w:r>
      <w:r w:rsidR="0071646B">
        <w:rPr>
          <w:rFonts w:ascii="Arial" w:hAnsi="Arial" w:cs="Arial"/>
          <w:noProof/>
          <w:sz w:val="24"/>
          <w:szCs w:val="24"/>
        </w:rPr>
        <w:t>A</w:t>
      </w:r>
      <w:r w:rsidR="0071646B" w:rsidRPr="008F4396">
        <w:rPr>
          <w:rFonts w:ascii="Arial" w:hAnsi="Arial" w:cs="Arial"/>
          <w:noProof/>
          <w:sz w:val="24"/>
          <w:szCs w:val="24"/>
        </w:rPr>
        <w:t>mer</w:t>
      </w:r>
      <w:r w:rsidR="0071646B">
        <w:rPr>
          <w:rFonts w:ascii="Arial" w:hAnsi="Arial" w:cs="Arial"/>
          <w:noProof/>
          <w:sz w:val="24"/>
          <w:szCs w:val="24"/>
        </w:rPr>
        <w:t>ica</w:t>
      </w:r>
      <w:r w:rsidR="0071646B" w:rsidRPr="008F4396">
        <w:rPr>
          <w:rFonts w:ascii="Arial" w:hAnsi="Arial" w:cs="Arial"/>
          <w:noProof/>
          <w:sz w:val="24"/>
          <w:szCs w:val="24"/>
        </w:rPr>
        <w:t xml:space="preserve"> phytopathological soc</w:t>
      </w:r>
      <w:r w:rsidR="0071646B">
        <w:rPr>
          <w:rFonts w:ascii="Arial" w:hAnsi="Arial" w:cs="Arial"/>
          <w:noProof/>
          <w:sz w:val="24"/>
          <w:szCs w:val="24"/>
        </w:rPr>
        <w:t>iety</w:t>
      </w:r>
      <w:r w:rsidR="0071646B" w:rsidRPr="008F4396">
        <w:rPr>
          <w:rFonts w:ascii="Arial" w:hAnsi="Arial" w:cs="Arial"/>
          <w:noProof/>
          <w:sz w:val="24"/>
          <w:szCs w:val="24"/>
        </w:rPr>
        <w:t xml:space="preserve"> 3340 pilot knob road, st paul, </w:t>
      </w:r>
      <w:r w:rsidRPr="008F4396">
        <w:rPr>
          <w:rFonts w:ascii="Arial" w:hAnsi="Arial" w:cs="Arial"/>
          <w:noProof/>
          <w:sz w:val="24"/>
          <w:szCs w:val="24"/>
        </w:rPr>
        <w:t>MN 55121, p. 29.</w:t>
      </w:r>
    </w:p>
    <w:p w14:paraId="4E0622E5"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Rössner, J. (1971) ‘Einfluss der austrocknung des bodens auf wandernde wurzelnematoden’, </w:t>
      </w:r>
      <w:r w:rsidRPr="008F4396">
        <w:rPr>
          <w:rFonts w:ascii="Arial" w:hAnsi="Arial" w:cs="Arial"/>
          <w:i/>
          <w:iCs/>
          <w:noProof/>
          <w:sz w:val="24"/>
          <w:szCs w:val="24"/>
        </w:rPr>
        <w:t>Nematologica</w:t>
      </w:r>
      <w:r w:rsidRPr="008F4396">
        <w:rPr>
          <w:rFonts w:ascii="Arial" w:hAnsi="Arial" w:cs="Arial"/>
          <w:noProof/>
          <w:sz w:val="24"/>
          <w:szCs w:val="24"/>
        </w:rPr>
        <w:t>, 17(1), pp. 127–144. doi: 10.1163/187529271X00486.</w:t>
      </w:r>
    </w:p>
    <w:p w14:paraId="5C757FC9"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Sarwar, M. </w:t>
      </w:r>
      <w:r w:rsidRPr="008F4396">
        <w:rPr>
          <w:rFonts w:ascii="Arial" w:hAnsi="Arial" w:cs="Arial"/>
          <w:i/>
          <w:iCs/>
          <w:noProof/>
          <w:sz w:val="24"/>
          <w:szCs w:val="24"/>
        </w:rPr>
        <w:t>et al.</w:t>
      </w:r>
      <w:r w:rsidRPr="008F4396">
        <w:rPr>
          <w:rFonts w:ascii="Arial" w:hAnsi="Arial" w:cs="Arial"/>
          <w:noProof/>
          <w:sz w:val="24"/>
          <w:szCs w:val="24"/>
        </w:rPr>
        <w:t xml:space="preserve"> (1998) ‘Biofumigation potential of brassicas’, </w:t>
      </w:r>
      <w:r w:rsidRPr="008F4396">
        <w:rPr>
          <w:rFonts w:ascii="Arial" w:hAnsi="Arial" w:cs="Arial"/>
          <w:i/>
          <w:iCs/>
          <w:noProof/>
          <w:sz w:val="24"/>
          <w:szCs w:val="24"/>
        </w:rPr>
        <w:t>Plant and Soil</w:t>
      </w:r>
      <w:r w:rsidRPr="008F4396">
        <w:rPr>
          <w:rFonts w:ascii="Arial" w:hAnsi="Arial" w:cs="Arial"/>
          <w:noProof/>
          <w:sz w:val="24"/>
          <w:szCs w:val="24"/>
        </w:rPr>
        <w:t>, 201(1), pp. 103–112.</w:t>
      </w:r>
    </w:p>
    <w:p w14:paraId="22B41EA2"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Schonhof, I., Krumbein, A. and Brückner, B. (2004) ‘Genotypic effects on glucosinolates and sensory properties of broccoli and cauliflower’, </w:t>
      </w:r>
      <w:r w:rsidRPr="008F4396">
        <w:rPr>
          <w:rFonts w:ascii="Arial" w:hAnsi="Arial" w:cs="Arial"/>
          <w:i/>
          <w:iCs/>
          <w:noProof/>
          <w:sz w:val="24"/>
          <w:szCs w:val="24"/>
        </w:rPr>
        <w:t>Nahrung - Food</w:t>
      </w:r>
      <w:r w:rsidRPr="008F4396">
        <w:rPr>
          <w:rFonts w:ascii="Arial" w:hAnsi="Arial" w:cs="Arial"/>
          <w:noProof/>
          <w:sz w:val="24"/>
          <w:szCs w:val="24"/>
        </w:rPr>
        <w:t>, 48(1), pp. 25–33. doi: 10.1002/FOOD.200300329.</w:t>
      </w:r>
    </w:p>
    <w:p w14:paraId="7307F3CE"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Schouten, A. (2016) ‘Mechanisms Involved in Nematode Control by Endophytic Fungi’. doi: 10.1146/annurev-phyto-080615-100114.</w:t>
      </w:r>
    </w:p>
    <w:p w14:paraId="13212691"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Schultz, T. W., Yarbrough, J. W. and Woldemeskel, M. (2005) ‘Toxicity to Tetrahymena and abiotic thiol reactivity of aromatic isothiocyanates’, </w:t>
      </w:r>
      <w:r w:rsidRPr="008F4396">
        <w:rPr>
          <w:rFonts w:ascii="Arial" w:hAnsi="Arial" w:cs="Arial"/>
          <w:i/>
          <w:iCs/>
          <w:noProof/>
          <w:sz w:val="24"/>
          <w:szCs w:val="24"/>
        </w:rPr>
        <w:t>Cell biology and toxicology</w:t>
      </w:r>
      <w:r w:rsidRPr="008F4396">
        <w:rPr>
          <w:rFonts w:ascii="Arial" w:hAnsi="Arial" w:cs="Arial"/>
          <w:noProof/>
          <w:sz w:val="24"/>
          <w:szCs w:val="24"/>
        </w:rPr>
        <w:t>, 21(3–4), pp. 181–189.</w:t>
      </w:r>
    </w:p>
    <w:p w14:paraId="79D13E8C"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Scott, E. and Antoon, P. (2014) ‘Evaluation of 31 Potential Biofumigant Brassicaceous Plants as Hosts for Three Meloiodogyne Species’, 46(3), pp. 287–295.</w:t>
      </w:r>
    </w:p>
    <w:p w14:paraId="6B5971B3"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Seinhorst, J. W. (1963) ‘A redescription of the male of trichodorus primitivus (De man), and the description of a new species t. similis’, </w:t>
      </w:r>
      <w:r w:rsidRPr="008F4396">
        <w:rPr>
          <w:rFonts w:ascii="Arial" w:hAnsi="Arial" w:cs="Arial"/>
          <w:i/>
          <w:iCs/>
          <w:noProof/>
          <w:sz w:val="24"/>
          <w:szCs w:val="24"/>
        </w:rPr>
        <w:t>Nematologica</w:t>
      </w:r>
      <w:r w:rsidRPr="008F4396">
        <w:rPr>
          <w:rFonts w:ascii="Arial" w:hAnsi="Arial" w:cs="Arial"/>
          <w:noProof/>
          <w:sz w:val="24"/>
          <w:szCs w:val="24"/>
        </w:rPr>
        <w:t>, 9(1), pp. 125–130. doi: 10.1163/187529263X00232.</w:t>
      </w:r>
    </w:p>
    <w:p w14:paraId="616BCF25"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Shaver, B. R., Agudelo, P. and Martin, S. B. (2016) ‘Use of Abamectin and Azoxystrobin for Managing Stubby-Root Nematode( </w:t>
      </w:r>
      <w:r w:rsidRPr="008F4396">
        <w:rPr>
          <w:rFonts w:ascii="Arial" w:hAnsi="Arial" w:cs="Arial"/>
          <w:i/>
          <w:iCs/>
          <w:noProof/>
          <w:sz w:val="24"/>
          <w:szCs w:val="24"/>
        </w:rPr>
        <w:t>Trichodorus obtusus</w:t>
      </w:r>
      <w:r w:rsidRPr="008F4396">
        <w:rPr>
          <w:rFonts w:ascii="Arial" w:hAnsi="Arial" w:cs="Arial"/>
          <w:noProof/>
          <w:sz w:val="24"/>
          <w:szCs w:val="24"/>
        </w:rPr>
        <w:t xml:space="preserve"> Cobb) Damage to Zoysiagrass’, </w:t>
      </w:r>
      <w:r w:rsidRPr="008F4396">
        <w:rPr>
          <w:rFonts w:ascii="Arial" w:hAnsi="Arial" w:cs="Arial"/>
          <w:i/>
          <w:iCs/>
          <w:noProof/>
          <w:sz w:val="24"/>
          <w:szCs w:val="24"/>
        </w:rPr>
        <w:t>Crop Science</w:t>
      </w:r>
      <w:r w:rsidRPr="008F4396">
        <w:rPr>
          <w:rFonts w:ascii="Arial" w:hAnsi="Arial" w:cs="Arial"/>
          <w:noProof/>
          <w:sz w:val="24"/>
          <w:szCs w:val="24"/>
        </w:rPr>
        <w:t>, 56(3), pp. 1330–1336. doi: 10.2135/cropsci2015.08.0528.</w:t>
      </w:r>
    </w:p>
    <w:p w14:paraId="7FF6A6AA"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Sicker, D. </w:t>
      </w:r>
      <w:r w:rsidRPr="008F4396">
        <w:rPr>
          <w:rFonts w:ascii="Arial" w:hAnsi="Arial" w:cs="Arial"/>
          <w:i/>
          <w:iCs/>
          <w:noProof/>
          <w:sz w:val="24"/>
          <w:szCs w:val="24"/>
        </w:rPr>
        <w:t>et al.</w:t>
      </w:r>
      <w:r w:rsidRPr="008F4396">
        <w:rPr>
          <w:rFonts w:ascii="Arial" w:hAnsi="Arial" w:cs="Arial"/>
          <w:noProof/>
          <w:sz w:val="24"/>
          <w:szCs w:val="24"/>
        </w:rPr>
        <w:t xml:space="preserve"> (2000) ‘Role of natural benzoxazinones in the survival strategy of plants’, </w:t>
      </w:r>
      <w:r w:rsidRPr="008F4396">
        <w:rPr>
          <w:rFonts w:ascii="Arial" w:hAnsi="Arial" w:cs="Arial"/>
          <w:i/>
          <w:iCs/>
          <w:noProof/>
          <w:sz w:val="24"/>
          <w:szCs w:val="24"/>
        </w:rPr>
        <w:t>International Review of Cytology</w:t>
      </w:r>
      <w:r w:rsidRPr="008F4396">
        <w:rPr>
          <w:rFonts w:ascii="Arial" w:hAnsi="Arial" w:cs="Arial"/>
          <w:noProof/>
          <w:sz w:val="24"/>
          <w:szCs w:val="24"/>
        </w:rPr>
        <w:t xml:space="preserve">. Academic Press Inc., pp. 319–346. doi: </w:t>
      </w:r>
      <w:r w:rsidRPr="008F4396">
        <w:rPr>
          <w:rFonts w:ascii="Arial" w:hAnsi="Arial" w:cs="Arial"/>
          <w:noProof/>
          <w:sz w:val="24"/>
          <w:szCs w:val="24"/>
        </w:rPr>
        <w:lastRenderedPageBreak/>
        <w:t>10.1016/s0074-7696(00)98008-2.</w:t>
      </w:r>
    </w:p>
    <w:p w14:paraId="3464BB00"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Sicker, D. and Schulz, M. (2002) ‘Benzoxazinones in plants: Occurrence, synthetic access, and biological activity’, </w:t>
      </w:r>
      <w:r w:rsidRPr="008F4396">
        <w:rPr>
          <w:rFonts w:ascii="Arial" w:hAnsi="Arial" w:cs="Arial"/>
          <w:i/>
          <w:iCs/>
          <w:noProof/>
          <w:sz w:val="24"/>
          <w:szCs w:val="24"/>
        </w:rPr>
        <w:t>Studies in Natural Products Chemistry</w:t>
      </w:r>
      <w:r w:rsidRPr="008F4396">
        <w:rPr>
          <w:rFonts w:ascii="Arial" w:hAnsi="Arial" w:cs="Arial"/>
          <w:noProof/>
          <w:sz w:val="24"/>
          <w:szCs w:val="24"/>
        </w:rPr>
        <w:t>, 27(PART H), pp. 185–232. doi: 10.1016/S1572-5995(02)80037-0.</w:t>
      </w:r>
    </w:p>
    <w:p w14:paraId="1766B091"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Siddiqi, M. R. (1980) ‘On the generic status of Atlantadorus Siddiqi, 1974 and Nanidorus Siddiqi, 1974 (Nematoda: Trichodoridae).’, </w:t>
      </w:r>
      <w:r w:rsidRPr="008F4396">
        <w:rPr>
          <w:rFonts w:ascii="Arial" w:hAnsi="Arial" w:cs="Arial"/>
          <w:i/>
          <w:iCs/>
          <w:noProof/>
          <w:sz w:val="24"/>
          <w:szCs w:val="24"/>
        </w:rPr>
        <w:t>Systematic Parasitology</w:t>
      </w:r>
      <w:r w:rsidRPr="008F4396">
        <w:rPr>
          <w:rFonts w:ascii="Arial" w:hAnsi="Arial" w:cs="Arial"/>
          <w:noProof/>
          <w:sz w:val="24"/>
          <w:szCs w:val="24"/>
        </w:rPr>
        <w:t>, 1(2), pp. 151–152.</w:t>
      </w:r>
    </w:p>
    <w:p w14:paraId="59905BAD"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Steele, A. E. (1977) ‘Effects of Selected Carbamate and Organophosphate Nematicides on Hatching and Emergence of Heterodera schachtii’, </w:t>
      </w:r>
      <w:r w:rsidRPr="008F4396">
        <w:rPr>
          <w:rFonts w:ascii="Arial" w:hAnsi="Arial" w:cs="Arial"/>
          <w:i/>
          <w:iCs/>
          <w:noProof/>
          <w:sz w:val="24"/>
          <w:szCs w:val="24"/>
        </w:rPr>
        <w:t>Journal of Ne</w:t>
      </w:r>
      <w:r w:rsidRPr="008F4396">
        <w:rPr>
          <w:rFonts w:ascii="Arial" w:hAnsi="Arial" w:cs="Arial"/>
          <w:noProof/>
          <w:sz w:val="24"/>
          <w:szCs w:val="24"/>
        </w:rPr>
        <w:t>, 9(2), pp. 149–154.</w:t>
      </w:r>
    </w:p>
    <w:p w14:paraId="1219F41C"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Stevens, M. (2015) </w:t>
      </w:r>
      <w:r w:rsidRPr="008F4396">
        <w:rPr>
          <w:rFonts w:ascii="Arial" w:hAnsi="Arial" w:cs="Arial"/>
          <w:i/>
          <w:iCs/>
          <w:noProof/>
          <w:sz w:val="24"/>
          <w:szCs w:val="24"/>
        </w:rPr>
        <w:t>Vydate Update: latest consequences for FLN control in sugar beet</w:t>
      </w:r>
      <w:r w:rsidRPr="008F4396">
        <w:rPr>
          <w:rFonts w:ascii="Arial" w:hAnsi="Arial" w:cs="Arial"/>
          <w:noProof/>
          <w:sz w:val="24"/>
          <w:szCs w:val="24"/>
        </w:rPr>
        <w:t xml:space="preserve">, </w:t>
      </w:r>
      <w:r w:rsidRPr="008F4396">
        <w:rPr>
          <w:rFonts w:ascii="Arial" w:hAnsi="Arial" w:cs="Arial"/>
          <w:i/>
          <w:iCs/>
          <w:noProof/>
          <w:sz w:val="24"/>
          <w:szCs w:val="24"/>
        </w:rPr>
        <w:t>British Sugar Beet Review</w:t>
      </w:r>
      <w:r w:rsidRPr="008F4396">
        <w:rPr>
          <w:rFonts w:ascii="Arial" w:hAnsi="Arial" w:cs="Arial"/>
          <w:noProof/>
          <w:sz w:val="24"/>
          <w:szCs w:val="24"/>
        </w:rPr>
        <w:t>. Available at: https://bbro.co.uk/publications/beet-review/?p=4.</w:t>
      </w:r>
    </w:p>
    <w:p w14:paraId="08B69E1B"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Stirling, G. R. (1988) ‘Biological control of plant-parasitic nematodes’, in </w:t>
      </w:r>
      <w:r w:rsidRPr="008F4396">
        <w:rPr>
          <w:rFonts w:ascii="Arial" w:hAnsi="Arial" w:cs="Arial"/>
          <w:i/>
          <w:iCs/>
          <w:noProof/>
          <w:sz w:val="24"/>
          <w:szCs w:val="24"/>
        </w:rPr>
        <w:t>Diseases Of Nematodes</w:t>
      </w:r>
      <w:r w:rsidRPr="008F4396">
        <w:rPr>
          <w:rFonts w:ascii="Arial" w:hAnsi="Arial" w:cs="Arial"/>
          <w:noProof/>
          <w:sz w:val="24"/>
          <w:szCs w:val="24"/>
        </w:rPr>
        <w:t>. 1st Editio. Boca Raton: CRC Press, p. 48. doi: https://doi.org/10.1201/9781351071468.</w:t>
      </w:r>
    </w:p>
    <w:p w14:paraId="60DC33AB"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Sykes, G. B. and Brown, E. B. (1971) ‘Studies on the relation between density of Longidorus elongutus and growth of sugar beet, with supplementary observations on Trichodorus spp.’, </w:t>
      </w:r>
      <w:r w:rsidRPr="008F4396">
        <w:rPr>
          <w:rFonts w:ascii="Arial" w:hAnsi="Arial" w:cs="Arial"/>
          <w:i/>
          <w:iCs/>
          <w:noProof/>
          <w:sz w:val="24"/>
          <w:szCs w:val="24"/>
        </w:rPr>
        <w:t>Ann. appl. Biol</w:t>
      </w:r>
      <w:r w:rsidRPr="008F4396">
        <w:rPr>
          <w:rFonts w:ascii="Arial" w:hAnsi="Arial" w:cs="Arial"/>
          <w:noProof/>
          <w:sz w:val="24"/>
          <w:szCs w:val="24"/>
        </w:rPr>
        <w:t>, 68(May 1967), pp. 291–298. doi: https://doi.org/10.1111/j.1744-7348.1971.tb04648.x.</w:t>
      </w:r>
    </w:p>
    <w:p w14:paraId="7AB71A5C"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Tava, A. and Avato, P. (2006) ‘Chemical and biological activity of triterpene saponins from medicago species’, </w:t>
      </w:r>
      <w:r w:rsidRPr="008F4396">
        <w:rPr>
          <w:rFonts w:ascii="Arial" w:hAnsi="Arial" w:cs="Arial"/>
          <w:i/>
          <w:iCs/>
          <w:noProof/>
          <w:sz w:val="24"/>
          <w:szCs w:val="24"/>
        </w:rPr>
        <w:t>Natural Product Communications</w:t>
      </w:r>
      <w:r w:rsidRPr="008F4396">
        <w:rPr>
          <w:rFonts w:ascii="Arial" w:hAnsi="Arial" w:cs="Arial"/>
          <w:noProof/>
          <w:sz w:val="24"/>
          <w:szCs w:val="24"/>
        </w:rPr>
        <w:t>, 1(12), pp. 1159–1180. doi: 10.1177/1934578x0600101217.</w:t>
      </w:r>
    </w:p>
    <w:p w14:paraId="5D7B2332"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Taylor, C. E. and Murant, A. F. (1966) ‘Nematicidal activity of aqueous extracts from raspberry canes and roots’, </w:t>
      </w:r>
      <w:r w:rsidRPr="008F4396">
        <w:rPr>
          <w:rFonts w:ascii="Arial" w:hAnsi="Arial" w:cs="Arial"/>
          <w:i/>
          <w:iCs/>
          <w:noProof/>
          <w:sz w:val="24"/>
          <w:szCs w:val="24"/>
        </w:rPr>
        <w:t>Nematologica</w:t>
      </w:r>
      <w:r w:rsidRPr="008F4396">
        <w:rPr>
          <w:rFonts w:ascii="Arial" w:hAnsi="Arial" w:cs="Arial"/>
          <w:noProof/>
          <w:sz w:val="24"/>
          <w:szCs w:val="24"/>
        </w:rPr>
        <w:t>, 12(4), pp. 488–494. doi: 10.1163/187529266X00310.</w:t>
      </w:r>
    </w:p>
    <w:p w14:paraId="58022508"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Thoden, T. C., Boppré, M. and Hallmann, J. (2009) ‘Effects of pyrrolizidine alkaloids on the performance of plant-parasitic and free-living nematodes’, </w:t>
      </w:r>
      <w:r w:rsidRPr="008F4396">
        <w:rPr>
          <w:rFonts w:ascii="Arial" w:hAnsi="Arial" w:cs="Arial"/>
          <w:i/>
          <w:iCs/>
          <w:noProof/>
          <w:sz w:val="24"/>
          <w:szCs w:val="24"/>
        </w:rPr>
        <w:t>Pest Management Science</w:t>
      </w:r>
      <w:r w:rsidRPr="008F4396">
        <w:rPr>
          <w:rFonts w:ascii="Arial" w:hAnsi="Arial" w:cs="Arial"/>
          <w:noProof/>
          <w:sz w:val="24"/>
          <w:szCs w:val="24"/>
        </w:rPr>
        <w:t>, 65(7), pp. 823–830. doi: 10.1002/ps.1764.</w:t>
      </w:r>
    </w:p>
    <w:p w14:paraId="65538503"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Venette, R. C., Mostafa, F. A. M. and Ferris, H. (1997) ‘Trophic interactions between bacterial-feeding nematodes in plant rhizospheres and the nematophagous fungus </w:t>
      </w:r>
      <w:r w:rsidRPr="008F4396">
        <w:rPr>
          <w:rFonts w:ascii="Arial" w:hAnsi="Arial" w:cs="Arial"/>
          <w:noProof/>
          <w:sz w:val="24"/>
          <w:szCs w:val="24"/>
        </w:rPr>
        <w:lastRenderedPageBreak/>
        <w:t xml:space="preserve">Hirsutella rhossiliensis to suppress Heterodera schachtii’, </w:t>
      </w:r>
      <w:r w:rsidRPr="008F4396">
        <w:rPr>
          <w:rFonts w:ascii="Arial" w:hAnsi="Arial" w:cs="Arial"/>
          <w:i/>
          <w:iCs/>
          <w:noProof/>
          <w:sz w:val="24"/>
          <w:szCs w:val="24"/>
        </w:rPr>
        <w:t>Plant and Soil</w:t>
      </w:r>
      <w:r w:rsidRPr="008F4396">
        <w:rPr>
          <w:rFonts w:ascii="Arial" w:hAnsi="Arial" w:cs="Arial"/>
          <w:noProof/>
          <w:sz w:val="24"/>
          <w:szCs w:val="24"/>
        </w:rPr>
        <w:t>, 191(2), pp. 213–223.</w:t>
      </w:r>
    </w:p>
    <w:p w14:paraId="5022AD83"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Vervoort, M. T. W. </w:t>
      </w:r>
      <w:r w:rsidRPr="008F4396">
        <w:rPr>
          <w:rFonts w:ascii="Arial" w:hAnsi="Arial" w:cs="Arial"/>
          <w:i/>
          <w:iCs/>
          <w:noProof/>
          <w:sz w:val="24"/>
          <w:szCs w:val="24"/>
        </w:rPr>
        <w:t>et al.</w:t>
      </w:r>
      <w:r w:rsidRPr="008F4396">
        <w:rPr>
          <w:rFonts w:ascii="Arial" w:hAnsi="Arial" w:cs="Arial"/>
          <w:noProof/>
          <w:sz w:val="24"/>
          <w:szCs w:val="24"/>
        </w:rPr>
        <w:t xml:space="preserve"> (2014) ‘Release of isothiocyanates does not explain the effects of biofumigation with Indian mustard cultivars on nematode assemblages’, </w:t>
      </w:r>
      <w:r w:rsidRPr="008F4396">
        <w:rPr>
          <w:rFonts w:ascii="Arial" w:hAnsi="Arial" w:cs="Arial"/>
          <w:i/>
          <w:iCs/>
          <w:noProof/>
          <w:sz w:val="24"/>
          <w:szCs w:val="24"/>
        </w:rPr>
        <w:t>Soil Biology and Biochemistry</w:t>
      </w:r>
      <w:r w:rsidRPr="008F4396">
        <w:rPr>
          <w:rFonts w:ascii="Arial" w:hAnsi="Arial" w:cs="Arial"/>
          <w:noProof/>
          <w:sz w:val="24"/>
          <w:szCs w:val="24"/>
        </w:rPr>
        <w:t>, 68, pp. 200–207. doi: 10.1016/j.soilbio.2013.10.008.</w:t>
      </w:r>
    </w:p>
    <w:p w14:paraId="5D676A3B"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Viaene, N. M. and Abawi, G. S. (1998) ‘Management of Meloidogyne hapla on Lettuce in Organic Soil with Sudangrass as a Cover Crop’, </w:t>
      </w:r>
      <w:r w:rsidRPr="008F4396">
        <w:rPr>
          <w:rFonts w:ascii="Arial" w:hAnsi="Arial" w:cs="Arial"/>
          <w:i/>
          <w:iCs/>
          <w:noProof/>
          <w:sz w:val="24"/>
          <w:szCs w:val="24"/>
        </w:rPr>
        <w:t>Plant Disease</w:t>
      </w:r>
      <w:r w:rsidRPr="008F4396">
        <w:rPr>
          <w:rFonts w:ascii="Arial" w:hAnsi="Arial" w:cs="Arial"/>
          <w:noProof/>
          <w:sz w:val="24"/>
          <w:szCs w:val="24"/>
        </w:rPr>
        <w:t>, 82, pp. 945–952.</w:t>
      </w:r>
    </w:p>
    <w:p w14:paraId="63634BFF"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Virtanen, A. . and Wahlross, O. (1965) ‘Volatiles from Chives (Allium schoenoprasum)’, </w:t>
      </w:r>
      <w:r w:rsidRPr="008F4396">
        <w:rPr>
          <w:rFonts w:ascii="Arial" w:hAnsi="Arial" w:cs="Arial"/>
          <w:i/>
          <w:iCs/>
          <w:noProof/>
          <w:sz w:val="24"/>
          <w:szCs w:val="24"/>
        </w:rPr>
        <w:t>Acta chemica scandinavica</w:t>
      </w:r>
      <w:r w:rsidRPr="008F4396">
        <w:rPr>
          <w:rFonts w:ascii="Arial" w:hAnsi="Arial" w:cs="Arial"/>
          <w:noProof/>
          <w:sz w:val="24"/>
          <w:szCs w:val="24"/>
        </w:rPr>
        <w:t>, 19, pp. 1327–1332.</w:t>
      </w:r>
    </w:p>
    <w:p w14:paraId="73676B6C"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Walker, G. E. (2007) ‘Effects of organic amendments, fertilisers and fenamiphos on parasitic and free-living nematodes, tomato growth and yield’, </w:t>
      </w:r>
      <w:r w:rsidRPr="008F4396">
        <w:rPr>
          <w:rFonts w:ascii="Arial" w:hAnsi="Arial" w:cs="Arial"/>
          <w:i/>
          <w:iCs/>
          <w:noProof/>
          <w:sz w:val="24"/>
          <w:szCs w:val="24"/>
        </w:rPr>
        <w:t>Nematologia Mediterranea</w:t>
      </w:r>
      <w:r w:rsidRPr="008F4396">
        <w:rPr>
          <w:rFonts w:ascii="Arial" w:hAnsi="Arial" w:cs="Arial"/>
          <w:noProof/>
          <w:sz w:val="24"/>
          <w:szCs w:val="24"/>
        </w:rPr>
        <w:t>, 35, pp. 131–136. Available at: https://journals.flvc.org/nemamedi/article/view/86933 (Accessed: 24 January 2021).</w:t>
      </w:r>
    </w:p>
    <w:p w14:paraId="6190FCC0"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Walker, J. C., Morell, S. and Foster, H. H. (1937) ‘Toxicity of mustard oils and related sulfur compounds to certain fungi’, </w:t>
      </w:r>
      <w:r w:rsidRPr="008F4396">
        <w:rPr>
          <w:rFonts w:ascii="Arial" w:hAnsi="Arial" w:cs="Arial"/>
          <w:i/>
          <w:iCs/>
          <w:noProof/>
          <w:sz w:val="24"/>
          <w:szCs w:val="24"/>
        </w:rPr>
        <w:t>American Journal of Botany</w:t>
      </w:r>
      <w:r w:rsidRPr="008F4396">
        <w:rPr>
          <w:rFonts w:ascii="Arial" w:hAnsi="Arial" w:cs="Arial"/>
          <w:noProof/>
          <w:sz w:val="24"/>
          <w:szCs w:val="24"/>
        </w:rPr>
        <w:t>, pp. 536–541.</w:t>
      </w:r>
    </w:p>
    <w:p w14:paraId="123D4EF5"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Wang, K. </w:t>
      </w:r>
      <w:r w:rsidRPr="008F4396">
        <w:rPr>
          <w:rFonts w:ascii="Arial" w:hAnsi="Arial" w:cs="Arial"/>
          <w:i/>
          <w:iCs/>
          <w:noProof/>
          <w:sz w:val="24"/>
          <w:szCs w:val="24"/>
        </w:rPr>
        <w:t>et al.</w:t>
      </w:r>
      <w:r w:rsidRPr="008F4396">
        <w:rPr>
          <w:rFonts w:ascii="Arial" w:hAnsi="Arial" w:cs="Arial"/>
          <w:noProof/>
          <w:sz w:val="24"/>
          <w:szCs w:val="24"/>
        </w:rPr>
        <w:t xml:space="preserve"> (2012) ‘Nematicidal activity of the alkaloids from Macleaya cordata against certain nematodes’, </w:t>
      </w:r>
      <w:r w:rsidRPr="008F4396">
        <w:rPr>
          <w:rFonts w:ascii="Arial" w:hAnsi="Arial" w:cs="Arial"/>
          <w:i/>
          <w:iCs/>
          <w:noProof/>
          <w:sz w:val="24"/>
          <w:szCs w:val="24"/>
        </w:rPr>
        <w:t>African Journal of Agricultural Research</w:t>
      </w:r>
      <w:r w:rsidRPr="008F4396">
        <w:rPr>
          <w:rFonts w:ascii="Arial" w:hAnsi="Arial" w:cs="Arial"/>
          <w:noProof/>
          <w:sz w:val="24"/>
          <w:szCs w:val="24"/>
        </w:rPr>
        <w:t>, 7(44), pp. 5925–5929. doi: 10.5897/AJAR11.1940.</w:t>
      </w:r>
    </w:p>
    <w:p w14:paraId="550AD47C"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Wang, K. H. </w:t>
      </w:r>
      <w:r w:rsidRPr="008F4396">
        <w:rPr>
          <w:rFonts w:ascii="Arial" w:hAnsi="Arial" w:cs="Arial"/>
          <w:i/>
          <w:iCs/>
          <w:noProof/>
          <w:sz w:val="24"/>
          <w:szCs w:val="24"/>
        </w:rPr>
        <w:t>et al.</w:t>
      </w:r>
      <w:r w:rsidRPr="008F4396">
        <w:rPr>
          <w:rFonts w:ascii="Arial" w:hAnsi="Arial" w:cs="Arial"/>
          <w:noProof/>
          <w:sz w:val="24"/>
          <w:szCs w:val="24"/>
        </w:rPr>
        <w:t xml:space="preserve"> (2008) ‘Cover crops and organic mulches for nematode, weed and plant health management’, </w:t>
      </w:r>
      <w:r w:rsidRPr="008F4396">
        <w:rPr>
          <w:rFonts w:ascii="Arial" w:hAnsi="Arial" w:cs="Arial"/>
          <w:i/>
          <w:iCs/>
          <w:noProof/>
          <w:sz w:val="24"/>
          <w:szCs w:val="24"/>
        </w:rPr>
        <w:t>Nematology</w:t>
      </w:r>
      <w:r w:rsidRPr="008F4396">
        <w:rPr>
          <w:rFonts w:ascii="Arial" w:hAnsi="Arial" w:cs="Arial"/>
          <w:noProof/>
          <w:sz w:val="24"/>
          <w:szCs w:val="24"/>
        </w:rPr>
        <w:t>, 10(2), pp. 231–242. doi: 10.1163/156854108783476412.</w:t>
      </w:r>
    </w:p>
    <w:p w14:paraId="1B867DD4"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Wang, K. H., Sipes, B. S. and Schmitt, D. P. (2001) ‘Suppression of Rotylenchulus reniformis by Crotalaria juncea , Brassica napus , and Tagetes erecta †’, </w:t>
      </w:r>
      <w:r w:rsidRPr="008F4396">
        <w:rPr>
          <w:rFonts w:ascii="Arial" w:hAnsi="Arial" w:cs="Arial"/>
          <w:i/>
          <w:iCs/>
          <w:noProof/>
          <w:sz w:val="24"/>
          <w:szCs w:val="24"/>
        </w:rPr>
        <w:t>Nematropica</w:t>
      </w:r>
      <w:r w:rsidRPr="008F4396">
        <w:rPr>
          <w:rFonts w:ascii="Arial" w:hAnsi="Arial" w:cs="Arial"/>
          <w:noProof/>
          <w:sz w:val="24"/>
          <w:szCs w:val="24"/>
        </w:rPr>
        <w:t>, 31(2), pp. 235–250. Available at: https://journals.flvc.org/nematropica/article/view/69629 (Accessed: 11 January 2021).</w:t>
      </w:r>
    </w:p>
    <w:p w14:paraId="1195ED42"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Weingartner, D. P. and Shumaker, J. R. (1990) </w:t>
      </w:r>
      <w:r w:rsidRPr="008F4396">
        <w:rPr>
          <w:rFonts w:ascii="Arial" w:hAnsi="Arial" w:cs="Arial"/>
          <w:i/>
          <w:iCs/>
          <w:noProof/>
          <w:sz w:val="24"/>
          <w:szCs w:val="24"/>
        </w:rPr>
        <w:t>Effects of Soil Fumigants and Aldicarb on Corky Ringspot Disease and Trichodorid Nematodes in Potato 1</w:t>
      </w:r>
      <w:r w:rsidRPr="008F4396">
        <w:rPr>
          <w:rFonts w:ascii="Arial" w:hAnsi="Arial" w:cs="Arial"/>
          <w:noProof/>
          <w:sz w:val="24"/>
          <w:szCs w:val="24"/>
        </w:rPr>
        <w:t xml:space="preserve">, </w:t>
      </w:r>
      <w:r w:rsidRPr="008F4396">
        <w:rPr>
          <w:rFonts w:ascii="Arial" w:hAnsi="Arial" w:cs="Arial"/>
          <w:i/>
          <w:iCs/>
          <w:noProof/>
          <w:sz w:val="24"/>
          <w:szCs w:val="24"/>
        </w:rPr>
        <w:t>Supplement to Journal of Nematology</w:t>
      </w:r>
      <w:r w:rsidRPr="008F4396">
        <w:rPr>
          <w:rFonts w:ascii="Arial" w:hAnsi="Arial" w:cs="Arial"/>
          <w:noProof/>
          <w:sz w:val="24"/>
          <w:szCs w:val="24"/>
        </w:rPr>
        <w:t>.</w:t>
      </w:r>
    </w:p>
    <w:p w14:paraId="3FBBBC24"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Whitehead, A. G. and Hooper, D. J. (1970) ‘Needle nematodes (Longidorus spp.) and </w:t>
      </w:r>
      <w:r w:rsidRPr="008F4396">
        <w:rPr>
          <w:rFonts w:ascii="Arial" w:hAnsi="Arial" w:cs="Arial"/>
          <w:noProof/>
          <w:sz w:val="24"/>
          <w:szCs w:val="24"/>
        </w:rPr>
        <w:lastRenderedPageBreak/>
        <w:t xml:space="preserve">stubby-root nematodes ( Trichodorus spp.) harmful to sugar beet and other field crops in England’, </w:t>
      </w:r>
      <w:r w:rsidRPr="008F4396">
        <w:rPr>
          <w:rFonts w:ascii="Arial" w:hAnsi="Arial" w:cs="Arial"/>
          <w:i/>
          <w:iCs/>
          <w:noProof/>
          <w:sz w:val="24"/>
          <w:szCs w:val="24"/>
        </w:rPr>
        <w:t>Ann. appl. Biol</w:t>
      </w:r>
      <w:r w:rsidRPr="008F4396">
        <w:rPr>
          <w:rFonts w:ascii="Arial" w:hAnsi="Arial" w:cs="Arial"/>
          <w:noProof/>
          <w:sz w:val="24"/>
          <w:szCs w:val="24"/>
        </w:rPr>
        <w:t>, pp. 339–350.</w:t>
      </w:r>
    </w:p>
    <w:p w14:paraId="202D8FA4"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Winfield, A. L. and Cooke, D. A. (1975) ‘The Ecology of Trichodorus’, </w:t>
      </w:r>
      <w:r w:rsidRPr="008F4396">
        <w:rPr>
          <w:rFonts w:ascii="Arial" w:hAnsi="Arial" w:cs="Arial"/>
          <w:i/>
          <w:iCs/>
          <w:noProof/>
          <w:sz w:val="24"/>
          <w:szCs w:val="24"/>
        </w:rPr>
        <w:t>Nematode Vectors of Plant Viruses</w:t>
      </w:r>
      <w:r w:rsidRPr="008F4396">
        <w:rPr>
          <w:rFonts w:ascii="Arial" w:hAnsi="Arial" w:cs="Arial"/>
          <w:noProof/>
          <w:sz w:val="24"/>
          <w:szCs w:val="24"/>
        </w:rPr>
        <w:t>, (81), pp. 309–341. doi: 10.1007/978-1-4684-0841-6_25.</w:t>
      </w:r>
    </w:p>
    <w:p w14:paraId="0EEC42E6"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Wright, A. J. D. </w:t>
      </w:r>
      <w:r w:rsidRPr="008F4396">
        <w:rPr>
          <w:rFonts w:ascii="Arial" w:hAnsi="Arial" w:cs="Arial"/>
          <w:i/>
          <w:iCs/>
          <w:noProof/>
          <w:sz w:val="24"/>
          <w:szCs w:val="24"/>
        </w:rPr>
        <w:t>et al.</w:t>
      </w:r>
      <w:r w:rsidRPr="008F4396">
        <w:rPr>
          <w:rFonts w:ascii="Arial" w:hAnsi="Arial" w:cs="Arial"/>
          <w:noProof/>
          <w:sz w:val="24"/>
          <w:szCs w:val="24"/>
        </w:rPr>
        <w:t xml:space="preserve"> (2019) ‘Evaluating resistant brassica trap crops to manage Heterodera schachtii (Schmidt) infestations in eastern England’, </w:t>
      </w:r>
      <w:r w:rsidRPr="008F4396">
        <w:rPr>
          <w:rFonts w:ascii="Arial" w:hAnsi="Arial" w:cs="Arial"/>
          <w:i/>
          <w:iCs/>
          <w:noProof/>
          <w:sz w:val="24"/>
          <w:szCs w:val="24"/>
        </w:rPr>
        <w:t>Pest Management Science</w:t>
      </w:r>
      <w:r w:rsidRPr="008F4396">
        <w:rPr>
          <w:rFonts w:ascii="Arial" w:hAnsi="Arial" w:cs="Arial"/>
          <w:noProof/>
          <w:sz w:val="24"/>
          <w:szCs w:val="24"/>
        </w:rPr>
        <w:t>, 75(2), pp. 438–443. doi: 10.1002/ps.5134.</w:t>
      </w:r>
    </w:p>
    <w:p w14:paraId="18CF2D80"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Wu, H. </w:t>
      </w:r>
      <w:r w:rsidRPr="008F4396">
        <w:rPr>
          <w:rFonts w:ascii="Arial" w:hAnsi="Arial" w:cs="Arial"/>
          <w:i/>
          <w:iCs/>
          <w:noProof/>
          <w:sz w:val="24"/>
          <w:szCs w:val="24"/>
        </w:rPr>
        <w:t>et al.</w:t>
      </w:r>
      <w:r w:rsidRPr="008F4396">
        <w:rPr>
          <w:rFonts w:ascii="Arial" w:hAnsi="Arial" w:cs="Arial"/>
          <w:noProof/>
          <w:sz w:val="24"/>
          <w:szCs w:val="24"/>
        </w:rPr>
        <w:t xml:space="preserve"> (2011) ‘Nematicidal efficacy of isothiocyanates against root-knot nematode Meloidogyne javanica in cucumber’, </w:t>
      </w:r>
      <w:r w:rsidRPr="008F4396">
        <w:rPr>
          <w:rFonts w:ascii="Arial" w:hAnsi="Arial" w:cs="Arial"/>
          <w:i/>
          <w:iCs/>
          <w:noProof/>
          <w:sz w:val="24"/>
          <w:szCs w:val="24"/>
        </w:rPr>
        <w:t>Crop Protection</w:t>
      </w:r>
      <w:r w:rsidRPr="008F4396">
        <w:rPr>
          <w:rFonts w:ascii="Arial" w:hAnsi="Arial" w:cs="Arial"/>
          <w:noProof/>
          <w:sz w:val="24"/>
          <w:szCs w:val="24"/>
        </w:rPr>
        <w:t>, 30(1), pp. 33–37. doi: 10.1016/j.cropro.2010.09.004.</w:t>
      </w:r>
    </w:p>
    <w:p w14:paraId="5F1146F6"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Wyss, U. (1970) ‘Zur Toleranz wandernder Wurzelnematoden gegenüber zunehmender Austrocknung des Bodens und hohen osmotischen Drücken’, </w:t>
      </w:r>
      <w:r w:rsidRPr="008F4396">
        <w:rPr>
          <w:rFonts w:ascii="Arial" w:hAnsi="Arial" w:cs="Arial"/>
          <w:i/>
          <w:iCs/>
          <w:noProof/>
          <w:sz w:val="24"/>
          <w:szCs w:val="24"/>
        </w:rPr>
        <w:t>Nematologica</w:t>
      </w:r>
      <w:r w:rsidRPr="008F4396">
        <w:rPr>
          <w:rFonts w:ascii="Arial" w:hAnsi="Arial" w:cs="Arial"/>
          <w:noProof/>
          <w:sz w:val="24"/>
          <w:szCs w:val="24"/>
        </w:rPr>
        <w:t>, 16(1), pp. 63–73.</w:t>
      </w:r>
    </w:p>
    <w:p w14:paraId="34DC45CD"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Wyss, U. (1981) ‘Ectoparasitic root nematodes: feeding behaviour and plant cell responses’, </w:t>
      </w:r>
      <w:r w:rsidRPr="008F4396">
        <w:rPr>
          <w:rFonts w:ascii="Arial" w:hAnsi="Arial" w:cs="Arial"/>
          <w:i/>
          <w:iCs/>
          <w:noProof/>
          <w:sz w:val="24"/>
          <w:szCs w:val="24"/>
        </w:rPr>
        <w:t>Plant parasitic nematodes</w:t>
      </w:r>
      <w:r w:rsidRPr="008F4396">
        <w:rPr>
          <w:rFonts w:ascii="Arial" w:hAnsi="Arial" w:cs="Arial"/>
          <w:noProof/>
          <w:sz w:val="24"/>
          <w:szCs w:val="24"/>
        </w:rPr>
        <w:t>, 3, pp. 325–351.</w:t>
      </w:r>
    </w:p>
    <w:p w14:paraId="016E9BAC"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Yeates, G. W. (1967) ‘Studies on nematodes from dune sands. 9. Quantitative comparison of the nematode faunas of six localities.’, </w:t>
      </w:r>
      <w:r w:rsidRPr="008F4396">
        <w:rPr>
          <w:rFonts w:ascii="Arial" w:hAnsi="Arial" w:cs="Arial"/>
          <w:i/>
          <w:iCs/>
          <w:noProof/>
          <w:sz w:val="24"/>
          <w:szCs w:val="24"/>
        </w:rPr>
        <w:t>NZJ Sci</w:t>
      </w:r>
      <w:r w:rsidRPr="008F4396">
        <w:rPr>
          <w:rFonts w:ascii="Arial" w:hAnsi="Arial" w:cs="Arial"/>
          <w:noProof/>
          <w:sz w:val="24"/>
          <w:szCs w:val="24"/>
        </w:rPr>
        <w:t>, 10(4), pp. 927–948.</w:t>
      </w:r>
    </w:p>
    <w:p w14:paraId="0B56D2EE"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szCs w:val="24"/>
        </w:rPr>
      </w:pPr>
      <w:r w:rsidRPr="008F4396">
        <w:rPr>
          <w:rFonts w:ascii="Arial" w:hAnsi="Arial" w:cs="Arial"/>
          <w:noProof/>
          <w:sz w:val="24"/>
          <w:szCs w:val="24"/>
        </w:rPr>
        <w:t xml:space="preserve">Zasada, I. A. </w:t>
      </w:r>
      <w:r w:rsidRPr="008F4396">
        <w:rPr>
          <w:rFonts w:ascii="Arial" w:hAnsi="Arial" w:cs="Arial"/>
          <w:i/>
          <w:iCs/>
          <w:noProof/>
          <w:sz w:val="24"/>
          <w:szCs w:val="24"/>
        </w:rPr>
        <w:t>et al.</w:t>
      </w:r>
      <w:r w:rsidRPr="008F4396">
        <w:rPr>
          <w:rFonts w:ascii="Arial" w:hAnsi="Arial" w:cs="Arial"/>
          <w:noProof/>
          <w:sz w:val="24"/>
          <w:szCs w:val="24"/>
        </w:rPr>
        <w:t xml:space="preserve"> (2005) ‘Activity of hydroxamic acids from Secale cereale against the plant-parasitic nematodes Meloidogyne incognita and Xiphinema americanum’, </w:t>
      </w:r>
      <w:r w:rsidRPr="008F4396">
        <w:rPr>
          <w:rFonts w:ascii="Arial" w:hAnsi="Arial" w:cs="Arial"/>
          <w:i/>
          <w:iCs/>
          <w:noProof/>
          <w:sz w:val="24"/>
          <w:szCs w:val="24"/>
        </w:rPr>
        <w:t>Phytopathology</w:t>
      </w:r>
      <w:r w:rsidRPr="008F4396">
        <w:rPr>
          <w:rFonts w:ascii="Arial" w:hAnsi="Arial" w:cs="Arial"/>
          <w:noProof/>
          <w:sz w:val="24"/>
          <w:szCs w:val="24"/>
        </w:rPr>
        <w:t>, 95(10), pp. 1116–1121. doi: 10.1094/PHYTO-95-1116.</w:t>
      </w:r>
    </w:p>
    <w:p w14:paraId="1CE6A5D8" w14:textId="77777777" w:rsidR="008F4396" w:rsidRPr="008F4396" w:rsidRDefault="008F4396" w:rsidP="00DC56C8">
      <w:pPr>
        <w:widowControl w:val="0"/>
        <w:autoSpaceDE w:val="0"/>
        <w:autoSpaceDN w:val="0"/>
        <w:adjustRightInd w:val="0"/>
        <w:spacing w:line="360" w:lineRule="auto"/>
        <w:ind w:hanging="720"/>
        <w:rPr>
          <w:rFonts w:ascii="Arial" w:hAnsi="Arial" w:cs="Arial"/>
          <w:noProof/>
          <w:sz w:val="24"/>
        </w:rPr>
      </w:pPr>
      <w:r w:rsidRPr="008F4396">
        <w:rPr>
          <w:rFonts w:ascii="Arial" w:hAnsi="Arial" w:cs="Arial"/>
          <w:noProof/>
          <w:sz w:val="24"/>
          <w:szCs w:val="24"/>
        </w:rPr>
        <w:t xml:space="preserve">Zasada, I. A. and Ferris, H. (2003) ‘Sensitivity of Meloidogyne javanica and Tylenchulus semipenetrans to Isothiocyanates in Laboratory Assays’, </w:t>
      </w:r>
      <w:r w:rsidRPr="008F4396">
        <w:rPr>
          <w:rFonts w:ascii="Arial" w:hAnsi="Arial" w:cs="Arial"/>
          <w:i/>
          <w:iCs/>
          <w:noProof/>
          <w:sz w:val="24"/>
          <w:szCs w:val="24"/>
        </w:rPr>
        <w:t>Phytopathology</w:t>
      </w:r>
      <w:r w:rsidRPr="008F4396">
        <w:rPr>
          <w:rFonts w:ascii="Arial" w:hAnsi="Arial" w:cs="Arial"/>
          <w:noProof/>
          <w:sz w:val="24"/>
          <w:szCs w:val="24"/>
        </w:rPr>
        <w:t>, 93(6), pp. 747–750.</w:t>
      </w:r>
    </w:p>
    <w:p w14:paraId="52D96425" w14:textId="0906F7D7" w:rsidR="00B27D90" w:rsidRDefault="00F831DC" w:rsidP="00DC56C8">
      <w:pPr>
        <w:spacing w:line="360" w:lineRule="auto"/>
        <w:ind w:left="720" w:hanging="720"/>
        <w:rPr>
          <w:rFonts w:ascii="Arial" w:hAnsi="Arial" w:cs="Arial"/>
          <w:color w:val="000000" w:themeColor="text1"/>
          <w:sz w:val="24"/>
          <w:szCs w:val="24"/>
        </w:rPr>
      </w:pPr>
      <w:r w:rsidRPr="002B3D8A">
        <w:rPr>
          <w:rFonts w:ascii="Arial" w:hAnsi="Arial" w:cs="Arial"/>
          <w:color w:val="000000" w:themeColor="text1"/>
          <w:sz w:val="24"/>
          <w:szCs w:val="24"/>
        </w:rPr>
        <w:fldChar w:fldCharType="end"/>
      </w:r>
    </w:p>
    <w:p w14:paraId="6B5E95CC" w14:textId="26A590C6" w:rsidR="00956A8A" w:rsidRDefault="00956A8A" w:rsidP="00311149">
      <w:pPr>
        <w:spacing w:line="360" w:lineRule="auto"/>
        <w:rPr>
          <w:rFonts w:ascii="Arial" w:hAnsi="Arial" w:cs="Arial"/>
          <w:color w:val="000000" w:themeColor="text1"/>
          <w:sz w:val="24"/>
          <w:szCs w:val="24"/>
        </w:rPr>
      </w:pPr>
    </w:p>
    <w:p w14:paraId="5E4EFE6A" w14:textId="77777777" w:rsidR="00D95583" w:rsidRDefault="00D95583" w:rsidP="00311149">
      <w:pPr>
        <w:spacing w:line="360" w:lineRule="auto"/>
        <w:rPr>
          <w:rFonts w:ascii="Arial" w:hAnsi="Arial" w:cs="Arial"/>
          <w:color w:val="000000" w:themeColor="text1"/>
          <w:sz w:val="24"/>
          <w:szCs w:val="24"/>
        </w:rPr>
      </w:pPr>
    </w:p>
    <w:p w14:paraId="07EB24DA" w14:textId="77777777" w:rsidR="00636AA9" w:rsidRDefault="00636AA9" w:rsidP="00311149">
      <w:pPr>
        <w:spacing w:line="360" w:lineRule="auto"/>
        <w:rPr>
          <w:rFonts w:ascii="Arial" w:hAnsi="Arial" w:cs="Arial"/>
          <w:color w:val="000000" w:themeColor="text1"/>
          <w:sz w:val="24"/>
          <w:szCs w:val="24"/>
        </w:rPr>
        <w:sectPr w:rsidR="00636AA9" w:rsidSect="002572CD">
          <w:pgSz w:w="11906" w:h="16838"/>
          <w:pgMar w:top="1440" w:right="1440" w:bottom="1440" w:left="1440" w:header="708" w:footer="708" w:gutter="0"/>
          <w:cols w:space="708"/>
          <w:docGrid w:linePitch="360"/>
        </w:sectPr>
      </w:pPr>
    </w:p>
    <w:p w14:paraId="77049D1F" w14:textId="2F18ED53" w:rsidR="00636AA9" w:rsidRPr="00636AA9" w:rsidRDefault="00636AA9" w:rsidP="00636AA9">
      <w:pPr>
        <w:pStyle w:val="Heading1"/>
        <w:rPr>
          <w:rFonts w:ascii="Arial" w:hAnsi="Arial" w:cs="Arial"/>
          <w:b/>
          <w:color w:val="000000" w:themeColor="text1"/>
          <w:sz w:val="24"/>
          <w:szCs w:val="24"/>
        </w:rPr>
      </w:pPr>
      <w:bookmarkStart w:id="66" w:name="_Toc110341303"/>
      <w:r w:rsidRPr="00636AA9">
        <w:rPr>
          <w:rFonts w:ascii="Arial" w:hAnsi="Arial" w:cs="Arial"/>
          <w:b/>
          <w:color w:val="000000" w:themeColor="text1"/>
          <w:sz w:val="24"/>
          <w:szCs w:val="24"/>
        </w:rPr>
        <w:lastRenderedPageBreak/>
        <w:t>4. Appendices</w:t>
      </w:r>
      <w:bookmarkEnd w:id="66"/>
      <w:r w:rsidRPr="00636AA9">
        <w:rPr>
          <w:rFonts w:ascii="Arial" w:hAnsi="Arial" w:cs="Arial"/>
          <w:b/>
          <w:color w:val="000000" w:themeColor="text1"/>
          <w:sz w:val="24"/>
          <w:szCs w:val="24"/>
        </w:rPr>
        <w:t xml:space="preserve"> </w:t>
      </w:r>
    </w:p>
    <w:p w14:paraId="3688B4F8" w14:textId="268C2EAB" w:rsidR="00080D78" w:rsidRPr="00080D78" w:rsidRDefault="00636AA9" w:rsidP="00080D78">
      <w:pPr>
        <w:pStyle w:val="Heading1"/>
        <w:rPr>
          <w:rFonts w:ascii="Arial" w:hAnsi="Arial" w:cs="Arial"/>
          <w:b/>
          <w:color w:val="000000" w:themeColor="text1"/>
          <w:sz w:val="24"/>
          <w:szCs w:val="24"/>
        </w:rPr>
      </w:pPr>
      <w:r>
        <w:tab/>
      </w:r>
      <w:bookmarkStart w:id="67" w:name="_Toc110341304"/>
      <w:r w:rsidRPr="00080D78">
        <w:rPr>
          <w:rFonts w:ascii="Arial" w:hAnsi="Arial" w:cs="Arial"/>
          <w:b/>
          <w:color w:val="000000" w:themeColor="text1"/>
          <w:sz w:val="24"/>
          <w:szCs w:val="24"/>
        </w:rPr>
        <w:t>Appendix A</w:t>
      </w:r>
      <w:r w:rsidR="00080D78" w:rsidRPr="00080D78">
        <w:rPr>
          <w:rFonts w:ascii="Arial" w:hAnsi="Arial" w:cs="Arial"/>
          <w:b/>
          <w:color w:val="000000" w:themeColor="text1"/>
          <w:sz w:val="24"/>
          <w:szCs w:val="24"/>
        </w:rPr>
        <w:t>: RDF Evidence report</w:t>
      </w:r>
      <w:bookmarkEnd w:id="67"/>
    </w:p>
    <w:tbl>
      <w:tblPr>
        <w:tblW w:w="15017"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59"/>
        <w:gridCol w:w="160"/>
        <w:gridCol w:w="160"/>
        <w:gridCol w:w="99"/>
        <w:gridCol w:w="1094"/>
        <w:gridCol w:w="1132"/>
        <w:gridCol w:w="2639"/>
        <w:gridCol w:w="2486"/>
        <w:gridCol w:w="7088"/>
      </w:tblGrid>
      <w:tr w:rsidR="00080D78" w:rsidRPr="00CB69B8" w14:paraId="5D96BD12" w14:textId="77777777" w:rsidTr="00597F9F">
        <w:trPr>
          <w:trHeight w:val="571"/>
        </w:trPr>
        <w:tc>
          <w:tcPr>
            <w:tcW w:w="578"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5936ED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40F819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b/>
                <w:color w:val="000000"/>
                <w:sz w:val="24"/>
                <w:szCs w:val="24"/>
                <w:lang w:eastAsia="en-GB"/>
              </w:rPr>
              <w:t>Date created</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1EBA87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b/>
                <w:color w:val="000000"/>
                <w:sz w:val="24"/>
                <w:szCs w:val="24"/>
                <w:lang w:eastAsia="en-GB"/>
              </w:rPr>
              <w:t>Evidence Type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8AACE0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b/>
                <w:color w:val="000000"/>
                <w:sz w:val="24"/>
                <w:szCs w:val="24"/>
                <w:lang w:eastAsia="en-GB"/>
              </w:rPr>
              <w:t>Evidence title</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BAD97A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b/>
                <w:color w:val="000000"/>
                <w:sz w:val="24"/>
                <w:szCs w:val="24"/>
                <w:lang w:eastAsia="en-GB"/>
              </w:rPr>
              <w:t>Evidence link</w:t>
            </w: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D9F268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b/>
                <w:color w:val="000000"/>
                <w:sz w:val="24"/>
                <w:szCs w:val="24"/>
                <w:lang w:eastAsia="en-GB"/>
              </w:rPr>
              <w:t>Evidence text</w:t>
            </w:r>
          </w:p>
        </w:tc>
      </w:tr>
      <w:tr w:rsidR="00080D78" w:rsidRPr="00CB69B8" w14:paraId="0A99EBCE" w14:textId="77777777" w:rsidTr="00597F9F">
        <w:trPr>
          <w:trHeight w:val="375"/>
        </w:trPr>
        <w:tc>
          <w:tcPr>
            <w:tcW w:w="15017" w:type="dxa"/>
            <w:gridSpan w:val="9"/>
            <w:tcBorders>
              <w:top w:val="single" w:sz="7" w:space="0" w:color="D3D3D3"/>
              <w:left w:val="single" w:sz="7" w:space="0" w:color="D3D3D3"/>
              <w:bottom w:val="single" w:sz="7" w:space="0" w:color="D3D3D3"/>
              <w:right w:val="single" w:sz="7" w:space="0" w:color="D3D3D3"/>
            </w:tcBorders>
            <w:shd w:val="clear" w:color="auto" w:fill="9CDCF8"/>
            <w:tcMar>
              <w:top w:w="39" w:type="dxa"/>
              <w:left w:w="39" w:type="dxa"/>
              <w:bottom w:w="39" w:type="dxa"/>
              <w:right w:w="39" w:type="dxa"/>
            </w:tcMar>
            <w:vAlign w:val="center"/>
          </w:tcPr>
          <w:p w14:paraId="7AE0514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Knowledge and intellectual abilities (A)</w:t>
            </w:r>
          </w:p>
        </w:tc>
      </w:tr>
      <w:tr w:rsidR="00080D78" w:rsidRPr="00CB69B8" w14:paraId="19BFB2F1"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BDE3FA"/>
            <w:tcMar>
              <w:top w:w="39" w:type="dxa"/>
              <w:left w:w="39" w:type="dxa"/>
              <w:bottom w:w="39" w:type="dxa"/>
              <w:right w:w="39" w:type="dxa"/>
            </w:tcMar>
            <w:vAlign w:val="center"/>
          </w:tcPr>
          <w:p w14:paraId="4DF7F28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858" w:type="dxa"/>
            <w:gridSpan w:val="8"/>
            <w:tcBorders>
              <w:top w:val="single" w:sz="7" w:space="0" w:color="D3D3D3"/>
              <w:left w:val="nil"/>
              <w:bottom w:val="single" w:sz="7" w:space="0" w:color="D3D3D3"/>
              <w:right w:val="single" w:sz="7" w:space="0" w:color="D3D3D3"/>
            </w:tcBorders>
            <w:shd w:val="clear" w:color="auto" w:fill="BDE3FA"/>
            <w:tcMar>
              <w:top w:w="39" w:type="dxa"/>
              <w:left w:w="39" w:type="dxa"/>
              <w:bottom w:w="39" w:type="dxa"/>
              <w:right w:w="39" w:type="dxa"/>
            </w:tcMar>
            <w:vAlign w:val="center"/>
          </w:tcPr>
          <w:p w14:paraId="3C1F59A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Knowledge base (A1)</w:t>
            </w:r>
          </w:p>
        </w:tc>
      </w:tr>
      <w:tr w:rsidR="00080D78" w:rsidRPr="00CB69B8" w14:paraId="0CF69B88"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6A40756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45E4F6E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7BE14A9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Subject knowledge</w:t>
            </w:r>
          </w:p>
        </w:tc>
      </w:tr>
      <w:tr w:rsidR="00080D78" w:rsidRPr="00CB69B8" w14:paraId="2A3E905C"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BB977D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536445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DE9DA3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F6614F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1BE20612"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D34EA5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20F126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741CA7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2020BC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8AC07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22/03/21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07442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Link</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CEFE6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three days Online Biofumigation 7symposium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02E55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 https://www.agroscope.ch/biofumigation7</w:t>
            </w: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25740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Attending this conference enabled me to gather new knowledge in the use of cover crops in the process of Biofumigation to suppress soil pathogens, which is relevant to my PhD project. </w:t>
            </w:r>
          </w:p>
        </w:tc>
      </w:tr>
      <w:tr w:rsidR="00080D78" w:rsidRPr="00CB69B8" w14:paraId="76CD2ED1"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90F90D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535748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EC5589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3E5173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B94C5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B25C8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94865A" w14:textId="7CDE17DF"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European society of nematology </w:t>
            </w:r>
            <w:r w:rsidR="003779ED" w:rsidRPr="00CB69B8">
              <w:rPr>
                <w:rFonts w:ascii="Arial" w:eastAsia="Arial" w:hAnsi="Arial" w:cs="Arial"/>
                <w:color w:val="000000"/>
                <w:sz w:val="24"/>
                <w:szCs w:val="24"/>
                <w:lang w:eastAsia="en-GB"/>
              </w:rPr>
              <w:t>virtual conference</w:t>
            </w:r>
            <w:r w:rsidRPr="00CB69B8">
              <w:rPr>
                <w:rFonts w:ascii="Arial" w:eastAsia="Arial" w:hAnsi="Arial" w:cs="Arial"/>
                <w:color w:val="000000"/>
                <w:sz w:val="24"/>
                <w:szCs w:val="24"/>
                <w:lang w:eastAsia="en-GB"/>
              </w:rPr>
              <w:t xml:space="preserv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F3065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46CA5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three days virtual European society of nematologists conference that took place from 26/05/21 to 28/05/21. This was an opportunity to get exposure to new knowledge and ongoing research in the field of nematology. It was also an opportunity to network with fellow nematologists and share ideas. </w:t>
            </w:r>
          </w:p>
        </w:tc>
      </w:tr>
      <w:tr w:rsidR="00080D78" w:rsidRPr="00CB69B8" w14:paraId="4C365B65"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889F62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FB4CAC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5D3E5E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D27657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6CA05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50B54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462B3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virtual AAB advances in nematology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F3F9E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C7CDF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this conference on 15/12/2020 virtually on Zoom meetings. This was an opportunity to be enlightened on ongoing research in the field of nematology as well as learn techniques of oral presentation, poster presentation, and general science communication skills. </w:t>
            </w:r>
          </w:p>
        </w:tc>
      </w:tr>
      <w:tr w:rsidR="00080D78" w:rsidRPr="00CB69B8" w14:paraId="0BF6B989"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C5D0E8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9032CE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9DE8E4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A053D7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12F75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A8600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79FEF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Presentation of research topic during power point presentation training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37D3B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C259A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Present with power_Nyambura .pptx</w:t>
            </w:r>
          </w:p>
        </w:tc>
      </w:tr>
      <w:tr w:rsidR="00080D78" w:rsidRPr="00CB69B8" w14:paraId="757A107D"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3386A0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6485D4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12FDC6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427A42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D1373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4145E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22821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Power point presentation on my research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E4519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19F28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1FA670D0"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66D7776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730BBAB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2406458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Research methods - theoretical knowledge</w:t>
            </w:r>
          </w:p>
        </w:tc>
      </w:tr>
      <w:tr w:rsidR="00080D78" w:rsidRPr="00CB69B8" w14:paraId="1F1059C0"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F429F7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9EBC7F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563D3C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1C0733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52F7867F"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14FD5A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EC3EBE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D3F3D9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E2A96C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E84B9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A8587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559B3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European society of nematology virtual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2FF48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C5BD3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three days virtual European society of nematologists conference that took place from 26/05/21 to 28/05/21. This was an opportunity to get exposure to new knowledge and ongoing research in the field of nematology. It was also an opportunity to network with fellow nematologists and share ideas. </w:t>
            </w:r>
          </w:p>
        </w:tc>
      </w:tr>
      <w:tr w:rsidR="00080D78" w:rsidRPr="00CB69B8" w14:paraId="5615A30E"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CEF887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C53C86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53CCD4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89AC6F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CF22A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72553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3BD6F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B21C6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F8FD2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writing such as Preparation and writing high-quality research papers, understanding editorial process and requirements by editors, identifying credible journals, and best practices for submitting a paper and peer review. </w:t>
            </w:r>
          </w:p>
        </w:tc>
      </w:tr>
      <w:tr w:rsidR="00080D78" w:rsidRPr="00CB69B8" w14:paraId="535DE08E"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71D25A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43A622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ED3DD3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0D959A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51F02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76EBC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3EF31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Seminar series on data analysis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007C5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AEFE4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three days seminar series organised by NEMAFRICA, on 16th july,23rd July and 30th July. The topics covered in the data analysis seminar series included: Data structure and handling, data visualisation and overview of regression analysis all trained in R studio data analysis software. </w:t>
            </w:r>
          </w:p>
        </w:tc>
      </w:tr>
      <w:tr w:rsidR="00080D78" w:rsidRPr="00CB69B8" w14:paraId="206782A8"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37C7D9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9EB6AD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76F8C0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D5BF06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21EBD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627EB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A2F40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virtual AAB advances in nematology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77FB4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EF5A4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this conference on 15/12/2020 virtually on Zoom meetings. This was an opportunity to be enlightened on ongoing research in the field of nematology as well as learn techniques of oral presentation, poster presentation, and general science communication skills. </w:t>
            </w:r>
          </w:p>
        </w:tc>
      </w:tr>
      <w:tr w:rsidR="00080D78" w:rsidRPr="00CB69B8" w14:paraId="41AF1E6F"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E0C1C3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1A3DBE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638DA6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E2084C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939A5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93FA3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F2827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850CC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4791B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r w:rsidR="00080D78" w:rsidRPr="00CB69B8" w14:paraId="03ACF4CE"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62F5E3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23D5DC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743B5B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B9F3B8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BC2C5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FD240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5CCD8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45A6E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20FD9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116236E8"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1D3834B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104C0F7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50F991F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Research methods - practical application</w:t>
            </w:r>
          </w:p>
        </w:tc>
      </w:tr>
      <w:tr w:rsidR="00080D78" w:rsidRPr="00CB69B8" w14:paraId="3CB2DCBF"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FE12B4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C45800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14D92E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809028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2FBABDD3"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4CB4DD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6765C1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5B7CB8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707C68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58ADC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1022C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132AE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Research conference Poster presentation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62788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B68FE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Poster_HAU Conference.pptx</w:t>
            </w:r>
          </w:p>
        </w:tc>
      </w:tr>
      <w:tr w:rsidR="00080D78" w:rsidRPr="00CB69B8" w14:paraId="7D19C83A"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A1110A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BB7ED8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A20CD6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774D57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2D0E8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93B0B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EECAC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Seminar series on data analysis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E6D30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3B2C2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three days seminar series organised by NEMAFRICA, on 16th july,23rd July and 30th July. The topics covered in the data analysis seminar series included: Data structure and handling, data visualisation and overview of regression analysis all trained in R studio data analysis software. </w:t>
            </w:r>
          </w:p>
        </w:tc>
      </w:tr>
      <w:tr w:rsidR="00080D78" w:rsidRPr="00CB69B8" w14:paraId="63BE1FAD"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123672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6386C2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D9AD89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8749F7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16FE1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1F5C8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2C7CA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B710E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110A1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r w:rsidR="00080D78" w:rsidRPr="00CB69B8" w14:paraId="13AAF176"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FD2169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9B8E05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4843D4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02ECEE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C4BAD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4120D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96150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Presentation of research topic during power point presentation training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B0779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E9C15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Present with power_Nyambura (1).pptx</w:t>
            </w:r>
          </w:p>
        </w:tc>
      </w:tr>
      <w:tr w:rsidR="00080D78" w:rsidRPr="00CB69B8" w14:paraId="1771DEAA"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FFE00F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E77563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334A54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5B547F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96D15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E9745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21B60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online webinar on experimental design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5104D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33348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Certificate.pdf</w:t>
            </w:r>
          </w:p>
        </w:tc>
      </w:tr>
      <w:tr w:rsidR="00080D78" w:rsidRPr="00CB69B8" w14:paraId="3D716A86"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677D0E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D95A28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08845E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6EE717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83545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48834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E0E83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Power point presentation on my research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38C93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8C10E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6D783241"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310732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91E0B7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0AA907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A754D4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23203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96F1D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C95AA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A717A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422AF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42D4F9A2"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372CDB9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4EF183A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225570C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Information seeking</w:t>
            </w:r>
          </w:p>
        </w:tc>
      </w:tr>
      <w:tr w:rsidR="00080D78" w:rsidRPr="00CB69B8" w14:paraId="56ACDF94"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F79862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41D73B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8EE228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2B0760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45209084"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10A265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D6D3E2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2F55B1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9B573A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229AC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22/03/21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984DE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Link</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F0BA8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three days Online Biofumigation 7symposium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30DA2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 https://www.agroscope.ch/biofumigation7</w:t>
            </w: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2E953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Attending this conference enabled me to gather new knowledge in the use of cover crops in the process of Biofumigation to suppress soil pathogens, which is relevant to my PhD project. </w:t>
            </w:r>
          </w:p>
        </w:tc>
      </w:tr>
      <w:tr w:rsidR="00080D78" w:rsidRPr="00CB69B8" w14:paraId="60D45717"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D54F0E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EAA4BF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6314D9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C79CA2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4C4A0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BFBF1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11933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European society of nematology virtual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498CF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B2578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three days virtual European society of nematologists conference that took place from 26/05/21 to 28/05/21. This was an opportunity to get exposure to new knowledge and ongoing research in the field of nematology. It was also an opportunity to network with fellow nematologists and share ideas. </w:t>
            </w:r>
          </w:p>
        </w:tc>
      </w:tr>
      <w:tr w:rsidR="00080D78" w:rsidRPr="00CB69B8" w14:paraId="460B8D34"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D1DFC2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26016A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B50CE8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60F885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EEBBD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A8E41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43676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E1B4F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E8B24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writing such as Preparation and writing high-quality research papers, understanding editorial process and requirements by </w:t>
            </w:r>
            <w:r w:rsidRPr="00CB69B8">
              <w:rPr>
                <w:rFonts w:ascii="Arial" w:eastAsia="Arial" w:hAnsi="Arial" w:cs="Arial"/>
                <w:color w:val="000000"/>
                <w:sz w:val="24"/>
                <w:szCs w:val="24"/>
                <w:lang w:eastAsia="en-GB"/>
              </w:rPr>
              <w:lastRenderedPageBreak/>
              <w:t xml:space="preserve">editors, identifying credible journals, and best practices for submitting a paper and peer review. </w:t>
            </w:r>
          </w:p>
        </w:tc>
      </w:tr>
      <w:tr w:rsidR="00080D78" w:rsidRPr="00CB69B8" w14:paraId="5F0AC0B2"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434EE1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D9DC46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884DFD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C8CF47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8AF7C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5188B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F7412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Seminar series on data analysis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8C53F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7EAEF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three days seminar series organised by NEMAFRICA, on 16th july,23rd July and 30th July. The topics covered in the data analysis seminar series included: Data structure and handling, data visualisation and overview of regression analysis all trained in R studio data analysis software. </w:t>
            </w:r>
          </w:p>
        </w:tc>
      </w:tr>
      <w:tr w:rsidR="00080D78" w:rsidRPr="00CB69B8" w14:paraId="7C9E3ECB"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A8F68B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AB2396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2522D3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59C90C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6B3CA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0266A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29C16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virtual AAB advances in nematology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EE76D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522D3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this conference on 15/12/2020 virtually on Zoom meetings. This was an opportunity to be enlightened on ongoing research in the field of nematology as well as learn techniques of oral presentation, poster presentation, and general science communication skills. </w:t>
            </w:r>
          </w:p>
        </w:tc>
      </w:tr>
      <w:tr w:rsidR="00080D78" w:rsidRPr="00CB69B8" w14:paraId="6D4A666E"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DDBF67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A8A414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4F69CF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3F1036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1C656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6BECB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65652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E64B0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D93EC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r w:rsidR="00080D78" w:rsidRPr="00CB69B8" w14:paraId="11D8CF12"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A4879C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973BB4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7E373C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BDE220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CBC32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0B796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3C448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online webinar on experimental design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1D8AB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5E831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Certificate.pdf</w:t>
            </w:r>
          </w:p>
        </w:tc>
      </w:tr>
      <w:tr w:rsidR="00080D78" w:rsidRPr="00CB69B8" w14:paraId="40132723"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58CAFB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13DF8F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183F9E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F16461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8CBFC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A5C9D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3C74A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53EBB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864BB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4266A5D1"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39D12F0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2905D3B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5F97175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Information literacy and management</w:t>
            </w:r>
          </w:p>
        </w:tc>
      </w:tr>
      <w:tr w:rsidR="00080D78" w:rsidRPr="00CB69B8" w14:paraId="76961C1F"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6F4148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CC42B1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CB656C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A2C751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2F3315E7"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7C1C6B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FF2866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61AB80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A125DC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A54E2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22/03/21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B2F49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Link</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5D61C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three days Online Biofumigation 7symposium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7DCA5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 https://www.agroscope.ch/biofumigation7</w:t>
            </w: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C94A4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Attending this conference enabled me to gather new knowledge in the use of cover crops in the process of biofumigation to suppress soil pathogens, which is relevant to my PhD project. </w:t>
            </w:r>
          </w:p>
        </w:tc>
      </w:tr>
      <w:tr w:rsidR="00080D78" w:rsidRPr="00CB69B8" w14:paraId="60CB8CCC"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5DC1AD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7FF188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05CCC2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3100D2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D5014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9F13E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CA67B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F9D4A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612B6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writing such as Preparation and writing high-quality research papers, understanding editorial process and requirements by editors, identifying credible journals, and best practices for submitting a paper and peer review. </w:t>
            </w:r>
          </w:p>
        </w:tc>
      </w:tr>
      <w:tr w:rsidR="00080D78" w:rsidRPr="00CB69B8" w14:paraId="55AB39AF"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BE561A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9DFFA9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09D523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E68D0C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1DCA8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EFFA2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5CAB3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Seminar series on data analysis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206EC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46014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three days seminar series organised by NEMAFRICA, on 16th july,23rd July and 30th July. The topics covered in the data analysis seminar series included: Data structure and handling, data visualisation and overview of regression analysis all trained in R studio data analysis software. </w:t>
            </w:r>
          </w:p>
        </w:tc>
      </w:tr>
      <w:tr w:rsidR="00080D78" w:rsidRPr="00CB69B8" w14:paraId="61429AD3"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4D0E05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C3A52E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48C1D3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E49E65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16F1F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4CB67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FFEB9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virtual AAB advances in nematology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FEA25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A7390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this conference on 15/12/2020 virtually on Zoom meetings. This was an opportunity to be enlightened on ongoing research in the field of nematology as well as learn techniques of oral presentation, poster presentation, and general science communication skills. </w:t>
            </w:r>
          </w:p>
        </w:tc>
      </w:tr>
      <w:tr w:rsidR="00080D78" w:rsidRPr="00CB69B8" w14:paraId="6F459700"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33A8B1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7F69D3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AF91E3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20A084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EBE71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0CC3F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C651B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3AA14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4A87B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r w:rsidR="00080D78" w:rsidRPr="00CB69B8" w14:paraId="1B7BD32F"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BBED03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2459E9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3E13EC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33215C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7B84E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A6A8E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AA599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Presentation of research topic during power point presentation training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3CE8F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C28BD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Present with power_Nyambura (1).pptx</w:t>
            </w:r>
          </w:p>
        </w:tc>
      </w:tr>
      <w:tr w:rsidR="00080D78" w:rsidRPr="00CB69B8" w14:paraId="1B2A0BEA"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861734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D8FAC3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BCF13A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231945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14503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56A8B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92969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online webinar on experimental design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A82EA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12393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Certificate.pdf</w:t>
            </w:r>
          </w:p>
        </w:tc>
      </w:tr>
      <w:tr w:rsidR="00080D78" w:rsidRPr="00CB69B8" w14:paraId="6FC0E1EB"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717D01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795CC0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8C0A1A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106423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27C4F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BC61B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FE9568" w14:textId="4929B1B3"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Power point presentation on my </w:t>
            </w:r>
            <w:r w:rsidR="007B4207" w:rsidRPr="00CB69B8">
              <w:rPr>
                <w:rFonts w:ascii="Arial" w:eastAsia="Arial" w:hAnsi="Arial" w:cs="Arial"/>
                <w:color w:val="000000"/>
                <w:sz w:val="24"/>
                <w:szCs w:val="24"/>
                <w:lang w:eastAsia="en-GB"/>
              </w:rPr>
              <w:t>research</w:t>
            </w:r>
            <w:r w:rsidRPr="00CB69B8">
              <w:rPr>
                <w:rFonts w:ascii="Arial" w:eastAsia="Arial" w:hAnsi="Arial" w:cs="Arial"/>
                <w:color w:val="000000"/>
                <w:sz w:val="24"/>
                <w:szCs w:val="24"/>
                <w:lang w:eastAsia="en-GB"/>
              </w:rPr>
              <w:t xml:space="preserve">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B6996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27464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01DE6F6C"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5A7EE6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672C7C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C66102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28593B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8173A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3EBE2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1110D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BFF6E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70AE6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61450B29"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4D652DD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3D9C865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38DBBF4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Academic literacy and numeracy</w:t>
            </w:r>
          </w:p>
        </w:tc>
      </w:tr>
      <w:tr w:rsidR="00080D78" w:rsidRPr="00CB69B8" w14:paraId="52114A88"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0CA08F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1C7139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D469D1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9050EA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7F705E80"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C65201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E8D06A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344BE3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F40ED8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E5802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22/03/21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723AC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Link</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45994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three days Online Biofumigation 7symposium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15AFA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 https://www.agroscope.ch/biofumigation7</w:t>
            </w: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006D5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Attending this conference enabled me to gather new knowledge in the use of cover crops in the process of biofumigation to suppress soil pathogens, which is relevant to my PhD project. </w:t>
            </w:r>
          </w:p>
        </w:tc>
      </w:tr>
      <w:tr w:rsidR="00080D78" w:rsidRPr="00CB69B8" w14:paraId="6DFAB51F"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4E64CE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2215C9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4E9CD7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87B57E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E8B37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3A38B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9FC0B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Research conference Poster presentation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B20C3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8AA57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Poster_HAU Conference.pptx</w:t>
            </w:r>
          </w:p>
        </w:tc>
      </w:tr>
      <w:tr w:rsidR="00080D78" w:rsidRPr="00CB69B8" w14:paraId="66C9A0BE"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6035FD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A81C05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EBD54C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06B0BF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B71E9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1D0CC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7FEF2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European society of nematology virtual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079D1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224BF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three days virtual European society of nematologists conference that took place from 26/05/21 to 28/05/21. This was an opportunity to get exposure to new knowledge and ongoing research in the field of nematology. It was also an opportunity to network with fellow nematologists and share ideas. </w:t>
            </w:r>
          </w:p>
        </w:tc>
      </w:tr>
      <w:tr w:rsidR="00080D78" w:rsidRPr="00CB69B8" w14:paraId="5DBFE78D"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0287A9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BF36CA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49B802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C8F66C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67A72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8382F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441FB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825F9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9AEE9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writing such as Preparation and writing high-quality research </w:t>
            </w:r>
            <w:r w:rsidRPr="00CB69B8">
              <w:rPr>
                <w:rFonts w:ascii="Arial" w:eastAsia="Arial" w:hAnsi="Arial" w:cs="Arial"/>
                <w:color w:val="000000"/>
                <w:sz w:val="24"/>
                <w:szCs w:val="24"/>
                <w:lang w:eastAsia="en-GB"/>
              </w:rPr>
              <w:lastRenderedPageBreak/>
              <w:t xml:space="preserve">papers, understanding editorial process and requirements by editors, identifying credible journals, and best practices for submitting a paper and peer review. </w:t>
            </w:r>
          </w:p>
        </w:tc>
      </w:tr>
      <w:tr w:rsidR="00080D78" w:rsidRPr="00CB69B8" w14:paraId="7B0D8F17"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622FE1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77B7BF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74FC65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A78CB0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109F3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B896C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7D716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virtual AAB advances in nematology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73D10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27199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this conference on 15/12/2020 virtually on Zoom meetings. This was an opportunity to be enlightened on ongoing research in the field of nematology as well as learn techniques of oral presentation, poster presentation, and general science communication skills. </w:t>
            </w:r>
          </w:p>
        </w:tc>
      </w:tr>
      <w:tr w:rsidR="00080D78" w:rsidRPr="00CB69B8" w14:paraId="2E4A7AAD"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237725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42B7AA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30D583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1FD55D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D33DF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FC752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267BB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65A1B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FA52E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r w:rsidR="00080D78" w:rsidRPr="00CB69B8" w14:paraId="262DA017"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A50F8C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F6460B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8DEA9A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11EC0A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D1E33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05B9C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B5AFA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Presentation of research topic during power point presentation training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1FC29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79653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Present with power_Nyambura (1).pptx</w:t>
            </w:r>
          </w:p>
        </w:tc>
      </w:tr>
      <w:tr w:rsidR="00080D78" w:rsidRPr="00CB69B8" w14:paraId="582B8205"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F635E6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229A3A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2774E3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601C34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ACF59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57C08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811CD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online webinar on experimental design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3CF16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05A8D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Certificate.pdf</w:t>
            </w:r>
          </w:p>
        </w:tc>
      </w:tr>
      <w:tr w:rsidR="00080D78" w:rsidRPr="00CB69B8" w14:paraId="7581FC83"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827D6F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B6E200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ACEF6F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0E566C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A5B71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6DC76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83A72" w14:textId="27AA873D"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Power point presentation on my </w:t>
            </w:r>
            <w:r w:rsidR="007B4207" w:rsidRPr="00CB69B8">
              <w:rPr>
                <w:rFonts w:ascii="Arial" w:eastAsia="Arial" w:hAnsi="Arial" w:cs="Arial"/>
                <w:color w:val="000000"/>
                <w:sz w:val="24"/>
                <w:szCs w:val="24"/>
                <w:lang w:eastAsia="en-GB"/>
              </w:rPr>
              <w:t>research</w:t>
            </w:r>
            <w:r w:rsidRPr="00CB69B8">
              <w:rPr>
                <w:rFonts w:ascii="Arial" w:eastAsia="Arial" w:hAnsi="Arial" w:cs="Arial"/>
                <w:color w:val="000000"/>
                <w:sz w:val="24"/>
                <w:szCs w:val="24"/>
                <w:lang w:eastAsia="en-GB"/>
              </w:rPr>
              <w:t xml:space="preserve">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371AE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0F000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5AA5316D"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6C12F3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C3D341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304FBE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141803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DFFAD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A713E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B339D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BDE9E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C3411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6928DD0B"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BDE3FA"/>
            <w:tcMar>
              <w:top w:w="39" w:type="dxa"/>
              <w:left w:w="39" w:type="dxa"/>
              <w:bottom w:w="39" w:type="dxa"/>
              <w:right w:w="39" w:type="dxa"/>
            </w:tcMar>
            <w:vAlign w:val="center"/>
          </w:tcPr>
          <w:p w14:paraId="0E65F82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858" w:type="dxa"/>
            <w:gridSpan w:val="8"/>
            <w:tcBorders>
              <w:top w:val="single" w:sz="7" w:space="0" w:color="D3D3D3"/>
              <w:left w:val="nil"/>
              <w:bottom w:val="single" w:sz="7" w:space="0" w:color="D3D3D3"/>
              <w:right w:val="single" w:sz="7" w:space="0" w:color="D3D3D3"/>
            </w:tcBorders>
            <w:shd w:val="clear" w:color="auto" w:fill="BDE3FA"/>
            <w:tcMar>
              <w:top w:w="39" w:type="dxa"/>
              <w:left w:w="39" w:type="dxa"/>
              <w:bottom w:w="39" w:type="dxa"/>
              <w:right w:w="39" w:type="dxa"/>
            </w:tcMar>
            <w:vAlign w:val="center"/>
          </w:tcPr>
          <w:p w14:paraId="78EE4DB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Cognitive abilities (A2)</w:t>
            </w:r>
          </w:p>
        </w:tc>
      </w:tr>
      <w:tr w:rsidR="00080D78" w:rsidRPr="00CB69B8" w14:paraId="6F74E660"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5FB4CE3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3658821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7C84030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Analysing</w:t>
            </w:r>
          </w:p>
        </w:tc>
      </w:tr>
      <w:tr w:rsidR="00080D78" w:rsidRPr="00CB69B8" w14:paraId="304DDE6B"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2B6F1F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F6DDC7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4AF703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9709D4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2F88BE7F"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65A88D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A413F8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42F158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D5AB78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40D40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22/03/21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12B34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Link</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75C25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three days Online Biofumigation 7symposium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ACE82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 https://www.agroscope.ch/biofumigation7</w:t>
            </w: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541A7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Attending this conference enabled me to gather new knowledge in the use of cover crops in the process of Biofumigation to suppress soil pathogens, which is relevant to my PhD project. </w:t>
            </w:r>
          </w:p>
        </w:tc>
      </w:tr>
      <w:tr w:rsidR="00080D78" w:rsidRPr="00CB69B8" w14:paraId="5297427E"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C00D18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671DA4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8D02AF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50D16A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2AE51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A3E79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F8813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Research conference Poster presentation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811FE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B09D8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Poster_HAU Conference.pptx</w:t>
            </w:r>
          </w:p>
        </w:tc>
      </w:tr>
      <w:tr w:rsidR="00080D78" w:rsidRPr="00CB69B8" w14:paraId="124B108D"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FDEB37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D96BD7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AEF0F5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02B59C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20592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09CF1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59901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F9EF8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666C0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writing such as Preparation and writing high-quality research papers, understanding editorial process and requirements by editors, identifying credible journals, and best practices for submitting a paper and peer review. </w:t>
            </w:r>
          </w:p>
        </w:tc>
      </w:tr>
      <w:tr w:rsidR="00080D78" w:rsidRPr="00CB69B8" w14:paraId="38D6FBC6"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4C6BA0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6DC73D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254E74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E3894E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B48DF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B85F0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2379D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Seminar series on data analysis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05500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DC9F4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three days seminar series organised by NEMAFRICA, on 16th july,23rd July and 30th July. The topics covered in the data analysis seminar series included: Data structure and handling, data visualisation and overview of regression analysis all trained in R studio data analysis software. </w:t>
            </w:r>
          </w:p>
        </w:tc>
      </w:tr>
      <w:tr w:rsidR="00080D78" w:rsidRPr="00CB69B8" w14:paraId="5DF8D296"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A85BD3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7B98C9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454AA3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F12125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57373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EE83D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4390F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Presentation of research topic during power point presentation training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1C20E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261B7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Present with power_Nyambura (1).pptx</w:t>
            </w:r>
          </w:p>
        </w:tc>
      </w:tr>
      <w:tr w:rsidR="00080D78" w:rsidRPr="00CB69B8" w14:paraId="5E06119F"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DB3B86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2B6478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5E3909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62DC1D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71898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B4E92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60C44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online webinar on experimental design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57769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6E718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Certificate.pdf</w:t>
            </w:r>
          </w:p>
        </w:tc>
      </w:tr>
      <w:tr w:rsidR="00080D78" w:rsidRPr="00CB69B8" w14:paraId="310003F1"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9DEE8D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7973F0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05A790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9E1572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D8948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C715C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9C1EA1" w14:textId="7966F581"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Power point presentation on my </w:t>
            </w:r>
            <w:r w:rsidR="007B4207" w:rsidRPr="00CB69B8">
              <w:rPr>
                <w:rFonts w:ascii="Arial" w:eastAsia="Arial" w:hAnsi="Arial" w:cs="Arial"/>
                <w:color w:val="000000"/>
                <w:sz w:val="24"/>
                <w:szCs w:val="24"/>
                <w:lang w:eastAsia="en-GB"/>
              </w:rPr>
              <w:t>research</w:t>
            </w:r>
            <w:r w:rsidRPr="00CB69B8">
              <w:rPr>
                <w:rFonts w:ascii="Arial" w:eastAsia="Arial" w:hAnsi="Arial" w:cs="Arial"/>
                <w:color w:val="000000"/>
                <w:sz w:val="24"/>
                <w:szCs w:val="24"/>
                <w:lang w:eastAsia="en-GB"/>
              </w:rPr>
              <w:t xml:space="preserve">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4FF96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20BD0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3E38867F"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8A404F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75EB44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7378F2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97C2A1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6729B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B8336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992C7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4CC67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65FA1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1A1E252A"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198C81D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3E5CF3E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0F06FCD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Synthesising</w:t>
            </w:r>
          </w:p>
        </w:tc>
      </w:tr>
      <w:tr w:rsidR="00080D78" w:rsidRPr="00CB69B8" w14:paraId="704098DC"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1846F1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0A5722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6185A7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F53787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145C579D"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9351C0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581B00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B4AFB3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6957FA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4EBC0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22/03/21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901F4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Link</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0CAC4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three days Online Biofumigation 7symposium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38FBB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 https://www.agroscope.ch/biofumigation7</w:t>
            </w: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1CE3C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Attending this conference enabled me to gather new knowledge in the use of cover crops in the process of Biofumigation to suppress soil pathogens, which is relevant to my PhD project. </w:t>
            </w:r>
          </w:p>
        </w:tc>
      </w:tr>
      <w:tr w:rsidR="00080D78" w:rsidRPr="00CB69B8" w14:paraId="4DB5706C"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599EC9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D162C6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6B34E0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7C63DB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39512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EBBC5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A5D1E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European society of nematology virtual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71E1B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ECBA5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three days virtual European society of nematologists conference that took place from 26/05/21 to 28/05/21. This was an opportunity to get exposure to new knowledge and ongoing research in the field of nematology. It was also an opportunity to network with fellow nematologists and share ideas. </w:t>
            </w:r>
          </w:p>
        </w:tc>
      </w:tr>
      <w:tr w:rsidR="00080D78" w:rsidRPr="00CB69B8" w14:paraId="786C388C"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4A6D0C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EA336B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676993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EE1B10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51E4C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C3D61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F99BC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DA168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A029B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writing such as Preparation and writing high-quality research papers, understanding editorial process and requirements by editors, identifying credible journals, and best practices for submitting a paper and peer review. </w:t>
            </w:r>
          </w:p>
        </w:tc>
      </w:tr>
      <w:tr w:rsidR="00080D78" w:rsidRPr="00CB69B8" w14:paraId="4188F6B7"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AC25D7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D88F80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AA0BF5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3D89A4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A2BE4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6A7DA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62B9F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Seminar series on data analysis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8449A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0BB76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three days seminar series organised by NEMAFRICA, on 16th july,23rd July and 30th July. The topics </w:t>
            </w:r>
            <w:r w:rsidRPr="00CB69B8">
              <w:rPr>
                <w:rFonts w:ascii="Arial" w:eastAsia="Arial" w:hAnsi="Arial" w:cs="Arial"/>
                <w:color w:val="000000"/>
                <w:sz w:val="24"/>
                <w:szCs w:val="24"/>
                <w:lang w:eastAsia="en-GB"/>
              </w:rPr>
              <w:lastRenderedPageBreak/>
              <w:t xml:space="preserve">covered in the data analysis seminar series included: Data structure and handling, data visualisation and overview of regression analysis all trained in R studio data analysis software. </w:t>
            </w:r>
          </w:p>
        </w:tc>
      </w:tr>
      <w:tr w:rsidR="00080D78" w:rsidRPr="00CB69B8" w14:paraId="1C297307"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E6D98B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D88238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AC6FE3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F12F1C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D20D7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5ACA6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145C5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virtual AAB advances in nematology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26430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E7295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this conference on 15/12/2020 virtually on Zoom meetings. This was an opportunity to be enlightened on ongoing research in the field of nematology as well as learn techniques of oral presentation, poster presentation, and general science communication skills. </w:t>
            </w:r>
          </w:p>
        </w:tc>
      </w:tr>
      <w:tr w:rsidR="00080D78" w:rsidRPr="00CB69B8" w14:paraId="0098044B"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D2EA28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11DA40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92A86F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F88BD8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DC86E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309DC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2245F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E3110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116D3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r w:rsidR="00080D78" w:rsidRPr="00CB69B8" w14:paraId="2431D11F"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2E969E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F9035F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A72CD0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131256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754E7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5007D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49B06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Presentation of research topic during power point presentation training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021FF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90FC7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Present with power_Nyambura (1).pptx</w:t>
            </w:r>
          </w:p>
        </w:tc>
      </w:tr>
      <w:tr w:rsidR="00080D78" w:rsidRPr="00CB69B8" w14:paraId="4E61FC89"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6306A1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A62569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9A1743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1F532A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A44EF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76129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B4729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online webinar on experimental design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9DD49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F2743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Certificate.pdf</w:t>
            </w:r>
          </w:p>
        </w:tc>
      </w:tr>
      <w:tr w:rsidR="00080D78" w:rsidRPr="00CB69B8" w14:paraId="735EE98E"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021EC6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0774D6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BE1AA1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B47BC6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13992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E7500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F4D9E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Power point presentation on my research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576A5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96C70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4BEFC52B"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B32D06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771641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418D4E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7ACEEB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4E0CC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4C767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69CD8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FDCE1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D733E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3FE6122E"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486BD3B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6BA51BA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38235E5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Critical thinking</w:t>
            </w:r>
          </w:p>
        </w:tc>
      </w:tr>
      <w:tr w:rsidR="00080D78" w:rsidRPr="00CB69B8" w14:paraId="36BB5E2E"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85456D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695223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24D9DC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6AA84F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04FC023B"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D18E6D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F5DE2E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FD5EB3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CAC90A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35B53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7731A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B82EE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Research conference Poster presentation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EB408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1796A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Poster_HAU Conference.pptx</w:t>
            </w:r>
          </w:p>
        </w:tc>
      </w:tr>
      <w:tr w:rsidR="00080D78" w:rsidRPr="00CB69B8" w14:paraId="22E52294"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2EE385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7F3860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46A2F2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8A0FA1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A6F9E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CEF46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83F90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F6407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12E4E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writing such as Preparation and writing high-quality research papers, understanding editorial process and requirements by editors, identifying credible journals, and best practices for submitting a paper and peer review. </w:t>
            </w:r>
          </w:p>
        </w:tc>
      </w:tr>
      <w:tr w:rsidR="00080D78" w:rsidRPr="00CB69B8" w14:paraId="7BB3B9E7"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B6C505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55426B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85E7BB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BBD2CF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73DC5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DA090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98DCD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Seminar series on data analysis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5DA7E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FE594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three days seminar series organised by NEMAFRICA, on 16th july,23rd July and 30th July. The topics covered in the data analysis seminar series included: Data structure and handling, data visualisation and overview of regression analysis all trained in R studio data analysis software. </w:t>
            </w:r>
          </w:p>
        </w:tc>
      </w:tr>
      <w:tr w:rsidR="00080D78" w:rsidRPr="00CB69B8" w14:paraId="20569921"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8EFCD3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2A0082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06585D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1CCD33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CEADD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F0871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7B8A1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virtual AAB advances in nematology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6CB30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1CC8F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this conference on 15/12/2020 virtually on Zoom meetings. This was an opportunity to be enlightened on ongoing research in the field of nematology as well as learn techniques of oral presentation, poster presentation, and general science communication skills. </w:t>
            </w:r>
          </w:p>
        </w:tc>
      </w:tr>
      <w:tr w:rsidR="00080D78" w:rsidRPr="00CB69B8" w14:paraId="236464C2"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53D41F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A182BF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C5BAC5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3F0AC3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0B0BC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CE9BD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3C7D5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A0557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FC2D5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r w:rsidR="00080D78" w:rsidRPr="00CB69B8" w14:paraId="006605B3"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D7A2D8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330B58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EB206E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EC0224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F03E4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92425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08234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Presentation of research topic during power point presentation training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3E37A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E8F75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Present with power_Nyambura (1).pptx</w:t>
            </w:r>
          </w:p>
        </w:tc>
      </w:tr>
      <w:tr w:rsidR="00080D78" w:rsidRPr="00CB69B8" w14:paraId="123AF618"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4F55AD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3AC1BB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CB0299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D39B96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8AECB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A77D0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741B8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Power point presentation on my research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510DD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8CDE5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54B2B06C"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AFFB08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E2566D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BE740E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1B21FA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764BC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45C48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91EBA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093EE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BE0AD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1C580AEE"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662702A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019E0F0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27B315C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Evaluating</w:t>
            </w:r>
          </w:p>
        </w:tc>
      </w:tr>
      <w:tr w:rsidR="00080D78" w:rsidRPr="00CB69B8" w14:paraId="5257AF95"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8A806F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11F2FC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4785D2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899762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7328B72B"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8F7BE0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342A0D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E2005D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D8D888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BBD1C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22/03/21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6B894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Link</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7D1A8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three days Online Biofumigation 7symposium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6F119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 https://www.agroscope.ch/biofumigation7</w:t>
            </w: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03C85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Attending this conference enabled me to gather new knowledge in the use of cover crops in the process of Biofumigation to suppress soil pathogens, which is relevant to my PhD project. </w:t>
            </w:r>
          </w:p>
        </w:tc>
      </w:tr>
      <w:tr w:rsidR="00080D78" w:rsidRPr="00CB69B8" w14:paraId="63772391"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C07F49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8401EF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EF02A1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E8C929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DFC46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7F7E3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18C33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0511C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87C40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writing such as Preparation and writing high-quality research papers, understanding editorial process and requirements by editors, identifying credible journals, and best practices for submitting a paper and peer review. </w:t>
            </w:r>
          </w:p>
        </w:tc>
      </w:tr>
      <w:tr w:rsidR="00080D78" w:rsidRPr="00CB69B8" w14:paraId="674F1B02"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C9C5D4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5B319F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2F853A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BAEF51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FDDDC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33263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4E806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Seminar series on data analysis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A0902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C75D3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three days seminar series organised by NEMAFRICA, on 16th july,23rd July and 30th July. The topics covered in the data analysis seminar series included: Data structure and handling, data visualisation and overview of regression analysis all trained in R studio data analysis software. </w:t>
            </w:r>
          </w:p>
        </w:tc>
      </w:tr>
      <w:tr w:rsidR="00080D78" w:rsidRPr="00CB69B8" w14:paraId="753C855D"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0CBFF6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D111C6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47B986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49259F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93566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67052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3CE76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virtual AAB advances in nematology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85620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0DC49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this conference on 15/12/2020 virtually on Zoom meetings. This was an opportunity to be enlightened on ongoing research in the field of nematology as well as learn techniques of oral presentation, poster presentation, and general science communication skills. </w:t>
            </w:r>
          </w:p>
        </w:tc>
      </w:tr>
      <w:tr w:rsidR="00080D78" w:rsidRPr="00CB69B8" w14:paraId="779AE3EE"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DD538D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7F1A9D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D0D062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7B2D63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D1156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301D2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DBA5E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7974D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849D7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r w:rsidR="00080D78" w:rsidRPr="00CB69B8" w14:paraId="51205ABE"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C2716A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29CBB7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1CFAF6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789A61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B6853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228C2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671B3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Presentation of research topic during power point presentation training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BFA8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16D61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Present with power_Nyambura (1).pptx</w:t>
            </w:r>
          </w:p>
        </w:tc>
      </w:tr>
      <w:tr w:rsidR="00080D78" w:rsidRPr="00CB69B8" w14:paraId="74C3B0F2"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14606C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680209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C6F488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43F213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E911B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598D2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8995D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online webinar on experimental design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46568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72A22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Certificate.pdf</w:t>
            </w:r>
          </w:p>
        </w:tc>
      </w:tr>
      <w:tr w:rsidR="00080D78" w:rsidRPr="00CB69B8" w14:paraId="042FCB5B"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2681AA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ED2E09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AFFDB7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493952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CD33F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4E37F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C58D9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Power point presentation on my research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D4CC2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A9550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02F05CBB"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899256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63D5F0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B734B4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11B1A4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CB5CC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B2E91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A4733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E5D63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5884E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2EB6B146"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5A22234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6AB1827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36E5F36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Problem solving</w:t>
            </w:r>
          </w:p>
        </w:tc>
      </w:tr>
      <w:tr w:rsidR="00080D78" w:rsidRPr="00CB69B8" w14:paraId="154F478B"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1BB868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224901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FB8417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AB3F87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45A046C4"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D786B5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FBA221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2BAF5D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976345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C3A5E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C0921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B264C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Seminar series on data analysis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D05AD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39C75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three days seminar series organised by NEMAFRICA, on 16th july,23rd July and 30th July. The topics covered in the data analysis seminar series included: Data structure and handling, data visualisation and overview of regression analysis all trained in R studio data analysis software. </w:t>
            </w:r>
          </w:p>
        </w:tc>
      </w:tr>
      <w:tr w:rsidR="00080D78" w:rsidRPr="00CB69B8" w14:paraId="11983558"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0C7ACF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743387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8D980D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B31D6D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0B91D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E653F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2F544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online webinar on experimental design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C0770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A2A4C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Certificate.pdf</w:t>
            </w:r>
          </w:p>
        </w:tc>
      </w:tr>
      <w:tr w:rsidR="00080D78" w:rsidRPr="00CB69B8" w14:paraId="71901E19"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7433CA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97A715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959EF1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A35335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FEA9F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CAD55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66A95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Power point presentation on my research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7B66C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233AB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69475D66"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0DF97F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CD50A4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3F8778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E0E23D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812EE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F0C77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218DA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45177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A10B9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4042C449"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BDE3FA"/>
            <w:tcMar>
              <w:top w:w="39" w:type="dxa"/>
              <w:left w:w="39" w:type="dxa"/>
              <w:bottom w:w="39" w:type="dxa"/>
              <w:right w:w="39" w:type="dxa"/>
            </w:tcMar>
            <w:vAlign w:val="center"/>
          </w:tcPr>
          <w:p w14:paraId="71D70A5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858" w:type="dxa"/>
            <w:gridSpan w:val="8"/>
            <w:tcBorders>
              <w:top w:val="single" w:sz="7" w:space="0" w:color="D3D3D3"/>
              <w:left w:val="nil"/>
              <w:bottom w:val="single" w:sz="7" w:space="0" w:color="D3D3D3"/>
              <w:right w:val="single" w:sz="7" w:space="0" w:color="D3D3D3"/>
            </w:tcBorders>
            <w:shd w:val="clear" w:color="auto" w:fill="BDE3FA"/>
            <w:tcMar>
              <w:top w:w="39" w:type="dxa"/>
              <w:left w:w="39" w:type="dxa"/>
              <w:bottom w:w="39" w:type="dxa"/>
              <w:right w:w="39" w:type="dxa"/>
            </w:tcMar>
            <w:vAlign w:val="center"/>
          </w:tcPr>
          <w:p w14:paraId="61B38D5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Creativity (A3)</w:t>
            </w:r>
          </w:p>
        </w:tc>
      </w:tr>
      <w:tr w:rsidR="00080D78" w:rsidRPr="00CB69B8" w14:paraId="265BE052"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5C70F16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73E9977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6364A00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Inquiring mind</w:t>
            </w:r>
          </w:p>
        </w:tc>
      </w:tr>
      <w:tr w:rsidR="00080D78" w:rsidRPr="00CB69B8" w14:paraId="02ED1143"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DB970F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E2FC95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A4CC48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E1B934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411C014D"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BBBF98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55F8C4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D94618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06EF9B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6EFB1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A33C6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512B3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Research conference Poster presentation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F390C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0529A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Poster_HAU Conference.pptx</w:t>
            </w:r>
          </w:p>
        </w:tc>
      </w:tr>
      <w:tr w:rsidR="00080D78" w:rsidRPr="00CB69B8" w14:paraId="096DD2DC"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A6AB6B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AEFAEB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80DA8F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F17344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3DD5C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3ECD1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4DF199" w14:textId="62433A93"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European society of nematology </w:t>
            </w:r>
            <w:r w:rsidR="007B4207" w:rsidRPr="00CB69B8">
              <w:rPr>
                <w:rFonts w:ascii="Arial" w:eastAsia="Arial" w:hAnsi="Arial" w:cs="Arial"/>
                <w:color w:val="000000"/>
                <w:sz w:val="24"/>
                <w:szCs w:val="24"/>
                <w:lang w:eastAsia="en-GB"/>
              </w:rPr>
              <w:t>virtual conference</w:t>
            </w:r>
            <w:r w:rsidRPr="00CB69B8">
              <w:rPr>
                <w:rFonts w:ascii="Arial" w:eastAsia="Arial" w:hAnsi="Arial" w:cs="Arial"/>
                <w:color w:val="000000"/>
                <w:sz w:val="24"/>
                <w:szCs w:val="24"/>
                <w:lang w:eastAsia="en-GB"/>
              </w:rPr>
              <w:t xml:space="preserv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3A4E2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D40FC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three days virtual European society of nematologists conference that took place from 26/05/21 to 28/05/21. This was an opportunity to get exposure to new knowledge and ongoing research in the field of nematology. It was also an opportunity to network with fellow nematologists and share ideas. </w:t>
            </w:r>
          </w:p>
        </w:tc>
      </w:tr>
      <w:tr w:rsidR="00080D78" w:rsidRPr="00CB69B8" w14:paraId="2A5B6588"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53EF0A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AA403D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13578D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B69F9D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A1B0B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05955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3E957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Seminar series on data analysis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F93A9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4A9C4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three days seminar series organised by NEMAFRICA, on 16th july,23rd July and 30th July. The topics covered in the data analysis seminar series included: Data structure and handling, data visualisation and overview of regression analysis all trained in R studio data analysis software. </w:t>
            </w:r>
          </w:p>
        </w:tc>
      </w:tr>
      <w:tr w:rsidR="00080D78" w:rsidRPr="00CB69B8" w14:paraId="6CF4F653"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F52DC4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8D9BA1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3C572A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8CB55A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A1558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5B444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56698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1A1EF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224D1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r w:rsidR="00080D78" w:rsidRPr="00CB69B8" w14:paraId="7067E866"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C9AAF1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53CA0D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1F204A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CA98A9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37338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C0860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E1A49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Presentation of research topic during power point presentation training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74E31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39C5D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Present with power_Nyambura (1).pptx</w:t>
            </w:r>
          </w:p>
        </w:tc>
      </w:tr>
      <w:tr w:rsidR="00080D78" w:rsidRPr="00CB69B8" w14:paraId="1FCD0896"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D4B97B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807979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64FC62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D71FD3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0C1D8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D5386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E2A7E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online webinar on experimental design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4F4D5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57AE7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Certificate.pdf</w:t>
            </w:r>
          </w:p>
        </w:tc>
      </w:tr>
      <w:tr w:rsidR="00080D78" w:rsidRPr="00CB69B8" w14:paraId="376CF5EA"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7CF37E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3A0C22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946451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7D4554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D9205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B9D03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75B37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71811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71378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7407F305"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6A22D5B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556EBBA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1421E98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Intellectual insight</w:t>
            </w:r>
          </w:p>
        </w:tc>
      </w:tr>
      <w:tr w:rsidR="00080D78" w:rsidRPr="00CB69B8" w14:paraId="45AACB6E"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002FC0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D8A8F8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7AFF2F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40818C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2023F6C2"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44B059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D22486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740430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758327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93FD3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22/03/21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6694B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Link</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648AA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three days Online Biofumigation 7symposium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28BFE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 https://www.agroscope.ch/biofumigation7</w:t>
            </w: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57CB6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Attending this conference enabled me to gather new knowledge in the use of cover crops in the process of Biofumigation to suppress soil pathogens, which is relevant to my PhD project. </w:t>
            </w:r>
          </w:p>
        </w:tc>
      </w:tr>
      <w:tr w:rsidR="00080D78" w:rsidRPr="00CB69B8" w14:paraId="1CCDC887"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EBE220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F2B682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F48667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78EE86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775C3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1A644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86DD7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European society of nematology virtual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EC572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D97E4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three days virtual European society of nematologists conference that took place from 26/05/21 to 28/05/21. This was an opportunity to get exposure to new knowledge and ongoing research in the field of nematology. It was also an opportunity to network with fellow nematologists and share ideas. </w:t>
            </w:r>
          </w:p>
        </w:tc>
      </w:tr>
      <w:tr w:rsidR="00080D78" w:rsidRPr="00CB69B8" w14:paraId="5DAC3198"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D92A40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DAAA6B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6CA609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CE978B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C822B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E8054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1FE72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F4E73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570D7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writing such as Preparation and writing high-quality research papers, understanding editorial process and requirements by editors, identifying credible journals, and best practices for submitting a paper and peer review. </w:t>
            </w:r>
          </w:p>
        </w:tc>
      </w:tr>
      <w:tr w:rsidR="00080D78" w:rsidRPr="00CB69B8" w14:paraId="31A2D6A7"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1F78A3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07ED68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CF7908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070E62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39903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5D5DE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E81FF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Seminar series on data analysis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1E1CC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43731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three days seminar series organised by NEMAFRICA, on 16th july,23rd July and 30th July. The topics covered in the data analysis seminar series included: Data structure and handling, data visualisation and overview of regression analysis all trained in R studio data analysis software. </w:t>
            </w:r>
          </w:p>
        </w:tc>
      </w:tr>
      <w:tr w:rsidR="00080D78" w:rsidRPr="00CB69B8" w14:paraId="35C3F64A"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F119F5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21A517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6B487B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6C8566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A645F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D6EB3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09CE8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virtual AAB advances in nematology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450A6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ADDB5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this conference on 15/12/2020 virtually on Zoom meetings. This was an opportunity to be enlightened on ongoing research in the field of nematology as well as learn techniques of oral presentation, poster presentation, and general science communication skills. </w:t>
            </w:r>
          </w:p>
        </w:tc>
      </w:tr>
      <w:tr w:rsidR="00080D78" w:rsidRPr="00CB69B8" w14:paraId="5BFC8F65"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9CC478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CE0ED4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BFC3BA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68839D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1F1F2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FC052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5E49A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3DB85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D5752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r w:rsidR="00080D78" w:rsidRPr="00CB69B8" w14:paraId="4D38DF8D"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315FCF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D958EE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D99111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43154A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88840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3DA45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D7308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Presentation of research topic during power point presentation training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6D22B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DA0D3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Present with power_Nyambura (1).pptx</w:t>
            </w:r>
          </w:p>
        </w:tc>
      </w:tr>
      <w:tr w:rsidR="00080D78" w:rsidRPr="00CB69B8" w14:paraId="0F16D08C"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9E4FA6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066A3D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CA792C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3B757F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B6FF2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66E27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09E54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online webinar on experimental design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AE125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03426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Certificate.pdf</w:t>
            </w:r>
          </w:p>
        </w:tc>
      </w:tr>
      <w:tr w:rsidR="00080D78" w:rsidRPr="00CB69B8" w14:paraId="653F9459"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94B32A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4E2CF1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C2F759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3BF836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20632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87ADA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1C954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Power point presentation on my research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97FA4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69005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2793AA19"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32B0CB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594E33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BDE6B8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ED122F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374BA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5E0B0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DAD33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E557C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65E1C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16F33661"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66F13EE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5006D1C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30AA791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Argument construction</w:t>
            </w:r>
          </w:p>
        </w:tc>
      </w:tr>
      <w:tr w:rsidR="00080D78" w:rsidRPr="00CB69B8" w14:paraId="68E05A75"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B79D95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C94B27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F8FEF8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FE4D58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11E610F2"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1FB201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A0B915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8D36EC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24EA82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95DFC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B66F4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D86B3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Seminar series on data analysis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95BDB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9C4A9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three days seminar series organised by NEMAFRICA, on 16th july,23rd July and 30th July. The topics covered in the data analysis seminar series included: Data structure and handling, data visualisation and overview of regression analysis all trained in R studio data analysis software. </w:t>
            </w:r>
          </w:p>
        </w:tc>
      </w:tr>
      <w:tr w:rsidR="00080D78" w:rsidRPr="00CB69B8" w14:paraId="5603C4A2"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224CD1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8DC8F2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06D5E1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EBF0FF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D4436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29D97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88CCC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Power point presentation on my research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23BAC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C0C2F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57EBBE6A"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99B6B5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A70F4E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A70A3D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E49C84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95BBA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4C469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3DCC2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CEBDB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5076D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w:t>
            </w:r>
            <w:r w:rsidRPr="00CB69B8">
              <w:rPr>
                <w:rFonts w:ascii="Arial" w:eastAsia="Arial" w:hAnsi="Arial" w:cs="Arial"/>
                <w:color w:val="000000"/>
                <w:sz w:val="24"/>
                <w:szCs w:val="24"/>
                <w:lang w:eastAsia="en-GB"/>
              </w:rPr>
              <w:lastRenderedPageBreak/>
              <w:t xml:space="preserve">of bias/appraisal, coding, synthesis, etc. The training consisted of both taught elements and hands-on activities. </w:t>
            </w:r>
          </w:p>
        </w:tc>
      </w:tr>
      <w:tr w:rsidR="00080D78" w:rsidRPr="00CB69B8" w14:paraId="11F83228" w14:textId="77777777" w:rsidTr="00597F9F">
        <w:trPr>
          <w:trHeight w:val="375"/>
        </w:trPr>
        <w:tc>
          <w:tcPr>
            <w:tcW w:w="15017" w:type="dxa"/>
            <w:gridSpan w:val="9"/>
            <w:tcBorders>
              <w:top w:val="single" w:sz="7" w:space="0" w:color="D3D3D3"/>
              <w:left w:val="single" w:sz="7" w:space="0" w:color="D3D3D3"/>
              <w:bottom w:val="single" w:sz="7" w:space="0" w:color="D3D3D3"/>
              <w:right w:val="single" w:sz="7" w:space="0" w:color="D3D3D3"/>
            </w:tcBorders>
            <w:shd w:val="clear" w:color="auto" w:fill="BAC9E6"/>
            <w:tcMar>
              <w:top w:w="39" w:type="dxa"/>
              <w:left w:w="39" w:type="dxa"/>
              <w:bottom w:w="39" w:type="dxa"/>
              <w:right w:w="39" w:type="dxa"/>
            </w:tcMar>
            <w:vAlign w:val="center"/>
          </w:tcPr>
          <w:p w14:paraId="09F4DE1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lastRenderedPageBreak/>
              <w:t>Personal effectiveness (B)</w:t>
            </w:r>
          </w:p>
        </w:tc>
      </w:tr>
      <w:tr w:rsidR="00080D78" w:rsidRPr="00CB69B8" w14:paraId="1F700F0A"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BDE3FA"/>
            <w:tcMar>
              <w:top w:w="39" w:type="dxa"/>
              <w:left w:w="39" w:type="dxa"/>
              <w:bottom w:w="39" w:type="dxa"/>
              <w:right w:w="39" w:type="dxa"/>
            </w:tcMar>
            <w:vAlign w:val="center"/>
          </w:tcPr>
          <w:p w14:paraId="79A8E54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858" w:type="dxa"/>
            <w:gridSpan w:val="8"/>
            <w:tcBorders>
              <w:top w:val="single" w:sz="7" w:space="0" w:color="D3D3D3"/>
              <w:left w:val="nil"/>
              <w:bottom w:val="single" w:sz="7" w:space="0" w:color="D3D3D3"/>
              <w:right w:val="single" w:sz="7" w:space="0" w:color="D3D3D3"/>
            </w:tcBorders>
            <w:shd w:val="clear" w:color="auto" w:fill="BDE3FA"/>
            <w:tcMar>
              <w:top w:w="39" w:type="dxa"/>
              <w:left w:w="39" w:type="dxa"/>
              <w:bottom w:w="39" w:type="dxa"/>
              <w:right w:w="39" w:type="dxa"/>
            </w:tcMar>
            <w:vAlign w:val="center"/>
          </w:tcPr>
          <w:p w14:paraId="5F717A5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Personal qualities (B1)</w:t>
            </w:r>
          </w:p>
        </w:tc>
      </w:tr>
      <w:tr w:rsidR="00080D78" w:rsidRPr="00CB69B8" w14:paraId="506AE655"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28FDB08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2769DFD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23BE23A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Enthusiasm</w:t>
            </w:r>
          </w:p>
        </w:tc>
      </w:tr>
      <w:tr w:rsidR="00080D78" w:rsidRPr="00CB69B8" w14:paraId="17E4A1EF"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0131FD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8B9A0E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45F567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884560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 2</w:t>
            </w:r>
          </w:p>
        </w:tc>
      </w:tr>
      <w:tr w:rsidR="00080D78" w:rsidRPr="00CB69B8" w14:paraId="00BFDE2A"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925166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EDA542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8DC107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D71C34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5D97C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9428A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E8381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Research conference Poster presentation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BD36D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ED46B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Poster_HAU Conference.pptx</w:t>
            </w:r>
          </w:p>
        </w:tc>
      </w:tr>
      <w:tr w:rsidR="00080D78" w:rsidRPr="00CB69B8" w14:paraId="695E7744"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BBA9D6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134DEA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44E32A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6FA6B9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FF474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5ED93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C106E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Presentation of research topic during power point presentation training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337F0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9DDE1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Present with power_Nyambura (1).pptx</w:t>
            </w:r>
          </w:p>
        </w:tc>
      </w:tr>
      <w:tr w:rsidR="00080D78" w:rsidRPr="00CB69B8" w14:paraId="51889131"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812542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2333DF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2DC6EB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D8F46D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9E0F2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B7619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27E0C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Power point presentation on my research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E6327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2ADDB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0998B4A1"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F36EB3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8EAF58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8D9ED6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B7616B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51183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1B756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741F2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DBE52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F1BAD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3C3A74D9"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425629A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7E88C91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6097D7B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Integrity</w:t>
            </w:r>
          </w:p>
        </w:tc>
      </w:tr>
      <w:tr w:rsidR="00080D78" w:rsidRPr="00CB69B8" w14:paraId="26D87132"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9A1709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16A115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D27724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D57A81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5796D990"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87B41E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B9D659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04E02D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BCF5DB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4B72D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80E2B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866D0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12A58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65E88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writing such as Preparation and writing high-quality research </w:t>
            </w:r>
            <w:r w:rsidRPr="00CB69B8">
              <w:rPr>
                <w:rFonts w:ascii="Arial" w:eastAsia="Arial" w:hAnsi="Arial" w:cs="Arial"/>
                <w:color w:val="000000"/>
                <w:sz w:val="24"/>
                <w:szCs w:val="24"/>
                <w:lang w:eastAsia="en-GB"/>
              </w:rPr>
              <w:lastRenderedPageBreak/>
              <w:t xml:space="preserve">papers, understanding editorial process and requirements by editors, identifying credible journals, and best practices for submitting a paper and peer review. </w:t>
            </w:r>
          </w:p>
        </w:tc>
      </w:tr>
      <w:tr w:rsidR="00080D78" w:rsidRPr="00CB69B8" w14:paraId="742CF736"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5125449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1DC49E6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1AFCED6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Self-confidence</w:t>
            </w:r>
          </w:p>
        </w:tc>
      </w:tr>
      <w:tr w:rsidR="00080D78" w:rsidRPr="00CB69B8" w14:paraId="3C76008F"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C14CE8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544BB7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8D949C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2F141C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7C2B3155"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600327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09BA6E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E5F29A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3CD28C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A16C7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CA46D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0BFEB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Research conference Poster presentation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36B7D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36E63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Poster_HAU Conference.pptx</w:t>
            </w:r>
          </w:p>
        </w:tc>
      </w:tr>
      <w:tr w:rsidR="00080D78" w:rsidRPr="00CB69B8" w14:paraId="77B10567"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0108A2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590F92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5B3E24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0FBA63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24543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BF795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9F547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77A90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9D396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r w:rsidR="00080D78" w:rsidRPr="00CB69B8" w14:paraId="2084F2F2"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D29357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0F498D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298CAC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AA6DC4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5D4FE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D049E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AF369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Presentation of research topic during power point presentation training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CD663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D72A7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Present with power_Nyambura (1).pptx</w:t>
            </w:r>
          </w:p>
        </w:tc>
      </w:tr>
      <w:tr w:rsidR="00080D78" w:rsidRPr="00CB69B8" w14:paraId="33C6B287"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768EDF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F7E754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165D60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AD064B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B3C33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5460C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10B52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Power point presentation on my research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02D90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4DF54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7B3E8603"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68BBBEE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0596B5C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01C8465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Self-reflection</w:t>
            </w:r>
          </w:p>
        </w:tc>
      </w:tr>
      <w:tr w:rsidR="00080D78" w:rsidRPr="00CB69B8" w14:paraId="6442AECE"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8A8133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2F5BB3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81CC49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2AF906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316BE8B1"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D38FF4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EA757C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4E07F6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38599F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7188D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9BFC6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2E896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Power point presentation on my research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5B198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EF1E5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3A9F73A4"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13CA962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5DEF5DC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42EDDF6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Responsibility</w:t>
            </w:r>
          </w:p>
        </w:tc>
      </w:tr>
      <w:tr w:rsidR="00080D78" w:rsidRPr="00CB69B8" w14:paraId="57C97396"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224278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00D54C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A7A8EB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AC0F6D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64EEBAF5"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6641C3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99BDC0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B53BA4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61EEEB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B7EA8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ACD19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F0C56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D1C17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F7727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writing such as Preparation and writing high-quality research papers, understanding editorial process and requirements by editors, identifying credible journals, and best practices for submitting a paper and peer review. </w:t>
            </w:r>
          </w:p>
        </w:tc>
      </w:tr>
      <w:tr w:rsidR="00080D78" w:rsidRPr="00CB69B8" w14:paraId="6DDB4A46"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BDE3FA"/>
            <w:tcMar>
              <w:top w:w="39" w:type="dxa"/>
              <w:left w:w="39" w:type="dxa"/>
              <w:bottom w:w="39" w:type="dxa"/>
              <w:right w:w="39" w:type="dxa"/>
            </w:tcMar>
            <w:vAlign w:val="center"/>
          </w:tcPr>
          <w:p w14:paraId="35873BA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858" w:type="dxa"/>
            <w:gridSpan w:val="8"/>
            <w:tcBorders>
              <w:top w:val="single" w:sz="7" w:space="0" w:color="D3D3D3"/>
              <w:left w:val="nil"/>
              <w:bottom w:val="single" w:sz="7" w:space="0" w:color="D3D3D3"/>
              <w:right w:val="single" w:sz="7" w:space="0" w:color="D3D3D3"/>
            </w:tcBorders>
            <w:shd w:val="clear" w:color="auto" w:fill="BDE3FA"/>
            <w:tcMar>
              <w:top w:w="39" w:type="dxa"/>
              <w:left w:w="39" w:type="dxa"/>
              <w:bottom w:w="39" w:type="dxa"/>
              <w:right w:w="39" w:type="dxa"/>
            </w:tcMar>
            <w:vAlign w:val="center"/>
          </w:tcPr>
          <w:p w14:paraId="2007FF5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Self-management (B2)</w:t>
            </w:r>
          </w:p>
        </w:tc>
      </w:tr>
      <w:tr w:rsidR="00080D78" w:rsidRPr="00CB69B8" w14:paraId="7EA7CC5A"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10BD5CF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4BA3204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4C1938E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Preparation and prioritisation</w:t>
            </w:r>
          </w:p>
        </w:tc>
      </w:tr>
      <w:tr w:rsidR="00080D78" w:rsidRPr="00CB69B8" w14:paraId="7925F595"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65796E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943E4B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CAA3C6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9DC729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4A0A4E36"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04B3B5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12FFC6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8F3C58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AEE97E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463F0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EDB02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8BF7F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Power point presentation on my research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B4040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0CAB0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529EDC5E"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0867549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7F242E8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2A1A6B9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Commitment to research</w:t>
            </w:r>
          </w:p>
        </w:tc>
      </w:tr>
      <w:tr w:rsidR="00080D78" w:rsidRPr="00CB69B8" w14:paraId="057783A1"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378F1C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1E0C4F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6F06DB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0AD5A8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37943201"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501780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46580E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50EDCC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638CDB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38658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9CD96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4CC53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Research conference Poster presentation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37B54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32A29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Poster_HAU Conference.pptx</w:t>
            </w:r>
          </w:p>
        </w:tc>
      </w:tr>
      <w:tr w:rsidR="00080D78" w:rsidRPr="00CB69B8" w14:paraId="7DEEE531"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BDE3FA"/>
            <w:tcMar>
              <w:top w:w="39" w:type="dxa"/>
              <w:left w:w="39" w:type="dxa"/>
              <w:bottom w:w="39" w:type="dxa"/>
              <w:right w:w="39" w:type="dxa"/>
            </w:tcMar>
            <w:vAlign w:val="center"/>
          </w:tcPr>
          <w:p w14:paraId="4B4F1E3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858" w:type="dxa"/>
            <w:gridSpan w:val="8"/>
            <w:tcBorders>
              <w:top w:val="single" w:sz="7" w:space="0" w:color="D3D3D3"/>
              <w:left w:val="nil"/>
              <w:bottom w:val="single" w:sz="7" w:space="0" w:color="D3D3D3"/>
              <w:right w:val="single" w:sz="7" w:space="0" w:color="D3D3D3"/>
            </w:tcBorders>
            <w:shd w:val="clear" w:color="auto" w:fill="BDE3FA"/>
            <w:tcMar>
              <w:top w:w="39" w:type="dxa"/>
              <w:left w:w="39" w:type="dxa"/>
              <w:bottom w:w="39" w:type="dxa"/>
              <w:right w:w="39" w:type="dxa"/>
            </w:tcMar>
            <w:vAlign w:val="center"/>
          </w:tcPr>
          <w:p w14:paraId="3546F34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Professional and career development (B3)</w:t>
            </w:r>
          </w:p>
        </w:tc>
      </w:tr>
      <w:tr w:rsidR="00080D78" w:rsidRPr="00CB69B8" w14:paraId="48E44E9C"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50DB8E2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11EA141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5C12661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Career management</w:t>
            </w:r>
          </w:p>
        </w:tc>
      </w:tr>
      <w:tr w:rsidR="00080D78" w:rsidRPr="00CB69B8" w14:paraId="435E1FFF"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9A89BF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4748F7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6B1041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FF6350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6DEE1268"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CFE3F2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0CA440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AA1114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021460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888E4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C8014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E6E54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Research conference Poster presentation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F79E4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7EF0F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Poster_HAU Conference.pptx</w:t>
            </w:r>
          </w:p>
        </w:tc>
      </w:tr>
      <w:tr w:rsidR="00080D78" w:rsidRPr="00CB69B8" w14:paraId="0F32A483"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1451D3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37E7D2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694278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CBCF7C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7B4F3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99A47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48A7F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Nematology seminar day organised by IMANEMA Ghent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60136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D464F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seminar day organized by IMANEMA Ghent University, Belgium via zoom meetings on 19/05/21. The theme of the seminar was career development and soft skills. The different speakers gave their experiences on pursuing a career in nematology, tips, and tricks on successful career advancement. Among the speakers were also players in the industry who explained what is expected of graduates when advancing to the job market and how to prepare for job interviews. </w:t>
            </w:r>
          </w:p>
        </w:tc>
      </w:tr>
      <w:tr w:rsidR="00080D78" w:rsidRPr="00CB69B8" w14:paraId="65D00D73"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4DDF95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2B2C6C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F80DA7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D4B0D1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41BB6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BEC03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E11CD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1BCDD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B5000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writing such as Preparation and writing high-quality research papers, understanding editorial process and requirements by editors, identifying credible journals, and best practices for submitting a paper and peer review. </w:t>
            </w:r>
          </w:p>
        </w:tc>
      </w:tr>
      <w:tr w:rsidR="00080D78" w:rsidRPr="00CB69B8" w14:paraId="2A4DA624"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9A0D1F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9A4AF4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DE40A1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063ADA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0AD53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A1584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C433F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Seminar series on data analysis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0B8AD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D92AD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three days seminar series organised by NEMAFRICA, on 16th july,23rd July and 30th July. The topics covered in the data analysis seminar series included: Data structure and handling, data visualisation and overview of regression analysis all trained in R studio data analysis software. </w:t>
            </w:r>
          </w:p>
        </w:tc>
      </w:tr>
      <w:tr w:rsidR="00080D78" w:rsidRPr="00CB69B8" w14:paraId="03E130AF"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FEB8EB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ACEE1F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DBE9DE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4BCD8C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D5EC3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D2E4B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9D6DA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virtual AAB advances in nematology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83FDA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A6B7A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this conference on 15/12/2020 virtually on Zoom meetings. This was an opportunity to be enlightened on ongoing research in the field of nematology as well as learn techniques of oral presentation, poster presentation, and general science communication skills. </w:t>
            </w:r>
          </w:p>
        </w:tc>
      </w:tr>
      <w:tr w:rsidR="00080D78" w:rsidRPr="00CB69B8" w14:paraId="6978B979"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1154BF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9102AE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C49E62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A0F865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A284F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D3AFC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0B3A0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BE55D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EF180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r w:rsidR="00080D78" w:rsidRPr="00CB69B8" w14:paraId="5B491D45"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770525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B1499D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05EC81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F2DEA6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871E8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AC07F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B9D15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Presentation of research topic during power point presentation training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A1BFB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43BA2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Present with power_Nyambura (1).pptx</w:t>
            </w:r>
          </w:p>
        </w:tc>
      </w:tr>
      <w:tr w:rsidR="00080D78" w:rsidRPr="00CB69B8" w14:paraId="045C2CDB"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EF4B54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CDA92F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84526C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FEEB08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F8443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5E3CA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4A063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online webinar on experimental design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DC8E1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44181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Certificate.pdf</w:t>
            </w:r>
          </w:p>
        </w:tc>
      </w:tr>
      <w:tr w:rsidR="00080D78" w:rsidRPr="00CB69B8" w14:paraId="79CAD5D4"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F31778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7C2F85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DBEF9D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282FF0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7E6E2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55D53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E1B583" w14:textId="33BF57D1"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Power point presentation on my </w:t>
            </w:r>
            <w:r w:rsidR="007B4207" w:rsidRPr="00CB69B8">
              <w:rPr>
                <w:rFonts w:ascii="Arial" w:eastAsia="Arial" w:hAnsi="Arial" w:cs="Arial"/>
                <w:color w:val="000000"/>
                <w:sz w:val="24"/>
                <w:szCs w:val="24"/>
                <w:lang w:eastAsia="en-GB"/>
              </w:rPr>
              <w:t>research</w:t>
            </w:r>
            <w:r w:rsidRPr="00CB69B8">
              <w:rPr>
                <w:rFonts w:ascii="Arial" w:eastAsia="Arial" w:hAnsi="Arial" w:cs="Arial"/>
                <w:color w:val="000000"/>
                <w:sz w:val="24"/>
                <w:szCs w:val="24"/>
                <w:lang w:eastAsia="en-GB"/>
              </w:rPr>
              <w:t xml:space="preserve">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FD394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8B5F1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73328F50"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57A313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BBF912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F30749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0F57C3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AB9FD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1F4B1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90078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7E520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1EFF3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6BB9E844"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75B0ED3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1F8857D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4C9E309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Continuing professional development</w:t>
            </w:r>
          </w:p>
        </w:tc>
      </w:tr>
      <w:tr w:rsidR="00080D78" w:rsidRPr="00CB69B8" w14:paraId="2E4EDBAF"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6105E6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D019BC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1C3359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8EC5A3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51E92D6B"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24E964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BE7E32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A0151D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FAC76D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57437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C3D24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676B9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Research conference Poster presentation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96C89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98EDD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Poster_HAU Conference.pptx</w:t>
            </w:r>
          </w:p>
        </w:tc>
      </w:tr>
      <w:tr w:rsidR="00080D78" w:rsidRPr="00CB69B8" w14:paraId="6A7D30E2"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980335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63D954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394792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1F93F3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F9E2B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7C3F6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985A7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Nematology seminar day organised by IMANEMA Ghent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D31BC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DCD8F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seminar day organized by IMANEMA Ghent University, Belgium via zoom meetings on 19/05/21. The theme of the seminar was career development and soft skills. The different speakers gave their experiences on pursuing a career in nematology, tips, and tricks on successful career advancement. Among the speakers were also players in the industry who explained what is expected of graduates when advancing to the job market and how to prepare for job interviews. </w:t>
            </w:r>
          </w:p>
        </w:tc>
      </w:tr>
      <w:tr w:rsidR="00080D78" w:rsidRPr="00CB69B8" w14:paraId="6FA2A2B2"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FC9392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5A33C7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253F8F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A8259F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C1605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99079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C5624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592F7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7FB07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writing such as Preparation and writing high-quality research papers, understanding editorial process and requirements by editors, identifying credible journals, and best practices for submitting a paper and peer review. </w:t>
            </w:r>
          </w:p>
        </w:tc>
      </w:tr>
      <w:tr w:rsidR="00080D78" w:rsidRPr="00CB69B8" w14:paraId="0521BB9C"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4D48671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DA7FB3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05DD56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AD0E20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7B176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3EB35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7335C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Seminar series on data analysis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E1C71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A07E8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three days seminar series organised by NEMAFRICA, on 16th july,23rd July and 30th July. The topics covered in the data analysis seminar series included: Data structure and handling, data visualisation and overview of regression analysis all trained in R studio data analysis software. </w:t>
            </w:r>
          </w:p>
        </w:tc>
      </w:tr>
      <w:tr w:rsidR="00080D78" w:rsidRPr="00CB69B8" w14:paraId="462BC4F5"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A27119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7DB6D0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7F1F6D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8984FE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3E460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11771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11E98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396AF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C8532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r w:rsidR="00080D78" w:rsidRPr="00CB69B8" w14:paraId="3E54D1F4"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82FBC2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A51F32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4E9972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0587C6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A8341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E3E9B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8A0E0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Presentation of research topic during power point presentation training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485E9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615DB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Present with power_Nyambura (1).pptx</w:t>
            </w:r>
          </w:p>
        </w:tc>
      </w:tr>
      <w:tr w:rsidR="00080D78" w:rsidRPr="00CB69B8" w14:paraId="787BA970"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707586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FD659C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D40022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B9ECB6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EF4F8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CB68C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7E851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online webinar on experimental design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C56A9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96565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Certificate.pdf</w:t>
            </w:r>
          </w:p>
        </w:tc>
      </w:tr>
      <w:tr w:rsidR="00080D78" w:rsidRPr="00CB69B8" w14:paraId="06FC288B"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B20195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979B90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DBB72B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B2CD36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B64EF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FF1C1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E55C1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Power point presentation on my research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0AF85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E5B92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1723833A"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2AC122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E40F16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C78EB3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5E4297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18AD6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C2029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EA4C7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83995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9E760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6038D189"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486E0BE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40CA9F5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384F95F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Networking</w:t>
            </w:r>
          </w:p>
        </w:tc>
      </w:tr>
      <w:tr w:rsidR="00080D78" w:rsidRPr="00CB69B8" w14:paraId="6E3BC765"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ECB666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C259F3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A59FA9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8EF452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 2</w:t>
            </w:r>
          </w:p>
        </w:tc>
      </w:tr>
      <w:tr w:rsidR="00080D78" w:rsidRPr="00CB69B8" w14:paraId="479CFA50"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65D67A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85F269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55891C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1DC483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CC560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22/03/21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0D2CC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Link</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7B86D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three days Online Biofumigation 7symposium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F1AB7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 https://www.agroscope.ch/biofumigation7</w:t>
            </w: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4B021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Attending this conference enabled me to gather new knowledge in the use of cover crops in the process of Biofumigation to suppress soil pathogens, which is relevant to my PhD project. </w:t>
            </w:r>
          </w:p>
        </w:tc>
      </w:tr>
      <w:tr w:rsidR="00080D78" w:rsidRPr="00CB69B8" w14:paraId="6FBDB646"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C3B987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555F3E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D7B1F4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76B439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0C505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740A8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C5AC5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Research conference Poster presentation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71A61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FE102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Poster_HAU Conference.pptx</w:t>
            </w:r>
          </w:p>
        </w:tc>
      </w:tr>
      <w:tr w:rsidR="00080D78" w:rsidRPr="00CB69B8" w14:paraId="645D11C1"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C06980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4036DC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2985E3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A6235E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BB7A7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554DD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98168F" w14:textId="5361FDA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European society of nematology </w:t>
            </w:r>
            <w:r w:rsidR="007B4207" w:rsidRPr="00CB69B8">
              <w:rPr>
                <w:rFonts w:ascii="Arial" w:eastAsia="Arial" w:hAnsi="Arial" w:cs="Arial"/>
                <w:color w:val="000000"/>
                <w:sz w:val="24"/>
                <w:szCs w:val="24"/>
                <w:lang w:eastAsia="en-GB"/>
              </w:rPr>
              <w:t>virtual conference</w:t>
            </w:r>
            <w:r w:rsidRPr="00CB69B8">
              <w:rPr>
                <w:rFonts w:ascii="Arial" w:eastAsia="Arial" w:hAnsi="Arial" w:cs="Arial"/>
                <w:color w:val="000000"/>
                <w:sz w:val="24"/>
                <w:szCs w:val="24"/>
                <w:lang w:eastAsia="en-GB"/>
              </w:rPr>
              <w:t xml:space="preserv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A6438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79EBE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three days virtual European society of nematologists conference that took place from 26/05/21 to 28/05/21. This was an opportunity to get exposure to new knowledge and ongoing research in the field of nematology. It was also an opportunity to network with fellow nematologists and share ideas. </w:t>
            </w:r>
          </w:p>
        </w:tc>
      </w:tr>
      <w:tr w:rsidR="00080D78" w:rsidRPr="00CB69B8" w14:paraId="23922C3A"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17F027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08E518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EDB11D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547745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46F94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D62A8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2A620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Nematology seminar day organised by IMANEMA Ghent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003A8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D1400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seminar day organized by IMANEMA Ghent University, Belgium via zoom meetings on 19/05/21. The theme of the seminar was career development and soft skills. The different speakers gave their experiences on pursuing a career in nematology, tips, and tricks on successful career advancement. Among the speakers were also players in the industry who explained what is expected of graduates when advancing to the job market and how to prepare for job interviews. </w:t>
            </w:r>
          </w:p>
        </w:tc>
      </w:tr>
      <w:tr w:rsidR="00080D78" w:rsidRPr="00CB69B8" w14:paraId="507D4D4A" w14:textId="77777777" w:rsidTr="00597F9F">
        <w:trPr>
          <w:trHeight w:val="375"/>
        </w:trPr>
        <w:tc>
          <w:tcPr>
            <w:tcW w:w="15017" w:type="dxa"/>
            <w:gridSpan w:val="9"/>
            <w:tcBorders>
              <w:top w:val="single" w:sz="7" w:space="0" w:color="D3D3D3"/>
              <w:left w:val="single" w:sz="7" w:space="0" w:color="D3D3D3"/>
              <w:bottom w:val="single" w:sz="7" w:space="0" w:color="D3D3D3"/>
              <w:right w:val="single" w:sz="7" w:space="0" w:color="D3D3D3"/>
            </w:tcBorders>
            <w:shd w:val="clear" w:color="auto" w:fill="A7D4D9"/>
            <w:tcMar>
              <w:top w:w="39" w:type="dxa"/>
              <w:left w:w="39" w:type="dxa"/>
              <w:bottom w:w="39" w:type="dxa"/>
              <w:right w:w="39" w:type="dxa"/>
            </w:tcMar>
            <w:vAlign w:val="center"/>
          </w:tcPr>
          <w:p w14:paraId="39B7853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Research governance and organisation (C)</w:t>
            </w:r>
          </w:p>
        </w:tc>
      </w:tr>
      <w:tr w:rsidR="00080D78" w:rsidRPr="00CB69B8" w14:paraId="279DD883"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BDE3FA"/>
            <w:tcMar>
              <w:top w:w="39" w:type="dxa"/>
              <w:left w:w="39" w:type="dxa"/>
              <w:bottom w:w="39" w:type="dxa"/>
              <w:right w:w="39" w:type="dxa"/>
            </w:tcMar>
            <w:vAlign w:val="center"/>
          </w:tcPr>
          <w:p w14:paraId="720AFB5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858" w:type="dxa"/>
            <w:gridSpan w:val="8"/>
            <w:tcBorders>
              <w:top w:val="single" w:sz="7" w:space="0" w:color="D3D3D3"/>
              <w:left w:val="nil"/>
              <w:bottom w:val="single" w:sz="7" w:space="0" w:color="D3D3D3"/>
              <w:right w:val="single" w:sz="7" w:space="0" w:color="D3D3D3"/>
            </w:tcBorders>
            <w:shd w:val="clear" w:color="auto" w:fill="BDE3FA"/>
            <w:tcMar>
              <w:top w:w="39" w:type="dxa"/>
              <w:left w:w="39" w:type="dxa"/>
              <w:bottom w:w="39" w:type="dxa"/>
              <w:right w:w="39" w:type="dxa"/>
            </w:tcMar>
            <w:vAlign w:val="center"/>
          </w:tcPr>
          <w:p w14:paraId="2A58B17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Professional conduct (C1)</w:t>
            </w:r>
          </w:p>
        </w:tc>
      </w:tr>
      <w:tr w:rsidR="00080D78" w:rsidRPr="00CB69B8" w14:paraId="089746DA"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6D87D3B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0ED2AB5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4303EC9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Appropriate practice</w:t>
            </w:r>
          </w:p>
        </w:tc>
      </w:tr>
      <w:tr w:rsidR="00080D78" w:rsidRPr="00CB69B8" w14:paraId="32C2B847"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E85DA4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014DC9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B60840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0B59FD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7A91E1A6"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324513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34C612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437FB9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62BBDBA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E72D1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B918B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F5935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219A2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23196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7058818F"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BDE3FA"/>
            <w:tcMar>
              <w:top w:w="39" w:type="dxa"/>
              <w:left w:w="39" w:type="dxa"/>
              <w:bottom w:w="39" w:type="dxa"/>
              <w:right w:w="39" w:type="dxa"/>
            </w:tcMar>
            <w:vAlign w:val="center"/>
          </w:tcPr>
          <w:p w14:paraId="498A92B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858" w:type="dxa"/>
            <w:gridSpan w:val="8"/>
            <w:tcBorders>
              <w:top w:val="single" w:sz="7" w:space="0" w:color="D3D3D3"/>
              <w:left w:val="nil"/>
              <w:bottom w:val="single" w:sz="7" w:space="0" w:color="D3D3D3"/>
              <w:right w:val="single" w:sz="7" w:space="0" w:color="D3D3D3"/>
            </w:tcBorders>
            <w:shd w:val="clear" w:color="auto" w:fill="BDE3FA"/>
            <w:tcMar>
              <w:top w:w="39" w:type="dxa"/>
              <w:left w:w="39" w:type="dxa"/>
              <w:bottom w:w="39" w:type="dxa"/>
              <w:right w:w="39" w:type="dxa"/>
            </w:tcMar>
            <w:vAlign w:val="center"/>
          </w:tcPr>
          <w:p w14:paraId="642B689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Research management (C2)</w:t>
            </w:r>
          </w:p>
        </w:tc>
      </w:tr>
      <w:tr w:rsidR="00080D78" w:rsidRPr="00CB69B8" w14:paraId="61E0A07F"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0E6F2BD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59F15EF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1BD5531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Research strategy</w:t>
            </w:r>
          </w:p>
        </w:tc>
      </w:tr>
      <w:tr w:rsidR="00080D78" w:rsidRPr="00CB69B8" w14:paraId="48193198"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17A028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0BEC49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188916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F3ED25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03C849EC"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9907F1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76789C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A1CEED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30337E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852AB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C430A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8B5AC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262B2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5367F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writing such as Preparation and writing high-quality research papers, understanding editorial process and requirements by editors, identifying credible journals, and best practices for submitting a paper and peer review. </w:t>
            </w:r>
          </w:p>
        </w:tc>
      </w:tr>
      <w:tr w:rsidR="00080D78" w:rsidRPr="00CB69B8" w14:paraId="5F34C3A9"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5C8987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B8DA36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3C2C3F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1E5C0D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22C7B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54EE1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3E686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3924C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44671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r w:rsidR="00080D78" w:rsidRPr="00CB69B8" w14:paraId="24D9621D"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6431B7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7815B6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89B661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CA84FA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03B41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1FF58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1BE1F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masterclass in evidence syntheses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B97E5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2FABA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the training on 12th and 13th /01/2021. The training involved exposure to evidence synthesis methods that covered the key stages i.e. question setting, searching, screening, sources of bias/appraisal, coding, synthesis, etc. The training consisted of both taught elements and hands-on activities. </w:t>
            </w:r>
          </w:p>
        </w:tc>
      </w:tr>
      <w:tr w:rsidR="00080D78" w:rsidRPr="00CB69B8" w14:paraId="06CE7C10" w14:textId="77777777" w:rsidTr="00597F9F">
        <w:trPr>
          <w:trHeight w:val="375"/>
        </w:trPr>
        <w:tc>
          <w:tcPr>
            <w:tcW w:w="15017" w:type="dxa"/>
            <w:gridSpan w:val="9"/>
            <w:tcBorders>
              <w:top w:val="single" w:sz="7" w:space="0" w:color="D3D3D3"/>
              <w:left w:val="single" w:sz="7" w:space="0" w:color="D3D3D3"/>
              <w:bottom w:val="single" w:sz="7" w:space="0" w:color="D3D3D3"/>
              <w:right w:val="single" w:sz="7" w:space="0" w:color="D3D3D3"/>
            </w:tcBorders>
            <w:shd w:val="clear" w:color="auto" w:fill="C5B1CE"/>
            <w:tcMar>
              <w:top w:w="39" w:type="dxa"/>
              <w:left w:w="39" w:type="dxa"/>
              <w:bottom w:w="39" w:type="dxa"/>
              <w:right w:w="39" w:type="dxa"/>
            </w:tcMar>
            <w:vAlign w:val="center"/>
          </w:tcPr>
          <w:p w14:paraId="4295C5B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Engagement, influence and impact (D)</w:t>
            </w:r>
          </w:p>
        </w:tc>
      </w:tr>
      <w:tr w:rsidR="00080D78" w:rsidRPr="00CB69B8" w14:paraId="2FEFE93C"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BDE3FA"/>
            <w:tcMar>
              <w:top w:w="39" w:type="dxa"/>
              <w:left w:w="39" w:type="dxa"/>
              <w:bottom w:w="39" w:type="dxa"/>
              <w:right w:w="39" w:type="dxa"/>
            </w:tcMar>
            <w:vAlign w:val="center"/>
          </w:tcPr>
          <w:p w14:paraId="3A7A13F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858" w:type="dxa"/>
            <w:gridSpan w:val="8"/>
            <w:tcBorders>
              <w:top w:val="single" w:sz="7" w:space="0" w:color="D3D3D3"/>
              <w:left w:val="nil"/>
              <w:bottom w:val="single" w:sz="7" w:space="0" w:color="D3D3D3"/>
              <w:right w:val="single" w:sz="7" w:space="0" w:color="D3D3D3"/>
            </w:tcBorders>
            <w:shd w:val="clear" w:color="auto" w:fill="BDE3FA"/>
            <w:tcMar>
              <w:top w:w="39" w:type="dxa"/>
              <w:left w:w="39" w:type="dxa"/>
              <w:bottom w:w="39" w:type="dxa"/>
              <w:right w:w="39" w:type="dxa"/>
            </w:tcMar>
            <w:vAlign w:val="center"/>
          </w:tcPr>
          <w:p w14:paraId="785D576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Working with others (D1)</w:t>
            </w:r>
          </w:p>
        </w:tc>
      </w:tr>
      <w:tr w:rsidR="00080D78" w:rsidRPr="00CB69B8" w14:paraId="6E5E0932"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21D3675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4630EF9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5E6546E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Collaboration</w:t>
            </w:r>
          </w:p>
        </w:tc>
      </w:tr>
      <w:tr w:rsidR="00080D78" w:rsidRPr="00CB69B8" w14:paraId="331E108E"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893B7F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605D28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86B582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922478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6B019C89"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36DF89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CE7A7D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E1F49F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1652E3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AA071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DF99E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213AB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Research conference Poster presentation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D676F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9EBE9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Poster_HAU Conference.pptx</w:t>
            </w:r>
          </w:p>
        </w:tc>
      </w:tr>
      <w:tr w:rsidR="00080D78" w:rsidRPr="00CB69B8" w14:paraId="79DFDEAA"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BDE3FA"/>
            <w:tcMar>
              <w:top w:w="39" w:type="dxa"/>
              <w:left w:w="39" w:type="dxa"/>
              <w:bottom w:w="39" w:type="dxa"/>
              <w:right w:w="39" w:type="dxa"/>
            </w:tcMar>
            <w:vAlign w:val="center"/>
          </w:tcPr>
          <w:p w14:paraId="37DF339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858" w:type="dxa"/>
            <w:gridSpan w:val="8"/>
            <w:tcBorders>
              <w:top w:val="single" w:sz="7" w:space="0" w:color="D3D3D3"/>
              <w:left w:val="nil"/>
              <w:bottom w:val="single" w:sz="7" w:space="0" w:color="D3D3D3"/>
              <w:right w:val="single" w:sz="7" w:space="0" w:color="D3D3D3"/>
            </w:tcBorders>
            <w:shd w:val="clear" w:color="auto" w:fill="BDE3FA"/>
            <w:tcMar>
              <w:top w:w="39" w:type="dxa"/>
              <w:left w:w="39" w:type="dxa"/>
              <w:bottom w:w="39" w:type="dxa"/>
              <w:right w:w="39" w:type="dxa"/>
            </w:tcMar>
            <w:vAlign w:val="center"/>
          </w:tcPr>
          <w:p w14:paraId="08CB49E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Communication and dissemination (D2)</w:t>
            </w:r>
          </w:p>
        </w:tc>
      </w:tr>
      <w:tr w:rsidR="00080D78" w:rsidRPr="00CB69B8" w14:paraId="7EE19A7D"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1C6E0A3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448B579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30AD2E9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Communication methods</w:t>
            </w:r>
          </w:p>
        </w:tc>
      </w:tr>
      <w:tr w:rsidR="00080D78" w:rsidRPr="00CB69B8" w14:paraId="59366A18"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2FF0B7B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0C5406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A445D1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BB566D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2016208F"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790F27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EB2673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D2F8F3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495F4B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D9F21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2A101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B7F5C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Research conference Poster presentation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5BDE2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67683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Poster_HAU Conference.pptx</w:t>
            </w:r>
          </w:p>
        </w:tc>
      </w:tr>
      <w:tr w:rsidR="00080D78" w:rsidRPr="00CB69B8" w14:paraId="57706EB8"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BEBDD3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292B44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11B59E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15465F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D8319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F314B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6E317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Nematology seminar day organised by IMANEMA Ghent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6C16D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B51EE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seminar day organized by IMANEMA Ghent University, Belgium via zoom meetings on 19/05/21. The theme of the seminar was career development and soft skills. The different speakers gave their experiences on pursuing a career in nematology, tips, and tricks on successful career advancement. Among the speakers were also players in the industry who explained what is expected of graduates when advancing to the job market and how to prepare for job interviews. </w:t>
            </w:r>
          </w:p>
        </w:tc>
      </w:tr>
      <w:tr w:rsidR="00080D78" w:rsidRPr="00CB69B8" w14:paraId="6E8ECEF8"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F54762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646039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705C6D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3AA55B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A8048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C1C8C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3FE35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0250A9"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DD303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writing such as Preparation and writing high-quality research papers, understanding editorial process and requirements by editors, identifying credible journals, and best practices for submitting a paper and peer review. </w:t>
            </w:r>
          </w:p>
        </w:tc>
      </w:tr>
      <w:tr w:rsidR="00080D78" w:rsidRPr="00CB69B8" w14:paraId="14292AFA"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7A6F40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AEBCA9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2C6EE6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4B5859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D2E25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41564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97D09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virtual AAB advances in nematology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2AFA5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D1C2C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this conference on 15/12/2020 virtually on Zoom meetings. This was an opportunity to be enlightened on ongoing research in the field of nematology as well as learn techniques of </w:t>
            </w:r>
            <w:r w:rsidRPr="00CB69B8">
              <w:rPr>
                <w:rFonts w:ascii="Arial" w:eastAsia="Arial" w:hAnsi="Arial" w:cs="Arial"/>
                <w:color w:val="000000"/>
                <w:sz w:val="24"/>
                <w:szCs w:val="24"/>
                <w:lang w:eastAsia="en-GB"/>
              </w:rPr>
              <w:lastRenderedPageBreak/>
              <w:t xml:space="preserve">oral presentation, poster presentation, and general science communication skills. </w:t>
            </w:r>
          </w:p>
        </w:tc>
      </w:tr>
      <w:tr w:rsidR="00080D78" w:rsidRPr="00CB69B8" w14:paraId="16600B1B"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A62698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C77161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F96629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751219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822C2C"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E53BB3"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2FFFD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76D5B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F0A11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r w:rsidR="00080D78" w:rsidRPr="00CB69B8" w14:paraId="212335C4"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D96BCE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ADB0A8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02F672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595576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45E2A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15064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9E6A9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Presentation of research topic during power point presentation training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6C27C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3EDFF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Present with power_Nyambura (1).pptx</w:t>
            </w:r>
          </w:p>
        </w:tc>
      </w:tr>
      <w:tr w:rsidR="00080D78" w:rsidRPr="00CB69B8" w14:paraId="6572ED1B"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ED25FA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7ACF73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193E4F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1C4EE7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FC3CC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B5061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B8AD1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Power point presentation on my research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D5901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06A84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7D816689"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04FF16E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491F4E1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51030FC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Communication media</w:t>
            </w:r>
          </w:p>
        </w:tc>
      </w:tr>
      <w:tr w:rsidR="00080D78" w:rsidRPr="00CB69B8" w14:paraId="33DA2186"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84791C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CB04A7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224D85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A8D900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4039F157"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244DD2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6E437D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C3E3E4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AE8964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D9926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D37D1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72FA9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Research conference Poster presentation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03D91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ABC1E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Poster_HAU Conference.pptx</w:t>
            </w:r>
          </w:p>
        </w:tc>
      </w:tr>
      <w:tr w:rsidR="00080D78" w:rsidRPr="00CB69B8" w14:paraId="6965AFE6"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9EC623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C806FA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6486927"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52F6F74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7A21C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6FDE0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A6D9D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Nematology seminar day organised by IMANEMA Ghent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FEDDC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8ECD4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a virtual seminar day organized by IMANEMA Ghent University, Belgium via zoom meetings on 19/05/21. The theme of the seminar was career development and soft skills. The different speakers gave their experiences on pursuing a career in nematology, tips, and tricks on successful career advancement. Among the speakers were also players in the industry who explained what is expected of graduates when advancing to the job market and how to prepare for job interviews. </w:t>
            </w:r>
          </w:p>
        </w:tc>
      </w:tr>
      <w:tr w:rsidR="00080D78" w:rsidRPr="00CB69B8" w14:paraId="5C78B068"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7D19F09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730534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3F7DD6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6F68A7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2BF33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1D7C7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3C96A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6C721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60B12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writing such as Preparation and writing high-quality research papers, understanding editorial process and requirements by editors, identifying credible journals, and best practices for submitting a paper and peer review. </w:t>
            </w:r>
          </w:p>
        </w:tc>
      </w:tr>
      <w:tr w:rsidR="00080D78" w:rsidRPr="00CB69B8" w14:paraId="7180376E"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1D14691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30F582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6EB521E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35E3CB4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F9592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DDED2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DFF62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Attendance of virtual AAB advances in nematology Conference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F392E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57AC7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I attended this conference on 15/12/2020 virtually on Zoom meetings. This was an opportunity to be enlightened on ongoing research in the field of nematology as well as learn techniques of oral presentation, poster presentation, and general science communication skills. </w:t>
            </w:r>
          </w:p>
        </w:tc>
      </w:tr>
      <w:tr w:rsidR="00080D78" w:rsidRPr="00CB69B8" w14:paraId="3CC922D0"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EDB6DD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312E80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75CB44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2A7CF02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167C7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B08DD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3EFB1A"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33E7B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4C439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r w:rsidR="00080D78" w:rsidRPr="00CB69B8" w14:paraId="3A4D16B7"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0B49593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7EF2ED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4DE42AD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54B8FC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D7CF2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333A2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49BC9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Presentation of research topic during power point presentation training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D3991C"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A594E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Present with power_Nyambura (1).pptx</w:t>
            </w:r>
          </w:p>
        </w:tc>
      </w:tr>
      <w:tr w:rsidR="00080D78" w:rsidRPr="00CB69B8" w14:paraId="57D1E3A0"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A6D2CF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961F7D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0E6CAD6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A43E1E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3F9885"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CAE22F"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5403E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Power point presentation on my research topic at nematology meeting HAU</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27C00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FE2B59"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Nematology meeting_2.07.2021.pptx</w:t>
            </w:r>
          </w:p>
        </w:tc>
      </w:tr>
      <w:tr w:rsidR="00080D78" w:rsidRPr="00CB69B8" w14:paraId="69FED15A"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2A16595A"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366E9E9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4CC62ED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Publication</w:t>
            </w:r>
          </w:p>
        </w:tc>
      </w:tr>
      <w:tr w:rsidR="00080D78" w:rsidRPr="00CB69B8" w14:paraId="50687EE1"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6FB26A3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AA0EDB6"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7ACC282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052DFDA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5E4E0D30"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3D852B5"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CE9C2D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EE4B13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466E3450"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D9AB8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14/09/21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96BC1B"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Text</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BB0BA8"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Scientific writing seminar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BB208B"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DC5FA4"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virtual scientific writing webinar organized by Nemafrica on 20/08/21. The webinar covered topics on scientific </w:t>
            </w:r>
            <w:r w:rsidRPr="00CB69B8">
              <w:rPr>
                <w:rFonts w:ascii="Arial" w:eastAsia="Arial" w:hAnsi="Arial" w:cs="Arial"/>
                <w:color w:val="000000"/>
                <w:sz w:val="24"/>
                <w:szCs w:val="24"/>
                <w:lang w:eastAsia="en-GB"/>
              </w:rPr>
              <w:lastRenderedPageBreak/>
              <w:t xml:space="preserve">writing such as Preparation and writing high-quality research papers, understanding editorial process and requirements by editors, identifying credible journals, and best practices for submitting a paper and peer review. </w:t>
            </w:r>
          </w:p>
        </w:tc>
      </w:tr>
      <w:tr w:rsidR="00080D78" w:rsidRPr="00CB69B8" w14:paraId="302FD3A1"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BDE3FA"/>
            <w:tcMar>
              <w:top w:w="39" w:type="dxa"/>
              <w:left w:w="39" w:type="dxa"/>
              <w:bottom w:w="39" w:type="dxa"/>
              <w:right w:w="39" w:type="dxa"/>
            </w:tcMar>
            <w:vAlign w:val="center"/>
          </w:tcPr>
          <w:p w14:paraId="735CD8E1"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858" w:type="dxa"/>
            <w:gridSpan w:val="8"/>
            <w:tcBorders>
              <w:top w:val="single" w:sz="7" w:space="0" w:color="D3D3D3"/>
              <w:left w:val="nil"/>
              <w:bottom w:val="single" w:sz="7" w:space="0" w:color="D3D3D3"/>
              <w:right w:val="single" w:sz="7" w:space="0" w:color="D3D3D3"/>
            </w:tcBorders>
            <w:shd w:val="clear" w:color="auto" w:fill="BDE3FA"/>
            <w:tcMar>
              <w:top w:w="39" w:type="dxa"/>
              <w:left w:w="39" w:type="dxa"/>
              <w:bottom w:w="39" w:type="dxa"/>
              <w:right w:w="39" w:type="dxa"/>
            </w:tcMar>
            <w:vAlign w:val="center"/>
          </w:tcPr>
          <w:p w14:paraId="4BF925E6"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Engagement and impact (D3)</w:t>
            </w:r>
          </w:p>
        </w:tc>
      </w:tr>
      <w:tr w:rsidR="00080D78" w:rsidRPr="00CB69B8" w14:paraId="1A2A2507" w14:textId="77777777" w:rsidTr="00597F9F">
        <w:trPr>
          <w:trHeight w:val="318"/>
        </w:trPr>
        <w:tc>
          <w:tcPr>
            <w:tcW w:w="159" w:type="dxa"/>
            <w:tcBorders>
              <w:top w:val="single" w:sz="7" w:space="0" w:color="D3D3D3"/>
              <w:left w:val="single" w:sz="7" w:space="0" w:color="D3D3D3"/>
              <w:bottom w:val="single" w:sz="7" w:space="0" w:color="D3D3D3"/>
              <w:right w:val="nil"/>
            </w:tcBorders>
            <w:shd w:val="clear" w:color="auto" w:fill="CDE7CB"/>
            <w:tcMar>
              <w:top w:w="39" w:type="dxa"/>
              <w:left w:w="39" w:type="dxa"/>
              <w:bottom w:w="39" w:type="dxa"/>
              <w:right w:w="39" w:type="dxa"/>
            </w:tcMar>
            <w:vAlign w:val="center"/>
          </w:tcPr>
          <w:p w14:paraId="35D6909F"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shd w:val="clear" w:color="auto" w:fill="CDE7CB"/>
            <w:tcMar>
              <w:top w:w="39" w:type="dxa"/>
              <w:left w:w="39" w:type="dxa"/>
              <w:bottom w:w="39" w:type="dxa"/>
              <w:right w:w="39" w:type="dxa"/>
            </w:tcMar>
            <w:vAlign w:val="center"/>
          </w:tcPr>
          <w:p w14:paraId="0376E20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698" w:type="dxa"/>
            <w:gridSpan w:val="7"/>
            <w:tcBorders>
              <w:top w:val="single" w:sz="7" w:space="0" w:color="D3D3D3"/>
              <w:left w:val="nil"/>
              <w:bottom w:val="single" w:sz="7" w:space="0" w:color="D3D3D3"/>
              <w:right w:val="single" w:sz="7" w:space="0" w:color="D3D3D3"/>
            </w:tcBorders>
            <w:shd w:val="clear" w:color="auto" w:fill="CDE7CB"/>
            <w:tcMar>
              <w:top w:w="39" w:type="dxa"/>
              <w:left w:w="39" w:type="dxa"/>
              <w:bottom w:w="39" w:type="dxa"/>
              <w:right w:w="39" w:type="dxa"/>
            </w:tcMar>
            <w:vAlign w:val="center"/>
          </w:tcPr>
          <w:p w14:paraId="02C9FE37"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Public engagement</w:t>
            </w:r>
          </w:p>
        </w:tc>
      </w:tr>
      <w:tr w:rsidR="00080D78" w:rsidRPr="00CB69B8" w14:paraId="5FF11B96" w14:textId="77777777" w:rsidTr="00597F9F">
        <w:trPr>
          <w:trHeight w:val="262"/>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5DDB34FE"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3D8CCEA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5DE01F4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4538" w:type="dxa"/>
            <w:gridSpan w:val="6"/>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7A1DAFE0"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Phase 1</w:t>
            </w:r>
          </w:p>
        </w:tc>
      </w:tr>
      <w:tr w:rsidR="00080D78" w:rsidRPr="00CB69B8" w14:paraId="5237250A" w14:textId="77777777" w:rsidTr="00597F9F">
        <w:trPr>
          <w:trHeight w:val="375"/>
        </w:trPr>
        <w:tc>
          <w:tcPr>
            <w:tcW w:w="159" w:type="dxa"/>
            <w:tcBorders>
              <w:top w:val="single" w:sz="7" w:space="0" w:color="D3D3D3"/>
              <w:left w:val="single" w:sz="7" w:space="0" w:color="D3D3D3"/>
              <w:bottom w:val="single" w:sz="7" w:space="0" w:color="D3D3D3"/>
              <w:right w:val="nil"/>
            </w:tcBorders>
            <w:tcMar>
              <w:top w:w="39" w:type="dxa"/>
              <w:left w:w="39" w:type="dxa"/>
              <w:bottom w:w="39" w:type="dxa"/>
              <w:right w:w="39" w:type="dxa"/>
            </w:tcMar>
          </w:tcPr>
          <w:p w14:paraId="3FBC2308"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2F98C612"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60" w:type="dxa"/>
            <w:tcBorders>
              <w:top w:val="single" w:sz="7" w:space="0" w:color="D3D3D3"/>
              <w:left w:val="nil"/>
              <w:bottom w:val="single" w:sz="7" w:space="0" w:color="D3D3D3"/>
              <w:right w:val="nil"/>
            </w:tcBorders>
            <w:tcMar>
              <w:top w:w="39" w:type="dxa"/>
              <w:left w:w="39" w:type="dxa"/>
              <w:bottom w:w="39" w:type="dxa"/>
              <w:right w:w="39" w:type="dxa"/>
            </w:tcMar>
          </w:tcPr>
          <w:p w14:paraId="12F3640D"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99" w:type="dxa"/>
            <w:tcBorders>
              <w:top w:val="single" w:sz="7" w:space="0" w:color="D3D3D3"/>
              <w:left w:val="nil"/>
              <w:bottom w:val="single" w:sz="7" w:space="0" w:color="D3D3D3"/>
              <w:right w:val="single" w:sz="7" w:space="0" w:color="D3D3D3"/>
            </w:tcBorders>
            <w:tcMar>
              <w:top w:w="39" w:type="dxa"/>
              <w:left w:w="39" w:type="dxa"/>
              <w:bottom w:w="39" w:type="dxa"/>
              <w:right w:w="39" w:type="dxa"/>
            </w:tcMar>
          </w:tcPr>
          <w:p w14:paraId="1E521374"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10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C0FC9E"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15/09/21</w:t>
            </w:r>
          </w:p>
        </w:tc>
        <w:tc>
          <w:tcPr>
            <w:tcW w:w="11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A80B11"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File</w:t>
            </w:r>
          </w:p>
        </w:tc>
        <w:tc>
          <w:tcPr>
            <w:tcW w:w="26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BD8AED"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Attended a training on power point presentation skills in scientific communication </w:t>
            </w:r>
          </w:p>
        </w:tc>
        <w:tc>
          <w:tcPr>
            <w:tcW w:w="24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879AC3" w14:textId="77777777" w:rsidR="00080D78" w:rsidRPr="00CB69B8" w:rsidRDefault="00080D78" w:rsidP="00597F9F">
            <w:pPr>
              <w:spacing w:after="0" w:line="240" w:lineRule="auto"/>
              <w:rPr>
                <w:rFonts w:ascii="Arial" w:eastAsia="Times New Roman" w:hAnsi="Arial" w:cs="Arial"/>
                <w:sz w:val="24"/>
                <w:szCs w:val="24"/>
                <w:lang w:eastAsia="en-GB"/>
              </w:rPr>
            </w:pPr>
          </w:p>
        </w:tc>
        <w:tc>
          <w:tcPr>
            <w:tcW w:w="70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48FDA2" w14:textId="77777777" w:rsidR="00080D78" w:rsidRPr="00CB69B8" w:rsidRDefault="00080D78" w:rsidP="00597F9F">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Nyambura Mwangi.pdf</w:t>
            </w:r>
          </w:p>
        </w:tc>
      </w:tr>
    </w:tbl>
    <w:p w14:paraId="65F82070" w14:textId="20A35F38" w:rsidR="00080D78" w:rsidRPr="00080D78" w:rsidRDefault="00080D78" w:rsidP="00080D78">
      <w:pPr>
        <w:sectPr w:rsidR="00080D78" w:rsidRPr="00080D78" w:rsidSect="00636AA9">
          <w:pgSz w:w="16838" w:h="11906" w:orient="landscape"/>
          <w:pgMar w:top="1440" w:right="1440" w:bottom="1440" w:left="1440" w:header="708" w:footer="708" w:gutter="0"/>
          <w:cols w:space="708"/>
          <w:docGrid w:linePitch="360"/>
        </w:sectPr>
      </w:pPr>
    </w:p>
    <w:p w14:paraId="42B516F2" w14:textId="0FC71EC5" w:rsidR="00080D78" w:rsidRPr="00080D78" w:rsidRDefault="00080D78" w:rsidP="00080D78">
      <w:pPr>
        <w:pStyle w:val="Heading1"/>
        <w:rPr>
          <w:rFonts w:ascii="Arial" w:hAnsi="Arial" w:cs="Arial"/>
          <w:b/>
          <w:color w:val="000000" w:themeColor="text1"/>
          <w:sz w:val="24"/>
          <w:szCs w:val="24"/>
        </w:rPr>
      </w:pPr>
      <w:bookmarkStart w:id="68" w:name="_Toc110341305"/>
      <w:r w:rsidRPr="00080D78">
        <w:rPr>
          <w:rFonts w:ascii="Arial" w:hAnsi="Arial" w:cs="Arial"/>
          <w:b/>
          <w:color w:val="000000" w:themeColor="text1"/>
          <w:sz w:val="24"/>
          <w:szCs w:val="24"/>
        </w:rPr>
        <w:lastRenderedPageBreak/>
        <w:t xml:space="preserve">Appendix B: </w:t>
      </w:r>
      <w:r w:rsidR="00CB69B8" w:rsidRPr="00080D78">
        <w:rPr>
          <w:rFonts w:ascii="Arial" w:hAnsi="Arial" w:cs="Arial"/>
          <w:b/>
          <w:color w:val="000000" w:themeColor="text1"/>
          <w:sz w:val="24"/>
          <w:szCs w:val="24"/>
        </w:rPr>
        <w:t>RDF Action plan</w:t>
      </w:r>
      <w:bookmarkEnd w:id="68"/>
      <w:r w:rsidR="00CB69B8" w:rsidRPr="00080D78">
        <w:rPr>
          <w:rFonts w:ascii="Arial" w:hAnsi="Arial" w:cs="Arial"/>
          <w:b/>
          <w:color w:val="000000" w:themeColor="text1"/>
          <w:sz w:val="24"/>
          <w:szCs w:val="24"/>
        </w:rPr>
        <w:t xml:space="preserve"> </w:t>
      </w:r>
    </w:p>
    <w:tbl>
      <w:tblPr>
        <w:tblW w:w="0" w:type="auto"/>
        <w:tblCellMar>
          <w:left w:w="0" w:type="dxa"/>
          <w:right w:w="0" w:type="dxa"/>
        </w:tblCellMar>
        <w:tblLook w:val="0000" w:firstRow="0" w:lastRow="0" w:firstColumn="0" w:lastColumn="0" w:noHBand="0" w:noVBand="0"/>
      </w:tblPr>
      <w:tblGrid>
        <w:gridCol w:w="10771"/>
      </w:tblGrid>
      <w:tr w:rsidR="00CB69B8" w:rsidRPr="00CB69B8" w14:paraId="21162857" w14:textId="77777777" w:rsidTr="00CB69B8">
        <w:tc>
          <w:tcPr>
            <w:tcW w:w="10771"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81"/>
              <w:gridCol w:w="282"/>
              <w:gridCol w:w="4525"/>
              <w:gridCol w:w="1133"/>
              <w:gridCol w:w="1133"/>
              <w:gridCol w:w="1133"/>
              <w:gridCol w:w="1133"/>
              <w:gridCol w:w="1133"/>
            </w:tblGrid>
            <w:tr w:rsidR="00CB69B8" w:rsidRPr="00CB69B8" w14:paraId="361B9D79" w14:textId="77777777" w:rsidTr="00CB69B8">
              <w:trPr>
                <w:trHeight w:val="356"/>
              </w:trPr>
              <w:tc>
                <w:tcPr>
                  <w:tcW w:w="283"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D258DF4"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4C3BFF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b/>
                      <w:color w:val="000000"/>
                      <w:sz w:val="24"/>
                      <w:szCs w:val="24"/>
                      <w:lang w:eastAsia="en-GB"/>
                    </w:rPr>
                    <w:t>Phase 1</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4A7C64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b/>
                      <w:color w:val="000000"/>
                      <w:sz w:val="24"/>
                      <w:szCs w:val="24"/>
                      <w:lang w:eastAsia="en-GB"/>
                    </w:rPr>
                    <w:t>Phase 2</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36EC5C5"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b/>
                      <w:color w:val="000000"/>
                      <w:sz w:val="24"/>
                      <w:szCs w:val="24"/>
                      <w:lang w:eastAsia="en-GB"/>
                    </w:rPr>
                    <w:t>Phase 3</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BA5FC1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b/>
                      <w:color w:val="000000"/>
                      <w:sz w:val="24"/>
                      <w:szCs w:val="24"/>
                      <w:lang w:eastAsia="en-GB"/>
                    </w:rPr>
                    <w:t>Phase 4</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9C5034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b/>
                      <w:color w:val="000000"/>
                      <w:sz w:val="24"/>
                      <w:szCs w:val="24"/>
                      <w:lang w:eastAsia="en-GB"/>
                    </w:rPr>
                    <w:t>Phase 5</w:t>
                  </w:r>
                </w:p>
              </w:tc>
            </w:tr>
            <w:tr w:rsidR="00CB69B8" w:rsidRPr="00CB69B8" w14:paraId="118AA92C" w14:textId="77777777" w:rsidTr="00CB69B8">
              <w:trPr>
                <w:trHeight w:val="262"/>
              </w:trPr>
              <w:tc>
                <w:tcPr>
                  <w:tcW w:w="283" w:type="dxa"/>
                  <w:gridSpan w:val="8"/>
                  <w:tcBorders>
                    <w:top w:val="single" w:sz="7" w:space="0" w:color="D3D3D3"/>
                    <w:left w:val="single" w:sz="7" w:space="0" w:color="D3D3D3"/>
                    <w:bottom w:val="single" w:sz="7" w:space="0" w:color="D3D3D3"/>
                    <w:right w:val="single" w:sz="7" w:space="0" w:color="D3D3D3"/>
                  </w:tcBorders>
                  <w:shd w:val="clear" w:color="auto" w:fill="9CDCF8"/>
                  <w:tcMar>
                    <w:top w:w="39" w:type="dxa"/>
                    <w:left w:w="39" w:type="dxa"/>
                    <w:bottom w:w="39" w:type="dxa"/>
                    <w:right w:w="39" w:type="dxa"/>
                  </w:tcMar>
                  <w:vAlign w:val="center"/>
                </w:tcPr>
                <w:p w14:paraId="5C750D43"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Knowledge and intellectual abilities (A)</w:t>
                  </w:r>
                </w:p>
              </w:tc>
            </w:tr>
            <w:tr w:rsidR="00CB69B8" w:rsidRPr="00CB69B8" w14:paraId="3D4A5DF1"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0F88AAB2"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gridSpan w:val="7"/>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09091A80"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Knowledge base (A1)</w:t>
                  </w:r>
                </w:p>
              </w:tc>
            </w:tr>
            <w:tr w:rsidR="00CB69B8" w:rsidRPr="00CB69B8" w14:paraId="571AED8E"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6902BE4A"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294B119F"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3FEFDA74"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Subject knowledge</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9C57E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Achieved</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E40E0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Achieved</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FA3047"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Achieved</w:t>
                  </w:r>
                </w:p>
              </w:tc>
            </w:tr>
            <w:tr w:rsidR="00CB69B8" w:rsidRPr="00CB69B8" w14:paraId="11700183"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3F1851A7"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2301512E"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04941F91"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Research methods - theoretical knowledge</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8BA69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Achieved</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82A91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Achieved</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9D1CEA"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6AFCC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56425F30"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10F6C04E"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653C2F46"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50EE8072"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Research methods - practical application</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C28475"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Achieved</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605DB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F6F2F7"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D3D94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31912351"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4B4AA6B4"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09EA214F"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760C85F9"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Information seeking</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7C9D1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A34A1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5EC3FA"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4F803D6F"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28049792"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533777E8"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11FFDE25"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Information literacy and management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F9E345"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909FE3"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52AECA"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0867BB"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653BCDD0"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05C1B6A0"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7387CFCB"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3C3B9D60"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Languages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1144D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89D0B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186DDF"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393518BF"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4253A18B"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1D692A70"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668DD577"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Academic literacy and numeracy</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431AB5"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6481D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D6317B"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004ACFF1"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450321CA"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gridSpan w:val="7"/>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24342A63"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Cognitive abilities (A2)</w:t>
                  </w:r>
                </w:p>
              </w:tc>
            </w:tr>
            <w:tr w:rsidR="00CB69B8" w:rsidRPr="00CB69B8" w14:paraId="56A8CAE8"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5117F7F6"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1F90870A"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0699575D"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Analysing</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B93E43"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966203"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3AE67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59CBBD85"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247D1866"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6E1DCD08"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084F8CCB"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Synthesising</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D8F5F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61546F"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F0ED47"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3C599172"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7832738D"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4287D911"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709F29EE"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Critical thinking</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18779D"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B1881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BED43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DF1C9D"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593C1EF7"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532D9728"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170CC415"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5FCB1858"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Evaluating</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71C31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55D1A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59938B"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7E101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2484D618"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727CD70C"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3A52E816"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199E703B"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Problem solving</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4451E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07469D"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2CCF5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1A784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05698BD2"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17162732"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gridSpan w:val="7"/>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47EA5FC9"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Creativity (A3)</w:t>
                  </w:r>
                </w:p>
              </w:tc>
            </w:tr>
            <w:tr w:rsidR="00CB69B8" w:rsidRPr="00CB69B8" w14:paraId="5897A44B"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3D25BD0C"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6BD25351"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7ED34215"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Inquiring mind</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9B22FB"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99BAB2"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9C0B63"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6DD52A"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000086E9"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4C86AAA3"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654CFD70"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55A3A3CD"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Intellectual insight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CFE1D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16C972"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3AEEEF"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ED337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DC6AF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725698C8"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2F4451D2"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6B03A01A"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0521E505"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Innovation</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5BAB57"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C8D6C3"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E3CC7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288A8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26C70F83"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7F301EA6"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7414B904"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5A0AD240"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Argument construction</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30CE9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71916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E3F8A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05BF0D77"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3DAADD32"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5EF4A160"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69DFD463"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Intellectual risk</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E3C51D"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0DB9A3"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975C5B"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4281F1F9" w14:textId="77777777" w:rsidTr="00CB69B8">
              <w:trPr>
                <w:trHeight w:val="262"/>
              </w:trPr>
              <w:tc>
                <w:tcPr>
                  <w:tcW w:w="283" w:type="dxa"/>
                  <w:gridSpan w:val="8"/>
                  <w:tcBorders>
                    <w:top w:val="single" w:sz="7" w:space="0" w:color="D3D3D3"/>
                    <w:left w:val="single" w:sz="7" w:space="0" w:color="D3D3D3"/>
                    <w:bottom w:val="single" w:sz="7" w:space="0" w:color="D3D3D3"/>
                    <w:right w:val="single" w:sz="7" w:space="0" w:color="D3D3D3"/>
                  </w:tcBorders>
                  <w:shd w:val="clear" w:color="auto" w:fill="BAC9E6"/>
                  <w:tcMar>
                    <w:top w:w="39" w:type="dxa"/>
                    <w:left w:w="39" w:type="dxa"/>
                    <w:bottom w:w="39" w:type="dxa"/>
                    <w:right w:w="39" w:type="dxa"/>
                  </w:tcMar>
                  <w:vAlign w:val="center"/>
                </w:tcPr>
                <w:p w14:paraId="0D745232"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Personal effectiveness (B)</w:t>
                  </w:r>
                </w:p>
              </w:tc>
            </w:tr>
            <w:tr w:rsidR="00CB69B8" w:rsidRPr="00CB69B8" w14:paraId="1E06DBA6"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0E2CC4F0"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gridSpan w:val="7"/>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668BD8BE"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Personal qualities (B1)</w:t>
                  </w:r>
                </w:p>
              </w:tc>
            </w:tr>
            <w:tr w:rsidR="00CB69B8" w:rsidRPr="00CB69B8" w14:paraId="6A505362"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082534FE"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166EA4E8"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2DB90756"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Enthusiasm</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5B4AC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Achieved</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509AA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498A6D"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68A3D29A"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269BC400"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40BAEEF8"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5E6E780F"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Perseverance</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00BABB"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Achieved</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086542"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Achieved</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218033"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Achieved</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3FFB9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Achieved</w:t>
                  </w:r>
                </w:p>
              </w:tc>
            </w:tr>
            <w:tr w:rsidR="00CB69B8" w:rsidRPr="00CB69B8" w14:paraId="28106B0F"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6FD35CB9"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1A990BF0"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7C6BAADC"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Integrity</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86AE5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DBE3C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BD1EE7"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57822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29AE4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005326FE"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18E7E2F0"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12F9C56A"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13173E24"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Self-confidence</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B79B4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CC04F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E6AD5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943B32"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AFB22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52985C79"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110B8C0F"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0308CE42"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03DD5B4E"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Self-reflection</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04742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Achieved</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E883EE"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1A360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11A68700"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3A20804C"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0BE6C47F"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2F0CEA4B"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Responsibility</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8514E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7F39E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DD5345"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D05DA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7E2B3283"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3C95B39D"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gridSpan w:val="7"/>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561852BE"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Self-management (B2)</w:t>
                  </w:r>
                </w:p>
              </w:tc>
            </w:tr>
            <w:tr w:rsidR="00CB69B8" w:rsidRPr="00CB69B8" w14:paraId="6F4B8F23"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5A3DD695"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115DE9E0"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5AE1DE63"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Preparation and prioritisation</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1D55A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Achieved</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6BD1C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5B2DD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FA3837"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21C2A5EC"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40BF26E7"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0044490F"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56B36F75"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Commitment to research</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C7BF63"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05FFB2"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2F3B7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09EC8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4FBD832B"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436403C9"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6EF20092"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550CD6FA"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Time management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A00B1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D5414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35F9D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0071B499"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345DE3F6"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10FF17F5"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2546BF56"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Responsiveness to change</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271BF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687E6A"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C67E6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EB08DB"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BFAD8D"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2DCDA9ED"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2529F1CE"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552E235C"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660F5640"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Work-life balance</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6CC4E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CA516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A15F3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2BDD15CF"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45FCBBBE"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gridSpan w:val="7"/>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0BBB4F47"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Professional and career development (B3)</w:t>
                  </w:r>
                </w:p>
              </w:tc>
            </w:tr>
            <w:tr w:rsidR="00CB69B8" w:rsidRPr="00CB69B8" w14:paraId="6B155194"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5B9A76D2"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4FCD4136"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104B962D"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Career management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CD02DB"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F3627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15B0C5"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2B563A"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97AEB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7CCBDCD4"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2BE79974"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6EF6B867"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0A0D2947"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Continuing professional development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F544F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6365BD"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42CB5F"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80A87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36CDB6F1"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33E3BE08"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42FE0D0D"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274784E4"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Responsiveness to opportunities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C1D825"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8E01E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EC8597"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6EE11485"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0CF0012A"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6E6951EA"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59787DE9"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Networking</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832FE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D0BB95"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B90BE3"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09C542"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4F1B8504"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4BDD1E37"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7CDCF892"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4438FC04"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Reputation and esteem</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28EC6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025283"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24214F"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1EDCF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0FE6F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162CCAAE" w14:textId="77777777" w:rsidTr="00CB69B8">
              <w:trPr>
                <w:trHeight w:val="262"/>
              </w:trPr>
              <w:tc>
                <w:tcPr>
                  <w:tcW w:w="283" w:type="dxa"/>
                  <w:gridSpan w:val="8"/>
                  <w:tcBorders>
                    <w:top w:val="single" w:sz="7" w:space="0" w:color="D3D3D3"/>
                    <w:left w:val="single" w:sz="7" w:space="0" w:color="D3D3D3"/>
                    <w:bottom w:val="single" w:sz="7" w:space="0" w:color="D3D3D3"/>
                    <w:right w:val="single" w:sz="7" w:space="0" w:color="D3D3D3"/>
                  </w:tcBorders>
                  <w:shd w:val="clear" w:color="auto" w:fill="A7D4D9"/>
                  <w:tcMar>
                    <w:top w:w="39" w:type="dxa"/>
                    <w:left w:w="39" w:type="dxa"/>
                    <w:bottom w:w="39" w:type="dxa"/>
                    <w:right w:w="39" w:type="dxa"/>
                  </w:tcMar>
                  <w:vAlign w:val="center"/>
                </w:tcPr>
                <w:p w14:paraId="6DCABFCB"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Research organisation and governance (C)</w:t>
                  </w:r>
                </w:p>
              </w:tc>
            </w:tr>
            <w:tr w:rsidR="00CB69B8" w:rsidRPr="00CB69B8" w14:paraId="5D931692"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4F683978"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gridSpan w:val="7"/>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6C719CA3"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Professional conduct (C1)</w:t>
                  </w:r>
                </w:p>
              </w:tc>
            </w:tr>
            <w:tr w:rsidR="00CB69B8" w:rsidRPr="00CB69B8" w14:paraId="03E08065"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6ED5B488"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177BA8EA"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7E0BD4DF"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Health and safety</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F2743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Achieved</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61FA23"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C5F07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A7310A"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1139BA"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6095480B"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56AA64C7"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61E90813"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43E79C51"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Ethics, principles and sustainability</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6499FB"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7401C2"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744592"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9DC09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F13BF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3800F10F"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59F9B060"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5AF03FAB"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4DC7796F"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Legal requirements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8A69E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0D567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BB498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00BDB2"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7A46F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7395EB0C"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172C8DF0"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234E0096"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02795084"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IPR and copyright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127927"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BE6C3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4965E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D7BDB7"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67E9EC8C"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59672CD6"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662FE2C9"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561C1914"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Respect and confidentiality</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FAE8DD"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C41C8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877ABA"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7C0BEF"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E2ABE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716B18C1"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1424AE13"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5E36C200"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75BD758E"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Attribution and co-authorship</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53B69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903E7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B9D20D"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BBE4A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3FFA1E"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21C112B6"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34A1855F"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33865EA9"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44EA485E"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Appropriate practice</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E7293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2538D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024E5F"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856A2E"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472E1F"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0309C80B"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06F7937B"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gridSpan w:val="7"/>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62E19479"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Research management (C2)</w:t>
                  </w:r>
                </w:p>
              </w:tc>
            </w:tr>
            <w:tr w:rsidR="00CB69B8" w:rsidRPr="00CB69B8" w14:paraId="618B70F6"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294BF88F"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628B4005"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1323E7E5"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Research strategy</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83FB2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46110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07426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0660B5C6"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3D797DD6"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78DD46DE"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5BF4A177"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Project planning and delivery</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E344F2"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D8D54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7AC4B5"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D92B5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3AC6ABEE"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472A287F"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3760797D"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0B2172BA"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Risk management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3AF38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9D777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FC8F2F"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0DC33B"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07A16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04212EF2"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72BE8AF2"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gridSpan w:val="7"/>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12E55CAE"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Finance, funding and resources (C3)</w:t>
                  </w:r>
                </w:p>
              </w:tc>
            </w:tr>
            <w:tr w:rsidR="00CB69B8" w:rsidRPr="00CB69B8" w14:paraId="36BB4339"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0812A214"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4DE09A87"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3C950EE6"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Income and funding generation</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696FF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810A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A273B7"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3DDFB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41EA907D"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490EA4D8"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51D6C2B7"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36F8D4ED"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 xml:space="preserve">Financial management </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0D57E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F1D73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D934F7"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D1C11F"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79B3AD22"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5EB5D729"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010C323D"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4BF008AE"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Infrastructure and resources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89CFBB"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F31A0B"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3ADB1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F297BA"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6681183B" w14:textId="77777777" w:rsidTr="00CB69B8">
              <w:trPr>
                <w:trHeight w:val="262"/>
              </w:trPr>
              <w:tc>
                <w:tcPr>
                  <w:tcW w:w="283" w:type="dxa"/>
                  <w:gridSpan w:val="8"/>
                  <w:tcBorders>
                    <w:top w:val="single" w:sz="7" w:space="0" w:color="D3D3D3"/>
                    <w:left w:val="single" w:sz="7" w:space="0" w:color="D3D3D3"/>
                    <w:bottom w:val="single" w:sz="7" w:space="0" w:color="D3D3D3"/>
                    <w:right w:val="single" w:sz="7" w:space="0" w:color="D3D3D3"/>
                  </w:tcBorders>
                  <w:shd w:val="clear" w:color="auto" w:fill="C5B1CE"/>
                  <w:tcMar>
                    <w:top w:w="39" w:type="dxa"/>
                    <w:left w:w="39" w:type="dxa"/>
                    <w:bottom w:w="39" w:type="dxa"/>
                    <w:right w:w="39" w:type="dxa"/>
                  </w:tcMar>
                  <w:vAlign w:val="center"/>
                </w:tcPr>
                <w:p w14:paraId="7D05E723"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Communication, influence and impact (D)</w:t>
                  </w:r>
                </w:p>
              </w:tc>
            </w:tr>
            <w:tr w:rsidR="00CB69B8" w:rsidRPr="00CB69B8" w14:paraId="34101F3B"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018B8CA5"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gridSpan w:val="7"/>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619F370F"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Working with others (D1)</w:t>
                  </w:r>
                </w:p>
              </w:tc>
            </w:tr>
            <w:tr w:rsidR="00CB69B8" w:rsidRPr="00CB69B8" w14:paraId="709FC892"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698AE523"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10854D3B"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64F077EB"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Collegiality</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35680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E3F54F"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46B6C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DF03C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6546DDF2"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3CDE7191"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3CB78A23"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683B3EF9"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Team working</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EBC3A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BCC3EA"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B4CC5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0FE165"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5664F8FE"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6ABD694C"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7F7D8762"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0DBFC7B2"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People management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5CAC5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4C53AF"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331E6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21B68D"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46AF3834"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7AB103D5"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73ED013B"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66552234"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Supervision</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0E02C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8D56A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40F2C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593F7C96"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4B0BF04B"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240E3913"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50B060D9"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Mentoring</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80419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61391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D8DFA7"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090CDE"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2CA24CF6"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739B5B75"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2A1096F5"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597C0DCB"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Influence and leadership</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2A07F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FE1FF"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0DE2FB"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C98E07"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5A6A0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50D98810"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696F389B"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6ADB77D6"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00912B4E"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Collaboration</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370BCD"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CCA7B7"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4B008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602E35"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5D1F199B"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44459B5D"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3D66188D"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10C8A3EE"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Equality and diversity</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45989B"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FC668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F5F20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52DE1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1301D13C"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0D2635D0"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gridSpan w:val="7"/>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0DEB32A0"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Communication and dissemination (D2)</w:t>
                  </w:r>
                </w:p>
              </w:tc>
            </w:tr>
            <w:tr w:rsidR="00CB69B8" w:rsidRPr="00CB69B8" w14:paraId="7A6D5F9B"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47C4AB9C"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5EF85E14"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793E205F"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Communication methods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6CC70F"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1D6FAD"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5228E5"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F7CC8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0A2E3422"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50F9A8FB"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14D47FC6"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3736998F"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Communication media</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ADD97E"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7D88BE"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F3D64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70929F"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B5D16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54082F5B"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2992B154"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7BA9A719"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367C6424"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Publication</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1A8EDF"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E7DA06"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A4104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11C73D"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155FC7"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5A13A7DF"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590D9CA2"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gridSpan w:val="7"/>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7A3EE63D"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Engagement and impact (D3)</w:t>
                  </w:r>
                </w:p>
              </w:tc>
            </w:tr>
            <w:tr w:rsidR="00CB69B8" w:rsidRPr="00CB69B8" w14:paraId="708929E1"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3F1BFDA3"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2FDE3813"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7B19ECEB"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Teaching</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A2E02B"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7EA19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09309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9AB11B"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056568A3"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59188B1B"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1D9D7A14"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3D6120FD"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Public engagement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3B6DF0"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In progress</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F57CD5"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C2DFC2"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0EC9ED"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6BB0CEF8"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1E6BE47F"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2C29A737"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5500C2F8"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Enterprise</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4483B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7D618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13BA1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D78908"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0D5FDA36"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790102D7"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36D6F0F6"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6EE6D4C5"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Policy</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7D8DBE"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B37562"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AB15C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6E6F5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B261D4"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7ECD73FD"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3142F514"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70C0C13A"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2DC1BA6B"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Society and culture</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196785"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A5528C"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5CC12A"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6B4F49"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r w:rsidR="00CB69B8" w:rsidRPr="00CB69B8" w14:paraId="3A4D9A7E" w14:textId="77777777" w:rsidTr="00CB69B8">
              <w:trPr>
                <w:trHeight w:val="262"/>
              </w:trPr>
              <w:tc>
                <w:tcPr>
                  <w:tcW w:w="283"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2AE7B443"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283" w:type="dxa"/>
                  <w:tcBorders>
                    <w:top w:val="single" w:sz="7" w:space="0" w:color="D3D3D3"/>
                    <w:left w:val="nil"/>
                    <w:bottom w:val="single" w:sz="7" w:space="0" w:color="D3D3D3"/>
                    <w:right w:val="nil"/>
                  </w:tcBorders>
                  <w:tcMar>
                    <w:top w:w="39" w:type="dxa"/>
                    <w:left w:w="39" w:type="dxa"/>
                    <w:bottom w:w="39" w:type="dxa"/>
                    <w:right w:w="39" w:type="dxa"/>
                  </w:tcMar>
                  <w:vAlign w:val="center"/>
                </w:tcPr>
                <w:p w14:paraId="15FB31DA" w14:textId="77777777" w:rsidR="00CB69B8" w:rsidRPr="00CB69B8" w:rsidRDefault="00CB69B8" w:rsidP="00CB69B8">
                  <w:pPr>
                    <w:spacing w:after="0" w:line="240" w:lineRule="auto"/>
                    <w:rPr>
                      <w:rFonts w:ascii="Arial" w:eastAsia="Times New Roman" w:hAnsi="Arial" w:cs="Arial"/>
                      <w:sz w:val="24"/>
                      <w:szCs w:val="24"/>
                      <w:lang w:eastAsia="en-GB"/>
                    </w:rPr>
                  </w:pPr>
                </w:p>
              </w:tc>
              <w:tc>
                <w:tcPr>
                  <w:tcW w:w="4535"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60B444EC" w14:textId="77777777" w:rsidR="00CB69B8" w:rsidRPr="00CB69B8" w:rsidRDefault="00CB69B8" w:rsidP="00CB69B8">
                  <w:pPr>
                    <w:spacing w:after="0" w:line="240" w:lineRule="auto"/>
                    <w:rPr>
                      <w:rFonts w:ascii="Arial" w:eastAsia="Times New Roman" w:hAnsi="Arial" w:cs="Arial"/>
                      <w:sz w:val="24"/>
                      <w:szCs w:val="24"/>
                      <w:lang w:eastAsia="en-GB"/>
                    </w:rPr>
                  </w:pPr>
                  <w:r w:rsidRPr="00CB69B8">
                    <w:rPr>
                      <w:rFonts w:ascii="Arial" w:eastAsia="Arial" w:hAnsi="Arial" w:cs="Arial"/>
                      <w:color w:val="000000"/>
                      <w:sz w:val="24"/>
                      <w:szCs w:val="24"/>
                      <w:lang w:eastAsia="en-GB"/>
                    </w:rPr>
                    <w:t>Global citizenship</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C4EB92"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8E3813"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0A0A71"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3F6D37" w14:textId="77777777" w:rsidR="00CB69B8" w:rsidRPr="00CB69B8" w:rsidRDefault="00CB69B8" w:rsidP="00CB69B8">
                  <w:pPr>
                    <w:spacing w:after="0" w:line="240" w:lineRule="auto"/>
                    <w:jc w:val="center"/>
                    <w:rPr>
                      <w:rFonts w:ascii="Arial" w:eastAsia="Times New Roman" w:hAnsi="Arial" w:cs="Arial"/>
                      <w:sz w:val="24"/>
                      <w:szCs w:val="24"/>
                      <w:lang w:eastAsia="en-GB"/>
                    </w:rPr>
                  </w:pPr>
                  <w:r w:rsidRPr="00CB69B8">
                    <w:rPr>
                      <w:rFonts w:ascii="Arial" w:eastAsia="Arial" w:hAnsi="Arial" w:cs="Arial"/>
                      <w:color w:val="000000"/>
                      <w:sz w:val="24"/>
                      <w:szCs w:val="24"/>
                      <w:lang w:eastAsia="en-GB"/>
                    </w:rPr>
                    <w:t>-</w:t>
                  </w:r>
                </w:p>
              </w:tc>
            </w:tr>
          </w:tbl>
          <w:p w14:paraId="4E2CA080" w14:textId="77777777" w:rsidR="00CB69B8" w:rsidRPr="00CB69B8" w:rsidRDefault="00CB69B8" w:rsidP="00CB69B8">
            <w:pPr>
              <w:spacing w:after="0" w:line="240" w:lineRule="auto"/>
              <w:rPr>
                <w:rFonts w:ascii="Times New Roman" w:eastAsia="Times New Roman" w:hAnsi="Times New Roman" w:cs="Times New Roman"/>
                <w:sz w:val="20"/>
                <w:szCs w:val="20"/>
                <w:lang w:eastAsia="en-GB"/>
              </w:rPr>
            </w:pPr>
          </w:p>
        </w:tc>
      </w:tr>
    </w:tbl>
    <w:p w14:paraId="6A166346" w14:textId="77777777" w:rsidR="00CB69B8" w:rsidRPr="00CB69B8" w:rsidRDefault="00CB69B8" w:rsidP="00CB69B8">
      <w:pPr>
        <w:spacing w:after="0" w:line="240" w:lineRule="auto"/>
        <w:rPr>
          <w:rFonts w:ascii="Times New Roman" w:eastAsia="Times New Roman" w:hAnsi="Times New Roman" w:cs="Times New Roman"/>
          <w:sz w:val="20"/>
          <w:szCs w:val="20"/>
          <w:lang w:eastAsia="en-GB"/>
        </w:rPr>
      </w:pPr>
    </w:p>
    <w:p w14:paraId="7A0C8E9F" w14:textId="75DDBD56" w:rsidR="005F4E45" w:rsidRDefault="005F4E45">
      <w:pPr>
        <w:rPr>
          <w:rFonts w:ascii="Arial" w:hAnsi="Arial" w:cs="Arial"/>
          <w:color w:val="000000" w:themeColor="text1"/>
          <w:sz w:val="24"/>
          <w:szCs w:val="24"/>
        </w:rPr>
      </w:pPr>
      <w:r>
        <w:rPr>
          <w:rFonts w:ascii="Arial" w:hAnsi="Arial" w:cs="Arial"/>
          <w:color w:val="000000" w:themeColor="text1"/>
          <w:sz w:val="24"/>
          <w:szCs w:val="24"/>
        </w:rPr>
        <w:br w:type="page"/>
      </w:r>
    </w:p>
    <w:p w14:paraId="1F189207" w14:textId="77777777" w:rsidR="00956A8A" w:rsidRDefault="00956A8A" w:rsidP="00311149">
      <w:pPr>
        <w:spacing w:line="360" w:lineRule="auto"/>
        <w:rPr>
          <w:rFonts w:ascii="Arial" w:hAnsi="Arial" w:cs="Arial"/>
          <w:color w:val="000000" w:themeColor="text1"/>
          <w:sz w:val="24"/>
          <w:szCs w:val="24"/>
        </w:rPr>
        <w:sectPr w:rsidR="00956A8A" w:rsidSect="00D95583">
          <w:pgSz w:w="16838" w:h="11906" w:orient="landscape"/>
          <w:pgMar w:top="1440" w:right="1440" w:bottom="1440" w:left="1440" w:header="708" w:footer="708" w:gutter="0"/>
          <w:cols w:space="708"/>
          <w:docGrid w:linePitch="360"/>
        </w:sectPr>
      </w:pPr>
    </w:p>
    <w:tbl>
      <w:tblPr>
        <w:tblpPr w:leftFromText="180" w:rightFromText="180" w:vertAnchor="text" w:horzAnchor="page" w:tblpX="206" w:tblpY="499"/>
        <w:tblW w:w="14535" w:type="dxa"/>
        <w:tblCellMar>
          <w:top w:w="15" w:type="dxa"/>
          <w:bottom w:w="15" w:type="dxa"/>
        </w:tblCellMar>
        <w:tblLook w:val="04A0" w:firstRow="1" w:lastRow="0" w:firstColumn="1" w:lastColumn="0" w:noHBand="0" w:noVBand="1"/>
      </w:tblPr>
      <w:tblGrid>
        <w:gridCol w:w="7088"/>
        <w:gridCol w:w="506"/>
        <w:gridCol w:w="506"/>
        <w:gridCol w:w="506"/>
        <w:gridCol w:w="578"/>
        <w:gridCol w:w="781"/>
        <w:gridCol w:w="781"/>
        <w:gridCol w:w="506"/>
        <w:gridCol w:w="506"/>
        <w:gridCol w:w="506"/>
        <w:gridCol w:w="506"/>
        <w:gridCol w:w="692"/>
        <w:gridCol w:w="567"/>
        <w:gridCol w:w="506"/>
      </w:tblGrid>
      <w:tr w:rsidR="00080D78" w:rsidRPr="00956A8A" w14:paraId="4E6865D0" w14:textId="77777777" w:rsidTr="00597F9F">
        <w:trPr>
          <w:trHeight w:val="263"/>
        </w:trPr>
        <w:tc>
          <w:tcPr>
            <w:tcW w:w="7088" w:type="dxa"/>
            <w:vMerge w:val="restart"/>
            <w:tcBorders>
              <w:top w:val="single" w:sz="4" w:space="0" w:color="auto"/>
              <w:left w:val="single" w:sz="4" w:space="0" w:color="auto"/>
              <w:right w:val="single" w:sz="4" w:space="0" w:color="auto"/>
            </w:tcBorders>
            <w:noWrap/>
            <w:vAlign w:val="center"/>
          </w:tcPr>
          <w:p w14:paraId="051FC5E4" w14:textId="51AA4C4D" w:rsidR="00080D78" w:rsidRPr="00507874" w:rsidRDefault="00080D78" w:rsidP="00597F9F">
            <w:pPr>
              <w:spacing w:after="0" w:line="240" w:lineRule="auto"/>
              <w:rPr>
                <w:rFonts w:ascii="Arial" w:eastAsia="Times New Roman" w:hAnsi="Arial" w:cs="Arial"/>
                <w:b/>
                <w:bCs/>
                <w:color w:val="000000"/>
                <w:sz w:val="24"/>
                <w:szCs w:val="24"/>
                <w:lang w:eastAsia="en-GB"/>
              </w:rPr>
            </w:pPr>
            <w:r w:rsidRPr="00507874">
              <w:rPr>
                <w:rFonts w:ascii="Arial" w:eastAsia="Times New Roman" w:hAnsi="Arial" w:cs="Arial"/>
                <w:b/>
                <w:bCs/>
                <w:color w:val="000000"/>
                <w:sz w:val="24"/>
                <w:szCs w:val="24"/>
                <w:lang w:eastAsia="en-GB"/>
              </w:rPr>
              <w:lastRenderedPageBreak/>
              <w:t>Task Name</w:t>
            </w:r>
          </w:p>
        </w:tc>
        <w:tc>
          <w:tcPr>
            <w:tcW w:w="1518" w:type="dxa"/>
            <w:gridSpan w:val="3"/>
            <w:tcBorders>
              <w:top w:val="single" w:sz="4" w:space="0" w:color="auto"/>
              <w:left w:val="single" w:sz="4" w:space="0" w:color="auto"/>
              <w:bottom w:val="single" w:sz="4" w:space="0" w:color="auto"/>
              <w:right w:val="single" w:sz="4" w:space="0" w:color="auto"/>
            </w:tcBorders>
          </w:tcPr>
          <w:p w14:paraId="2EF7809D" w14:textId="1D1B0943" w:rsidR="00080D78" w:rsidRPr="00507874" w:rsidRDefault="00080D78" w:rsidP="00557127">
            <w:pPr>
              <w:spacing w:after="0" w:line="240" w:lineRule="auto"/>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Year 2021</w:t>
            </w:r>
          </w:p>
        </w:tc>
        <w:tc>
          <w:tcPr>
            <w:tcW w:w="5929" w:type="dxa"/>
            <w:gridSpan w:val="10"/>
            <w:tcBorders>
              <w:top w:val="single" w:sz="4" w:space="0" w:color="auto"/>
              <w:left w:val="single" w:sz="4" w:space="0" w:color="auto"/>
              <w:bottom w:val="single" w:sz="4" w:space="0" w:color="auto"/>
              <w:right w:val="single" w:sz="4" w:space="0" w:color="auto"/>
            </w:tcBorders>
            <w:noWrap/>
            <w:vAlign w:val="bottom"/>
          </w:tcPr>
          <w:p w14:paraId="79E74F4E" w14:textId="1C08D0EE" w:rsidR="00080D78" w:rsidRPr="00507874" w:rsidRDefault="00080D78" w:rsidP="00557127">
            <w:pPr>
              <w:spacing w:after="0" w:line="240" w:lineRule="auto"/>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Year 2022</w:t>
            </w:r>
          </w:p>
        </w:tc>
      </w:tr>
      <w:tr w:rsidR="00080D78" w:rsidRPr="00956A8A" w14:paraId="44C560E4" w14:textId="77777777" w:rsidTr="00597F9F">
        <w:trPr>
          <w:trHeight w:val="1422"/>
        </w:trPr>
        <w:tc>
          <w:tcPr>
            <w:tcW w:w="7088" w:type="dxa"/>
            <w:vMerge/>
            <w:tcBorders>
              <w:left w:val="single" w:sz="4" w:space="0" w:color="auto"/>
              <w:bottom w:val="single" w:sz="4" w:space="0" w:color="auto"/>
              <w:right w:val="single" w:sz="4" w:space="0" w:color="auto"/>
            </w:tcBorders>
            <w:noWrap/>
            <w:vAlign w:val="center"/>
          </w:tcPr>
          <w:p w14:paraId="38CFE346" w14:textId="3E179913" w:rsidR="00080D78" w:rsidRPr="00507874" w:rsidRDefault="00080D78" w:rsidP="00636AA9">
            <w:pPr>
              <w:spacing w:after="0" w:line="240" w:lineRule="auto"/>
              <w:rPr>
                <w:rFonts w:ascii="Arial" w:eastAsia="Times New Roman" w:hAnsi="Arial" w:cs="Arial"/>
                <w:b/>
                <w:bCs/>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textDirection w:val="btLr"/>
          </w:tcPr>
          <w:p w14:paraId="1A4EC0A2" w14:textId="794A593E" w:rsidR="00080D78" w:rsidRDefault="00080D78" w:rsidP="00636AA9">
            <w:pPr>
              <w:spacing w:after="0" w:line="240" w:lineRule="auto"/>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 xml:space="preserve">October </w:t>
            </w:r>
          </w:p>
        </w:tc>
        <w:tc>
          <w:tcPr>
            <w:tcW w:w="506" w:type="dxa"/>
            <w:tcBorders>
              <w:top w:val="single" w:sz="4" w:space="0" w:color="auto"/>
              <w:left w:val="single" w:sz="4" w:space="0" w:color="auto"/>
              <w:bottom w:val="single" w:sz="4" w:space="0" w:color="auto"/>
              <w:right w:val="single" w:sz="4" w:space="0" w:color="auto"/>
            </w:tcBorders>
            <w:textDirection w:val="btLr"/>
          </w:tcPr>
          <w:p w14:paraId="5A40D646" w14:textId="344EA2E0" w:rsidR="00080D78" w:rsidRDefault="00080D78" w:rsidP="00636AA9">
            <w:pPr>
              <w:spacing w:after="0" w:line="240" w:lineRule="auto"/>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 xml:space="preserve">November </w:t>
            </w:r>
          </w:p>
        </w:tc>
        <w:tc>
          <w:tcPr>
            <w:tcW w:w="506" w:type="dxa"/>
            <w:tcBorders>
              <w:top w:val="single" w:sz="4" w:space="0" w:color="auto"/>
              <w:left w:val="single" w:sz="4" w:space="0" w:color="auto"/>
              <w:bottom w:val="single" w:sz="4" w:space="0" w:color="auto"/>
              <w:right w:val="single" w:sz="4" w:space="0" w:color="auto"/>
            </w:tcBorders>
            <w:noWrap/>
            <w:textDirection w:val="btLr"/>
            <w:vAlign w:val="bottom"/>
          </w:tcPr>
          <w:p w14:paraId="046929F4" w14:textId="47CB2EE3" w:rsidR="00080D78" w:rsidRPr="00507874" w:rsidRDefault="00080D78" w:rsidP="00636AA9">
            <w:pPr>
              <w:spacing w:after="0" w:line="240" w:lineRule="auto"/>
              <w:jc w:val="center"/>
              <w:rPr>
                <w:rFonts w:ascii="Arial" w:eastAsia="Times New Roman" w:hAnsi="Arial" w:cs="Arial"/>
                <w:b/>
                <w:bCs/>
                <w:color w:val="000000"/>
                <w:sz w:val="24"/>
                <w:szCs w:val="24"/>
                <w:lang w:eastAsia="en-GB"/>
              </w:rPr>
            </w:pPr>
            <w:r w:rsidRPr="00507874">
              <w:rPr>
                <w:rFonts w:ascii="Arial" w:eastAsia="Times New Roman" w:hAnsi="Arial" w:cs="Arial"/>
                <w:b/>
                <w:bCs/>
                <w:color w:val="000000"/>
                <w:sz w:val="24"/>
                <w:szCs w:val="24"/>
                <w:lang w:eastAsia="en-GB"/>
              </w:rPr>
              <w:t>December</w:t>
            </w:r>
          </w:p>
        </w:tc>
        <w:tc>
          <w:tcPr>
            <w:tcW w:w="578" w:type="dxa"/>
            <w:tcBorders>
              <w:top w:val="single" w:sz="4" w:space="0" w:color="auto"/>
              <w:left w:val="single" w:sz="4" w:space="0" w:color="auto"/>
              <w:bottom w:val="single" w:sz="4" w:space="0" w:color="auto"/>
              <w:right w:val="single" w:sz="4" w:space="0" w:color="auto"/>
            </w:tcBorders>
            <w:noWrap/>
            <w:textDirection w:val="btLr"/>
            <w:vAlign w:val="bottom"/>
          </w:tcPr>
          <w:p w14:paraId="517B260B" w14:textId="58D28731" w:rsidR="00080D78" w:rsidRPr="00507874" w:rsidRDefault="00080D78" w:rsidP="00636AA9">
            <w:pPr>
              <w:spacing w:after="0" w:line="240" w:lineRule="auto"/>
              <w:jc w:val="center"/>
              <w:rPr>
                <w:rFonts w:ascii="Arial" w:eastAsia="Times New Roman" w:hAnsi="Arial" w:cs="Arial"/>
                <w:b/>
                <w:bCs/>
                <w:color w:val="000000"/>
                <w:sz w:val="24"/>
                <w:szCs w:val="24"/>
                <w:lang w:eastAsia="en-GB"/>
              </w:rPr>
            </w:pPr>
            <w:r w:rsidRPr="00507874">
              <w:rPr>
                <w:rFonts w:ascii="Arial" w:eastAsia="Times New Roman" w:hAnsi="Arial" w:cs="Arial"/>
                <w:b/>
                <w:bCs/>
                <w:color w:val="000000"/>
                <w:sz w:val="24"/>
                <w:szCs w:val="24"/>
                <w:lang w:eastAsia="en-GB"/>
              </w:rPr>
              <w:t>January</w:t>
            </w:r>
          </w:p>
        </w:tc>
        <w:tc>
          <w:tcPr>
            <w:tcW w:w="781" w:type="dxa"/>
            <w:tcBorders>
              <w:top w:val="single" w:sz="4" w:space="0" w:color="auto"/>
              <w:left w:val="single" w:sz="4" w:space="0" w:color="auto"/>
              <w:bottom w:val="single" w:sz="4" w:space="0" w:color="auto"/>
              <w:right w:val="single" w:sz="4" w:space="0" w:color="auto"/>
            </w:tcBorders>
            <w:noWrap/>
            <w:textDirection w:val="btLr"/>
            <w:vAlign w:val="bottom"/>
          </w:tcPr>
          <w:p w14:paraId="7C6F5ADF" w14:textId="1F993CA4" w:rsidR="00080D78" w:rsidRPr="00507874" w:rsidRDefault="00080D78" w:rsidP="00636AA9">
            <w:pPr>
              <w:spacing w:after="0" w:line="240" w:lineRule="auto"/>
              <w:jc w:val="center"/>
              <w:rPr>
                <w:rFonts w:ascii="Arial" w:eastAsia="Times New Roman" w:hAnsi="Arial" w:cs="Arial"/>
                <w:b/>
                <w:bCs/>
                <w:color w:val="000000"/>
                <w:sz w:val="24"/>
                <w:szCs w:val="24"/>
                <w:lang w:eastAsia="en-GB"/>
              </w:rPr>
            </w:pPr>
            <w:r w:rsidRPr="00507874">
              <w:rPr>
                <w:rFonts w:ascii="Arial" w:eastAsia="Times New Roman" w:hAnsi="Arial" w:cs="Arial"/>
                <w:b/>
                <w:bCs/>
                <w:color w:val="000000"/>
                <w:sz w:val="24"/>
                <w:szCs w:val="24"/>
                <w:lang w:eastAsia="en-GB"/>
              </w:rPr>
              <w:t>February</w:t>
            </w:r>
          </w:p>
        </w:tc>
        <w:tc>
          <w:tcPr>
            <w:tcW w:w="781" w:type="dxa"/>
            <w:tcBorders>
              <w:top w:val="single" w:sz="4" w:space="0" w:color="auto"/>
              <w:left w:val="single" w:sz="4" w:space="0" w:color="auto"/>
              <w:bottom w:val="single" w:sz="4" w:space="0" w:color="auto"/>
              <w:right w:val="single" w:sz="4" w:space="0" w:color="auto"/>
            </w:tcBorders>
            <w:noWrap/>
            <w:textDirection w:val="btLr"/>
            <w:vAlign w:val="bottom"/>
          </w:tcPr>
          <w:p w14:paraId="56FE05E9" w14:textId="54B83140" w:rsidR="00080D78" w:rsidRPr="00507874" w:rsidRDefault="00080D78" w:rsidP="00636AA9">
            <w:pPr>
              <w:spacing w:after="0" w:line="240" w:lineRule="auto"/>
              <w:jc w:val="center"/>
              <w:rPr>
                <w:rFonts w:ascii="Arial" w:eastAsia="Times New Roman" w:hAnsi="Arial" w:cs="Arial"/>
                <w:b/>
                <w:bCs/>
                <w:color w:val="000000"/>
                <w:sz w:val="24"/>
                <w:szCs w:val="24"/>
                <w:lang w:eastAsia="en-GB"/>
              </w:rPr>
            </w:pPr>
            <w:r w:rsidRPr="00507874">
              <w:rPr>
                <w:rFonts w:ascii="Arial" w:eastAsia="Times New Roman" w:hAnsi="Arial" w:cs="Arial"/>
                <w:b/>
                <w:bCs/>
                <w:color w:val="000000"/>
                <w:sz w:val="24"/>
                <w:szCs w:val="24"/>
                <w:lang w:eastAsia="en-GB"/>
              </w:rPr>
              <w:t>March</w:t>
            </w:r>
          </w:p>
        </w:tc>
        <w:tc>
          <w:tcPr>
            <w:tcW w:w="506" w:type="dxa"/>
            <w:tcBorders>
              <w:top w:val="single" w:sz="4" w:space="0" w:color="auto"/>
              <w:left w:val="single" w:sz="4" w:space="0" w:color="auto"/>
              <w:bottom w:val="single" w:sz="4" w:space="0" w:color="auto"/>
              <w:right w:val="single" w:sz="4" w:space="0" w:color="auto"/>
            </w:tcBorders>
            <w:textDirection w:val="btLr"/>
          </w:tcPr>
          <w:p w14:paraId="6A35A0DF" w14:textId="39463DA4" w:rsidR="00080D78" w:rsidRDefault="00080D78" w:rsidP="00636AA9">
            <w:pPr>
              <w:spacing w:after="0" w:line="240" w:lineRule="auto"/>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April</w:t>
            </w:r>
          </w:p>
        </w:tc>
        <w:tc>
          <w:tcPr>
            <w:tcW w:w="506" w:type="dxa"/>
            <w:tcBorders>
              <w:top w:val="single" w:sz="4" w:space="0" w:color="auto"/>
              <w:left w:val="single" w:sz="4" w:space="0" w:color="auto"/>
              <w:bottom w:val="single" w:sz="4" w:space="0" w:color="auto"/>
              <w:right w:val="single" w:sz="4" w:space="0" w:color="auto"/>
            </w:tcBorders>
            <w:noWrap/>
            <w:textDirection w:val="btLr"/>
            <w:vAlign w:val="bottom"/>
          </w:tcPr>
          <w:p w14:paraId="26697410" w14:textId="56B78ACD" w:rsidR="00080D78" w:rsidRPr="00507874" w:rsidRDefault="00080D78" w:rsidP="00636AA9">
            <w:pPr>
              <w:spacing w:after="0" w:line="240" w:lineRule="auto"/>
              <w:jc w:val="center"/>
              <w:rPr>
                <w:rFonts w:ascii="Arial" w:eastAsia="Times New Roman" w:hAnsi="Arial" w:cs="Arial"/>
                <w:b/>
                <w:bCs/>
                <w:color w:val="000000"/>
                <w:sz w:val="24"/>
                <w:szCs w:val="24"/>
                <w:lang w:eastAsia="en-GB"/>
              </w:rPr>
            </w:pPr>
            <w:r w:rsidRPr="00507874">
              <w:rPr>
                <w:rFonts w:ascii="Arial" w:eastAsia="Times New Roman" w:hAnsi="Arial" w:cs="Arial"/>
                <w:b/>
                <w:bCs/>
                <w:color w:val="000000"/>
                <w:sz w:val="24"/>
                <w:szCs w:val="24"/>
                <w:lang w:eastAsia="en-GB"/>
              </w:rPr>
              <w:t>May</w:t>
            </w:r>
          </w:p>
        </w:tc>
        <w:tc>
          <w:tcPr>
            <w:tcW w:w="506" w:type="dxa"/>
            <w:tcBorders>
              <w:top w:val="single" w:sz="4" w:space="0" w:color="auto"/>
              <w:left w:val="single" w:sz="4" w:space="0" w:color="auto"/>
              <w:bottom w:val="single" w:sz="4" w:space="0" w:color="auto"/>
              <w:right w:val="single" w:sz="4" w:space="0" w:color="auto"/>
            </w:tcBorders>
            <w:noWrap/>
            <w:textDirection w:val="btLr"/>
            <w:vAlign w:val="bottom"/>
          </w:tcPr>
          <w:p w14:paraId="3696569D" w14:textId="5A54CC96" w:rsidR="00080D78" w:rsidRPr="00507874" w:rsidRDefault="00080D78" w:rsidP="00636AA9">
            <w:pPr>
              <w:spacing w:after="0" w:line="240" w:lineRule="auto"/>
              <w:jc w:val="center"/>
              <w:rPr>
                <w:rFonts w:ascii="Arial" w:eastAsia="Times New Roman" w:hAnsi="Arial" w:cs="Arial"/>
                <w:b/>
                <w:bCs/>
                <w:color w:val="000000"/>
                <w:sz w:val="24"/>
                <w:szCs w:val="24"/>
                <w:lang w:eastAsia="en-GB"/>
              </w:rPr>
            </w:pPr>
            <w:r w:rsidRPr="00507874">
              <w:rPr>
                <w:rFonts w:ascii="Arial" w:eastAsia="Times New Roman" w:hAnsi="Arial" w:cs="Arial"/>
                <w:b/>
                <w:bCs/>
                <w:color w:val="000000"/>
                <w:sz w:val="24"/>
                <w:szCs w:val="24"/>
                <w:lang w:eastAsia="en-GB"/>
              </w:rPr>
              <w:t>June</w:t>
            </w:r>
          </w:p>
        </w:tc>
        <w:tc>
          <w:tcPr>
            <w:tcW w:w="506" w:type="dxa"/>
            <w:tcBorders>
              <w:top w:val="single" w:sz="4" w:space="0" w:color="auto"/>
              <w:left w:val="single" w:sz="4" w:space="0" w:color="auto"/>
              <w:bottom w:val="single" w:sz="4" w:space="0" w:color="auto"/>
              <w:right w:val="single" w:sz="4" w:space="0" w:color="auto"/>
            </w:tcBorders>
            <w:noWrap/>
            <w:textDirection w:val="btLr"/>
            <w:vAlign w:val="bottom"/>
          </w:tcPr>
          <w:p w14:paraId="4085A5D8" w14:textId="023988D6" w:rsidR="00080D78" w:rsidRPr="00507874" w:rsidRDefault="00080D78" w:rsidP="00636AA9">
            <w:pPr>
              <w:spacing w:after="0" w:line="240" w:lineRule="auto"/>
              <w:jc w:val="center"/>
              <w:rPr>
                <w:rFonts w:ascii="Arial" w:eastAsia="Times New Roman" w:hAnsi="Arial" w:cs="Arial"/>
                <w:b/>
                <w:bCs/>
                <w:color w:val="000000"/>
                <w:sz w:val="24"/>
                <w:szCs w:val="24"/>
                <w:lang w:eastAsia="en-GB"/>
              </w:rPr>
            </w:pPr>
            <w:r w:rsidRPr="00507874">
              <w:rPr>
                <w:rFonts w:ascii="Arial" w:eastAsia="Times New Roman" w:hAnsi="Arial" w:cs="Arial"/>
                <w:b/>
                <w:bCs/>
                <w:color w:val="000000"/>
                <w:sz w:val="24"/>
                <w:szCs w:val="24"/>
                <w:lang w:eastAsia="en-GB"/>
              </w:rPr>
              <w:t>July</w:t>
            </w:r>
          </w:p>
        </w:tc>
        <w:tc>
          <w:tcPr>
            <w:tcW w:w="692" w:type="dxa"/>
            <w:tcBorders>
              <w:top w:val="single" w:sz="4" w:space="0" w:color="auto"/>
              <w:left w:val="single" w:sz="4" w:space="0" w:color="auto"/>
              <w:bottom w:val="single" w:sz="4" w:space="0" w:color="auto"/>
              <w:right w:val="single" w:sz="4" w:space="0" w:color="auto"/>
            </w:tcBorders>
            <w:noWrap/>
            <w:textDirection w:val="btLr"/>
            <w:vAlign w:val="bottom"/>
          </w:tcPr>
          <w:p w14:paraId="62381D05" w14:textId="74433442" w:rsidR="00080D78" w:rsidRPr="00507874" w:rsidRDefault="00080D78" w:rsidP="00636AA9">
            <w:pPr>
              <w:spacing w:after="0" w:line="240" w:lineRule="auto"/>
              <w:jc w:val="center"/>
              <w:rPr>
                <w:rFonts w:ascii="Arial" w:eastAsia="Times New Roman" w:hAnsi="Arial" w:cs="Arial"/>
                <w:b/>
                <w:bCs/>
                <w:color w:val="000000"/>
                <w:sz w:val="24"/>
                <w:szCs w:val="24"/>
                <w:lang w:eastAsia="en-GB"/>
              </w:rPr>
            </w:pPr>
            <w:r w:rsidRPr="00507874">
              <w:rPr>
                <w:rFonts w:ascii="Arial" w:eastAsia="Times New Roman" w:hAnsi="Arial" w:cs="Arial"/>
                <w:b/>
                <w:bCs/>
                <w:color w:val="000000"/>
                <w:sz w:val="24"/>
                <w:szCs w:val="24"/>
                <w:lang w:eastAsia="en-GB"/>
              </w:rPr>
              <w:t>August</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14:paraId="1DBE2295" w14:textId="5138C2DC" w:rsidR="00080D78" w:rsidRPr="00507874" w:rsidRDefault="00080D78" w:rsidP="00636AA9">
            <w:pPr>
              <w:spacing w:after="0" w:line="240" w:lineRule="auto"/>
              <w:jc w:val="center"/>
              <w:rPr>
                <w:rFonts w:ascii="Arial" w:eastAsia="Times New Roman" w:hAnsi="Arial" w:cs="Arial"/>
                <w:b/>
                <w:bCs/>
                <w:color w:val="000000"/>
                <w:sz w:val="24"/>
                <w:szCs w:val="24"/>
                <w:lang w:eastAsia="en-GB"/>
              </w:rPr>
            </w:pPr>
            <w:r w:rsidRPr="00507874">
              <w:rPr>
                <w:rFonts w:ascii="Arial" w:eastAsia="Times New Roman" w:hAnsi="Arial" w:cs="Arial"/>
                <w:b/>
                <w:bCs/>
                <w:color w:val="000000"/>
                <w:sz w:val="24"/>
                <w:szCs w:val="24"/>
                <w:lang w:eastAsia="en-GB"/>
              </w:rPr>
              <w:t>September</w:t>
            </w:r>
          </w:p>
        </w:tc>
        <w:tc>
          <w:tcPr>
            <w:tcW w:w="506" w:type="dxa"/>
            <w:tcBorders>
              <w:top w:val="single" w:sz="4" w:space="0" w:color="auto"/>
              <w:left w:val="single" w:sz="4" w:space="0" w:color="auto"/>
              <w:bottom w:val="single" w:sz="4" w:space="0" w:color="auto"/>
              <w:right w:val="single" w:sz="4" w:space="0" w:color="auto"/>
            </w:tcBorders>
            <w:noWrap/>
            <w:textDirection w:val="btLr"/>
            <w:vAlign w:val="bottom"/>
          </w:tcPr>
          <w:p w14:paraId="224178D6" w14:textId="09985EA5" w:rsidR="00080D78" w:rsidRPr="00507874" w:rsidRDefault="00080D78" w:rsidP="00636AA9">
            <w:pPr>
              <w:spacing w:after="0" w:line="240" w:lineRule="auto"/>
              <w:jc w:val="center"/>
              <w:rPr>
                <w:rFonts w:ascii="Arial" w:eastAsia="Times New Roman" w:hAnsi="Arial" w:cs="Arial"/>
                <w:b/>
                <w:bCs/>
                <w:color w:val="000000"/>
                <w:sz w:val="24"/>
                <w:szCs w:val="24"/>
                <w:lang w:eastAsia="en-GB"/>
              </w:rPr>
            </w:pPr>
            <w:r w:rsidRPr="00507874">
              <w:rPr>
                <w:rFonts w:ascii="Arial" w:eastAsia="Times New Roman" w:hAnsi="Arial" w:cs="Arial"/>
                <w:b/>
                <w:bCs/>
                <w:color w:val="000000"/>
                <w:sz w:val="24"/>
                <w:szCs w:val="24"/>
                <w:lang w:eastAsia="en-GB"/>
              </w:rPr>
              <w:t>October</w:t>
            </w:r>
          </w:p>
        </w:tc>
      </w:tr>
      <w:tr w:rsidR="00636AA9" w:rsidRPr="00956A8A" w14:paraId="2A02437B" w14:textId="77777777" w:rsidTr="00375F1C">
        <w:trPr>
          <w:trHeight w:val="365"/>
        </w:trPr>
        <w:tc>
          <w:tcPr>
            <w:tcW w:w="7088" w:type="dxa"/>
            <w:tcBorders>
              <w:top w:val="single" w:sz="4" w:space="0" w:color="auto"/>
              <w:left w:val="single" w:sz="4" w:space="0" w:color="auto"/>
              <w:bottom w:val="single" w:sz="4" w:space="0" w:color="auto"/>
              <w:right w:val="single" w:sz="4" w:space="0" w:color="auto"/>
            </w:tcBorders>
            <w:noWrap/>
            <w:vAlign w:val="bottom"/>
            <w:hideMark/>
          </w:tcPr>
          <w:p w14:paraId="1616C04C" w14:textId="70209B3C" w:rsidR="00636AA9" w:rsidRPr="00507874" w:rsidRDefault="00636AA9" w:rsidP="00636AA9">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Drilling </w:t>
            </w:r>
            <w:r w:rsidRPr="00507874">
              <w:rPr>
                <w:rFonts w:ascii="Arial" w:eastAsia="Times New Roman" w:hAnsi="Arial" w:cs="Arial"/>
                <w:color w:val="000000"/>
                <w:sz w:val="24"/>
                <w:szCs w:val="24"/>
                <w:lang w:eastAsia="en-GB"/>
              </w:rPr>
              <w:t xml:space="preserve">of </w:t>
            </w:r>
            <w:r w:rsidR="00841554">
              <w:rPr>
                <w:rFonts w:ascii="Arial" w:eastAsia="Times New Roman" w:hAnsi="Arial" w:cs="Arial"/>
                <w:color w:val="000000"/>
                <w:sz w:val="24"/>
                <w:szCs w:val="24"/>
                <w:lang w:eastAsia="en-GB"/>
              </w:rPr>
              <w:t>s</w:t>
            </w:r>
            <w:r>
              <w:rPr>
                <w:rFonts w:ascii="Arial" w:eastAsia="Times New Roman" w:hAnsi="Arial" w:cs="Arial"/>
                <w:color w:val="000000"/>
                <w:sz w:val="24"/>
                <w:szCs w:val="24"/>
                <w:lang w:eastAsia="en-GB"/>
              </w:rPr>
              <w:t xml:space="preserve">ugar beet </w:t>
            </w:r>
            <w:r w:rsidRPr="00507874">
              <w:rPr>
                <w:rFonts w:ascii="Arial" w:eastAsia="Times New Roman" w:hAnsi="Arial" w:cs="Arial"/>
                <w:color w:val="000000"/>
                <w:sz w:val="24"/>
                <w:szCs w:val="24"/>
                <w:lang w:eastAsia="en-GB"/>
              </w:rPr>
              <w:t>(</w:t>
            </w:r>
            <w:r w:rsidR="00841554">
              <w:rPr>
                <w:rFonts w:ascii="Arial" w:eastAsia="Times New Roman" w:hAnsi="Arial" w:cs="Arial"/>
                <w:color w:val="000000"/>
                <w:sz w:val="24"/>
                <w:szCs w:val="24"/>
                <w:lang w:eastAsia="en-GB"/>
              </w:rPr>
              <w:t>f</w:t>
            </w:r>
            <w:r w:rsidRPr="00507874">
              <w:rPr>
                <w:rFonts w:ascii="Arial" w:eastAsia="Times New Roman" w:hAnsi="Arial" w:cs="Arial"/>
                <w:color w:val="000000"/>
                <w:sz w:val="24"/>
                <w:szCs w:val="24"/>
                <w:lang w:eastAsia="en-GB"/>
              </w:rPr>
              <w:t>ield experiment</w:t>
            </w:r>
            <w:r w:rsidR="00841554">
              <w:rPr>
                <w:rFonts w:ascii="Arial" w:eastAsia="Times New Roman" w:hAnsi="Arial" w:cs="Arial"/>
                <w:color w:val="000000"/>
                <w:sz w:val="24"/>
                <w:szCs w:val="24"/>
                <w:lang w:eastAsia="en-GB"/>
              </w:rPr>
              <w:t xml:space="preserve"> -</w:t>
            </w:r>
            <w:r w:rsidRPr="00507874">
              <w:rPr>
                <w:rFonts w:ascii="Arial" w:eastAsia="Times New Roman" w:hAnsi="Arial" w:cs="Arial"/>
                <w:color w:val="000000"/>
                <w:sz w:val="24"/>
                <w:szCs w:val="24"/>
                <w:lang w:eastAsia="en-GB"/>
              </w:rPr>
              <w:t xml:space="preserve"> </w:t>
            </w:r>
            <w:r w:rsidR="00841554">
              <w:rPr>
                <w:rFonts w:ascii="Arial" w:eastAsia="Times New Roman" w:hAnsi="Arial" w:cs="Arial"/>
                <w:color w:val="000000"/>
                <w:sz w:val="24"/>
                <w:szCs w:val="24"/>
                <w:lang w:eastAsia="en-GB"/>
              </w:rPr>
              <w:t>s</w:t>
            </w:r>
            <w:r w:rsidRPr="00507874">
              <w:rPr>
                <w:rFonts w:ascii="Arial" w:eastAsia="Times New Roman" w:hAnsi="Arial" w:cs="Arial"/>
                <w:color w:val="000000"/>
                <w:sz w:val="24"/>
                <w:szCs w:val="24"/>
                <w:lang w:eastAsia="en-GB"/>
              </w:rPr>
              <w:t>eason 1)</w:t>
            </w:r>
          </w:p>
        </w:tc>
        <w:tc>
          <w:tcPr>
            <w:tcW w:w="506" w:type="dxa"/>
            <w:tcBorders>
              <w:top w:val="single" w:sz="4" w:space="0" w:color="auto"/>
              <w:left w:val="single" w:sz="4" w:space="0" w:color="auto"/>
              <w:bottom w:val="single" w:sz="4" w:space="0" w:color="auto"/>
              <w:right w:val="single" w:sz="4" w:space="0" w:color="auto"/>
            </w:tcBorders>
          </w:tcPr>
          <w:p w14:paraId="313C88F0"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tcPr>
          <w:p w14:paraId="394A385D" w14:textId="4F1344A0"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BCE06" w14:textId="00904240"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78" w:type="dxa"/>
            <w:tcBorders>
              <w:top w:val="single" w:sz="4" w:space="0" w:color="auto"/>
              <w:left w:val="single" w:sz="4" w:space="0" w:color="auto"/>
              <w:bottom w:val="single" w:sz="4" w:space="0" w:color="auto"/>
              <w:right w:val="single" w:sz="4" w:space="0" w:color="auto"/>
            </w:tcBorders>
            <w:noWrap/>
            <w:vAlign w:val="bottom"/>
            <w:hideMark/>
          </w:tcPr>
          <w:p w14:paraId="687B684F"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615D9E61"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5F91CD7F"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7E79ACC"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54E59920" w14:textId="481AD198"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073044F5"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61D226CC"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56273800"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99C3450"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388FB283" w14:textId="77777777" w:rsidR="00636AA9" w:rsidRPr="00507874" w:rsidRDefault="00636AA9" w:rsidP="00636AA9">
            <w:pPr>
              <w:spacing w:after="0" w:line="240" w:lineRule="auto"/>
              <w:rPr>
                <w:rFonts w:ascii="Arial" w:eastAsia="Times New Roman" w:hAnsi="Arial" w:cs="Arial"/>
                <w:sz w:val="24"/>
                <w:szCs w:val="24"/>
                <w:lang w:eastAsia="en-GB"/>
              </w:rPr>
            </w:pPr>
          </w:p>
        </w:tc>
      </w:tr>
      <w:tr w:rsidR="00636AA9" w:rsidRPr="00956A8A" w14:paraId="08ED0BE1" w14:textId="77777777" w:rsidTr="00375F1C">
        <w:trPr>
          <w:trHeight w:val="599"/>
        </w:trPr>
        <w:tc>
          <w:tcPr>
            <w:tcW w:w="7088" w:type="dxa"/>
            <w:tcBorders>
              <w:top w:val="single" w:sz="4" w:space="0" w:color="auto"/>
              <w:left w:val="single" w:sz="4" w:space="0" w:color="auto"/>
              <w:bottom w:val="single" w:sz="4" w:space="0" w:color="auto"/>
              <w:right w:val="single" w:sz="4" w:space="0" w:color="auto"/>
            </w:tcBorders>
            <w:noWrap/>
            <w:vAlign w:val="bottom"/>
            <w:hideMark/>
          </w:tcPr>
          <w:p w14:paraId="33E37CD5" w14:textId="74A78343" w:rsidR="00636AA9" w:rsidRPr="00507874" w:rsidRDefault="00636AA9" w:rsidP="00636AA9">
            <w:pPr>
              <w:spacing w:after="0" w:line="240" w:lineRule="auto"/>
              <w:rPr>
                <w:rFonts w:ascii="Arial" w:eastAsia="Times New Roman" w:hAnsi="Arial" w:cs="Arial"/>
                <w:color w:val="000000"/>
                <w:sz w:val="24"/>
                <w:szCs w:val="24"/>
                <w:lang w:eastAsia="en-GB"/>
              </w:rPr>
            </w:pPr>
            <w:r w:rsidRPr="00507874">
              <w:rPr>
                <w:rFonts w:ascii="Arial" w:eastAsia="Times New Roman" w:hAnsi="Arial" w:cs="Arial"/>
                <w:color w:val="000000"/>
                <w:sz w:val="24"/>
                <w:szCs w:val="24"/>
                <w:lang w:eastAsia="en-GB"/>
              </w:rPr>
              <w:t>Nematode extraction and quantification</w:t>
            </w:r>
            <w:r>
              <w:rPr>
                <w:rFonts w:ascii="Arial" w:eastAsia="Times New Roman" w:hAnsi="Arial" w:cs="Arial"/>
                <w:color w:val="000000"/>
                <w:sz w:val="24"/>
                <w:szCs w:val="24"/>
                <w:lang w:eastAsia="en-GB"/>
              </w:rPr>
              <w:t xml:space="preserve">-Initial nematode densities at </w:t>
            </w:r>
            <w:r w:rsidR="00841554">
              <w:rPr>
                <w:rFonts w:ascii="Arial" w:eastAsia="Times New Roman" w:hAnsi="Arial" w:cs="Arial"/>
                <w:color w:val="000000"/>
                <w:sz w:val="24"/>
                <w:szCs w:val="24"/>
                <w:lang w:eastAsia="en-GB"/>
              </w:rPr>
              <w:t>s</w:t>
            </w:r>
            <w:r>
              <w:rPr>
                <w:rFonts w:ascii="Arial" w:eastAsia="Times New Roman" w:hAnsi="Arial" w:cs="Arial"/>
                <w:color w:val="000000"/>
                <w:sz w:val="24"/>
                <w:szCs w:val="24"/>
                <w:lang w:eastAsia="en-GB"/>
              </w:rPr>
              <w:t xml:space="preserve">ugar beet </w:t>
            </w:r>
            <w:r w:rsidR="00841554">
              <w:rPr>
                <w:rFonts w:ascii="Arial" w:eastAsia="Times New Roman" w:hAnsi="Arial" w:cs="Arial"/>
                <w:color w:val="000000"/>
                <w:sz w:val="24"/>
                <w:szCs w:val="24"/>
                <w:lang w:eastAsia="en-GB"/>
              </w:rPr>
              <w:t>p</w:t>
            </w:r>
            <w:r>
              <w:rPr>
                <w:rFonts w:ascii="Arial" w:eastAsia="Times New Roman" w:hAnsi="Arial" w:cs="Arial"/>
                <w:color w:val="000000"/>
                <w:sz w:val="24"/>
                <w:szCs w:val="24"/>
                <w:lang w:eastAsia="en-GB"/>
              </w:rPr>
              <w:t>lanting (</w:t>
            </w:r>
            <w:r w:rsidRPr="00507874">
              <w:rPr>
                <w:rFonts w:ascii="Arial" w:eastAsia="Times New Roman" w:hAnsi="Arial" w:cs="Arial"/>
                <w:color w:val="000000"/>
                <w:sz w:val="24"/>
                <w:szCs w:val="24"/>
                <w:lang w:eastAsia="en-GB"/>
              </w:rPr>
              <w:t xml:space="preserve">Field experiment Season 1) </w:t>
            </w:r>
          </w:p>
        </w:tc>
        <w:tc>
          <w:tcPr>
            <w:tcW w:w="506" w:type="dxa"/>
            <w:tcBorders>
              <w:top w:val="single" w:sz="4" w:space="0" w:color="auto"/>
              <w:left w:val="single" w:sz="4" w:space="0" w:color="auto"/>
              <w:bottom w:val="single" w:sz="4" w:space="0" w:color="auto"/>
              <w:right w:val="single" w:sz="4" w:space="0" w:color="auto"/>
            </w:tcBorders>
          </w:tcPr>
          <w:p w14:paraId="26045FE4"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tcPr>
          <w:p w14:paraId="4E4A99E2" w14:textId="6609EE35"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3938C53B" w14:textId="3927FE11"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337B5"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7AACFB55"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2F140"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tcPr>
          <w:p w14:paraId="16B656AD"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3CC0F4D2" w14:textId="1FB8FC5E"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517CDE00"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3E5D8B4E"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25B5F8FE"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11DF0F4"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04B1A1D4" w14:textId="77777777" w:rsidR="00636AA9" w:rsidRPr="00507874" w:rsidRDefault="00636AA9" w:rsidP="00636AA9">
            <w:pPr>
              <w:spacing w:after="0" w:line="240" w:lineRule="auto"/>
              <w:rPr>
                <w:rFonts w:ascii="Arial" w:eastAsia="Times New Roman" w:hAnsi="Arial" w:cs="Arial"/>
                <w:sz w:val="24"/>
                <w:szCs w:val="24"/>
                <w:lang w:eastAsia="en-GB"/>
              </w:rPr>
            </w:pPr>
          </w:p>
        </w:tc>
      </w:tr>
      <w:tr w:rsidR="00636AA9" w:rsidRPr="00956A8A" w14:paraId="53A7EC7C" w14:textId="77777777" w:rsidTr="00375F1C">
        <w:trPr>
          <w:trHeight w:val="599"/>
        </w:trPr>
        <w:tc>
          <w:tcPr>
            <w:tcW w:w="7088" w:type="dxa"/>
            <w:tcBorders>
              <w:top w:val="single" w:sz="4" w:space="0" w:color="auto"/>
              <w:left w:val="single" w:sz="4" w:space="0" w:color="auto"/>
              <w:bottom w:val="single" w:sz="4" w:space="0" w:color="auto"/>
              <w:right w:val="single" w:sz="4" w:space="0" w:color="auto"/>
            </w:tcBorders>
            <w:noWrap/>
            <w:vAlign w:val="bottom"/>
          </w:tcPr>
          <w:p w14:paraId="71575E17" w14:textId="59639447" w:rsidR="00636AA9" w:rsidRPr="00507874" w:rsidRDefault="00636AA9" w:rsidP="00636AA9">
            <w:pPr>
              <w:spacing w:after="0" w:line="240" w:lineRule="auto"/>
              <w:rPr>
                <w:rFonts w:ascii="Arial" w:eastAsia="Times New Roman" w:hAnsi="Arial" w:cs="Arial"/>
                <w:color w:val="000000"/>
                <w:sz w:val="24"/>
                <w:szCs w:val="24"/>
                <w:lang w:eastAsia="en-GB"/>
              </w:rPr>
            </w:pPr>
            <w:r w:rsidRPr="00507874">
              <w:rPr>
                <w:rFonts w:ascii="Arial" w:eastAsia="Times New Roman" w:hAnsi="Arial" w:cs="Arial"/>
                <w:color w:val="000000"/>
                <w:sz w:val="24"/>
                <w:szCs w:val="24"/>
                <w:lang w:eastAsia="en-GB"/>
              </w:rPr>
              <w:t>Nematode extraction and quantification</w:t>
            </w:r>
            <w:r>
              <w:rPr>
                <w:rFonts w:ascii="Arial" w:eastAsia="Times New Roman" w:hAnsi="Arial" w:cs="Arial"/>
                <w:color w:val="000000"/>
                <w:sz w:val="24"/>
                <w:szCs w:val="24"/>
                <w:lang w:eastAsia="en-GB"/>
              </w:rPr>
              <w:t xml:space="preserve">-Final nematode densities at </w:t>
            </w:r>
            <w:r w:rsidR="00841554">
              <w:rPr>
                <w:rFonts w:ascii="Arial" w:eastAsia="Times New Roman" w:hAnsi="Arial" w:cs="Arial"/>
                <w:color w:val="000000"/>
                <w:sz w:val="24"/>
                <w:szCs w:val="24"/>
                <w:lang w:eastAsia="en-GB"/>
              </w:rPr>
              <w:t>s</w:t>
            </w:r>
            <w:r>
              <w:rPr>
                <w:rFonts w:ascii="Arial" w:eastAsia="Times New Roman" w:hAnsi="Arial" w:cs="Arial"/>
                <w:color w:val="000000"/>
                <w:sz w:val="24"/>
                <w:szCs w:val="24"/>
                <w:lang w:eastAsia="en-GB"/>
              </w:rPr>
              <w:t>ugar beet harvest (</w:t>
            </w:r>
            <w:r w:rsidRPr="00507874">
              <w:rPr>
                <w:rFonts w:ascii="Arial" w:eastAsia="Times New Roman" w:hAnsi="Arial" w:cs="Arial"/>
                <w:color w:val="000000"/>
                <w:sz w:val="24"/>
                <w:szCs w:val="24"/>
                <w:lang w:eastAsia="en-GB"/>
              </w:rPr>
              <w:t>Field experiment Season 1)</w:t>
            </w:r>
          </w:p>
        </w:tc>
        <w:tc>
          <w:tcPr>
            <w:tcW w:w="506" w:type="dxa"/>
            <w:tcBorders>
              <w:top w:val="single" w:sz="4" w:space="0" w:color="auto"/>
              <w:left w:val="single" w:sz="4" w:space="0" w:color="auto"/>
              <w:bottom w:val="single" w:sz="4" w:space="0" w:color="auto"/>
              <w:right w:val="single" w:sz="4" w:space="0" w:color="auto"/>
            </w:tcBorders>
          </w:tcPr>
          <w:p w14:paraId="7337DFF2"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tcPr>
          <w:p w14:paraId="34F4C2AB" w14:textId="796A046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tcPr>
          <w:p w14:paraId="3FC1884C" w14:textId="0D2DE69D"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6B3D5"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DE59E"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EC653"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tcPr>
          <w:p w14:paraId="3B6B3598"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bottom"/>
          </w:tcPr>
          <w:p w14:paraId="1AF3E116"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tcPr>
          <w:p w14:paraId="190ECCCE"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tcPr>
          <w:p w14:paraId="67D3BD12"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692" w:type="dxa"/>
            <w:tcBorders>
              <w:top w:val="single" w:sz="4" w:space="0" w:color="auto"/>
              <w:left w:val="single" w:sz="4" w:space="0" w:color="auto"/>
              <w:bottom w:val="single" w:sz="4" w:space="0" w:color="auto"/>
              <w:right w:val="single" w:sz="4" w:space="0" w:color="auto"/>
            </w:tcBorders>
            <w:noWrap/>
            <w:vAlign w:val="bottom"/>
          </w:tcPr>
          <w:p w14:paraId="41094B42"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1C98F626"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tcPr>
          <w:p w14:paraId="3327DB1C" w14:textId="77777777" w:rsidR="00636AA9" w:rsidRPr="00507874" w:rsidRDefault="00636AA9" w:rsidP="00636AA9">
            <w:pPr>
              <w:spacing w:after="0" w:line="240" w:lineRule="auto"/>
              <w:rPr>
                <w:rFonts w:ascii="Arial" w:eastAsia="Times New Roman" w:hAnsi="Arial" w:cs="Arial"/>
                <w:sz w:val="24"/>
                <w:szCs w:val="24"/>
                <w:lang w:eastAsia="en-GB"/>
              </w:rPr>
            </w:pPr>
          </w:p>
        </w:tc>
      </w:tr>
      <w:tr w:rsidR="00636AA9" w:rsidRPr="00956A8A" w14:paraId="00C2E7DC" w14:textId="77777777" w:rsidTr="00375F1C">
        <w:trPr>
          <w:trHeight w:val="157"/>
        </w:trPr>
        <w:tc>
          <w:tcPr>
            <w:tcW w:w="7088" w:type="dxa"/>
            <w:tcBorders>
              <w:top w:val="single" w:sz="4" w:space="0" w:color="auto"/>
              <w:left w:val="single" w:sz="4" w:space="0" w:color="auto"/>
              <w:bottom w:val="single" w:sz="4" w:space="0" w:color="auto"/>
              <w:right w:val="single" w:sz="4" w:space="0" w:color="auto"/>
            </w:tcBorders>
            <w:noWrap/>
            <w:vAlign w:val="bottom"/>
            <w:hideMark/>
          </w:tcPr>
          <w:p w14:paraId="08ED5C48" w14:textId="29EA232C" w:rsidR="00636AA9" w:rsidRPr="00507874" w:rsidRDefault="00636AA9" w:rsidP="00636AA9">
            <w:pPr>
              <w:spacing w:after="0" w:line="240" w:lineRule="auto"/>
              <w:rPr>
                <w:rFonts w:ascii="Arial" w:eastAsia="Times New Roman" w:hAnsi="Arial" w:cs="Arial"/>
                <w:color w:val="000000"/>
                <w:sz w:val="24"/>
                <w:szCs w:val="24"/>
                <w:lang w:eastAsia="en-GB"/>
              </w:rPr>
            </w:pPr>
            <w:r w:rsidRPr="00507874">
              <w:rPr>
                <w:rFonts w:ascii="Arial" w:eastAsia="Times New Roman" w:hAnsi="Arial" w:cs="Arial"/>
                <w:color w:val="000000"/>
                <w:sz w:val="24"/>
                <w:szCs w:val="24"/>
                <w:lang w:eastAsia="en-GB"/>
              </w:rPr>
              <w:t>Drilling of cover crop in the field (</w:t>
            </w:r>
            <w:r>
              <w:rPr>
                <w:rFonts w:ascii="Arial" w:eastAsia="Times New Roman" w:hAnsi="Arial" w:cs="Arial"/>
                <w:color w:val="000000"/>
                <w:sz w:val="24"/>
                <w:szCs w:val="24"/>
                <w:lang w:eastAsia="en-GB"/>
              </w:rPr>
              <w:t xml:space="preserve">Field experiment </w:t>
            </w:r>
            <w:r w:rsidRPr="00507874">
              <w:rPr>
                <w:rFonts w:ascii="Arial" w:eastAsia="Times New Roman" w:hAnsi="Arial" w:cs="Arial"/>
                <w:color w:val="000000"/>
                <w:sz w:val="24"/>
                <w:szCs w:val="24"/>
                <w:lang w:eastAsia="en-GB"/>
              </w:rPr>
              <w:t xml:space="preserve">Season 2) </w:t>
            </w:r>
          </w:p>
        </w:tc>
        <w:tc>
          <w:tcPr>
            <w:tcW w:w="506" w:type="dxa"/>
            <w:tcBorders>
              <w:top w:val="single" w:sz="4" w:space="0" w:color="auto"/>
              <w:left w:val="single" w:sz="4" w:space="0" w:color="auto"/>
              <w:bottom w:val="single" w:sz="4" w:space="0" w:color="auto"/>
              <w:right w:val="single" w:sz="4" w:space="0" w:color="auto"/>
            </w:tcBorders>
          </w:tcPr>
          <w:p w14:paraId="08FFEDBA"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tcPr>
          <w:p w14:paraId="6DB717DD" w14:textId="0B1A3F6D"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14F9E9B6" w14:textId="02540E59"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78"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bottom"/>
            <w:hideMark/>
          </w:tcPr>
          <w:p w14:paraId="52879D65"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E00F6"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7ABF8"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auto"/>
          </w:tcPr>
          <w:p w14:paraId="68723D5B"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06CE7AE4" w14:textId="7BAE4AA3"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3A4D3939"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3F99029E"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6C06491A"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82F6541"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5D4C3D5D" w14:textId="77777777" w:rsidR="00636AA9" w:rsidRPr="00507874" w:rsidRDefault="00636AA9" w:rsidP="00636AA9">
            <w:pPr>
              <w:spacing w:after="0" w:line="240" w:lineRule="auto"/>
              <w:rPr>
                <w:rFonts w:ascii="Arial" w:eastAsia="Times New Roman" w:hAnsi="Arial" w:cs="Arial"/>
                <w:sz w:val="24"/>
                <w:szCs w:val="24"/>
                <w:lang w:eastAsia="en-GB"/>
              </w:rPr>
            </w:pPr>
          </w:p>
        </w:tc>
      </w:tr>
      <w:tr w:rsidR="00636AA9" w:rsidRPr="00956A8A" w14:paraId="6820B233" w14:textId="77777777" w:rsidTr="00375F1C">
        <w:trPr>
          <w:trHeight w:val="233"/>
        </w:trPr>
        <w:tc>
          <w:tcPr>
            <w:tcW w:w="7088" w:type="dxa"/>
            <w:tcBorders>
              <w:top w:val="single" w:sz="4" w:space="0" w:color="auto"/>
              <w:left w:val="single" w:sz="4" w:space="0" w:color="auto"/>
              <w:bottom w:val="single" w:sz="4" w:space="0" w:color="auto"/>
              <w:right w:val="single" w:sz="4" w:space="0" w:color="auto"/>
            </w:tcBorders>
            <w:noWrap/>
            <w:vAlign w:val="bottom"/>
            <w:hideMark/>
          </w:tcPr>
          <w:p w14:paraId="50459ECA" w14:textId="6E7E4676" w:rsidR="00636AA9" w:rsidRPr="00507874" w:rsidRDefault="00636AA9" w:rsidP="00636AA9">
            <w:pPr>
              <w:spacing w:after="0" w:line="240" w:lineRule="auto"/>
              <w:rPr>
                <w:rFonts w:ascii="Arial" w:eastAsia="Times New Roman" w:hAnsi="Arial" w:cs="Arial"/>
                <w:color w:val="000000"/>
                <w:sz w:val="24"/>
                <w:szCs w:val="24"/>
                <w:lang w:eastAsia="en-GB"/>
              </w:rPr>
            </w:pPr>
            <w:r w:rsidRPr="00507874">
              <w:rPr>
                <w:rFonts w:ascii="Arial" w:eastAsia="Times New Roman" w:hAnsi="Arial" w:cs="Arial"/>
                <w:color w:val="000000"/>
                <w:sz w:val="24"/>
                <w:szCs w:val="24"/>
                <w:lang w:eastAsia="en-GB"/>
              </w:rPr>
              <w:t xml:space="preserve">Cover crop Incorporation </w:t>
            </w:r>
          </w:p>
        </w:tc>
        <w:tc>
          <w:tcPr>
            <w:tcW w:w="506" w:type="dxa"/>
            <w:tcBorders>
              <w:top w:val="single" w:sz="4" w:space="0" w:color="auto"/>
              <w:left w:val="single" w:sz="4" w:space="0" w:color="auto"/>
              <w:bottom w:val="single" w:sz="4" w:space="0" w:color="auto"/>
              <w:right w:val="single" w:sz="4" w:space="0" w:color="auto"/>
            </w:tcBorders>
          </w:tcPr>
          <w:p w14:paraId="56F23154"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tcPr>
          <w:p w14:paraId="181FC8E8" w14:textId="33D3946F"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19E98A3F" w14:textId="1D13B552"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69502E"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35BE83"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DAA493"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57A91DFE"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460F6" w14:textId="695AB39B"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0E08A1D9"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7C35CB8F"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36CF22F6"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37D1481"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30886A3D" w14:textId="77777777" w:rsidR="00636AA9" w:rsidRPr="00507874" w:rsidRDefault="00636AA9" w:rsidP="00636AA9">
            <w:pPr>
              <w:spacing w:after="0" w:line="240" w:lineRule="auto"/>
              <w:rPr>
                <w:rFonts w:ascii="Arial" w:eastAsia="Times New Roman" w:hAnsi="Arial" w:cs="Arial"/>
                <w:sz w:val="24"/>
                <w:szCs w:val="24"/>
                <w:lang w:eastAsia="en-GB"/>
              </w:rPr>
            </w:pPr>
          </w:p>
        </w:tc>
      </w:tr>
      <w:tr w:rsidR="00636AA9" w:rsidRPr="00956A8A" w14:paraId="76519D3F" w14:textId="77777777" w:rsidTr="00375F1C">
        <w:trPr>
          <w:trHeight w:val="599"/>
        </w:trPr>
        <w:tc>
          <w:tcPr>
            <w:tcW w:w="7088" w:type="dxa"/>
            <w:tcBorders>
              <w:top w:val="single" w:sz="4" w:space="0" w:color="auto"/>
              <w:left w:val="single" w:sz="4" w:space="0" w:color="auto"/>
              <w:bottom w:val="single" w:sz="4" w:space="0" w:color="auto"/>
              <w:right w:val="single" w:sz="4" w:space="0" w:color="auto"/>
            </w:tcBorders>
            <w:noWrap/>
            <w:vAlign w:val="bottom"/>
            <w:hideMark/>
          </w:tcPr>
          <w:p w14:paraId="49614EF4" w14:textId="09BA35B8" w:rsidR="00636AA9" w:rsidRPr="00507874" w:rsidRDefault="00636AA9" w:rsidP="00636AA9">
            <w:pPr>
              <w:spacing w:after="0" w:line="240" w:lineRule="auto"/>
              <w:rPr>
                <w:rFonts w:ascii="Arial" w:eastAsia="Times New Roman" w:hAnsi="Arial" w:cs="Arial"/>
                <w:color w:val="000000"/>
                <w:sz w:val="24"/>
                <w:szCs w:val="24"/>
                <w:lang w:eastAsia="en-GB"/>
              </w:rPr>
            </w:pPr>
            <w:r w:rsidRPr="00507874">
              <w:rPr>
                <w:rFonts w:ascii="Arial" w:eastAsia="Times New Roman" w:hAnsi="Arial" w:cs="Arial"/>
                <w:color w:val="000000"/>
                <w:sz w:val="24"/>
                <w:szCs w:val="24"/>
                <w:lang w:eastAsia="en-GB"/>
              </w:rPr>
              <w:t>Nematode extraction and quantification</w:t>
            </w:r>
            <w:r>
              <w:rPr>
                <w:rFonts w:ascii="Arial" w:eastAsia="Times New Roman" w:hAnsi="Arial" w:cs="Arial"/>
                <w:color w:val="000000"/>
                <w:sz w:val="24"/>
                <w:szCs w:val="24"/>
                <w:lang w:eastAsia="en-GB"/>
              </w:rPr>
              <w:t>- nematode densities Pre-incorporation (</w:t>
            </w:r>
            <w:r w:rsidR="00841554">
              <w:rPr>
                <w:rFonts w:ascii="Arial" w:eastAsia="Times New Roman" w:hAnsi="Arial" w:cs="Arial"/>
                <w:color w:val="000000"/>
                <w:sz w:val="24"/>
                <w:szCs w:val="24"/>
                <w:lang w:eastAsia="en-GB"/>
              </w:rPr>
              <w:t>f</w:t>
            </w:r>
            <w:r w:rsidRPr="00507874">
              <w:rPr>
                <w:rFonts w:ascii="Arial" w:eastAsia="Times New Roman" w:hAnsi="Arial" w:cs="Arial"/>
                <w:color w:val="000000"/>
                <w:sz w:val="24"/>
                <w:szCs w:val="24"/>
                <w:lang w:eastAsia="en-GB"/>
              </w:rPr>
              <w:t xml:space="preserve">ield experiment </w:t>
            </w:r>
            <w:r w:rsidR="001E5631">
              <w:rPr>
                <w:rFonts w:ascii="Arial" w:eastAsia="Times New Roman" w:hAnsi="Arial" w:cs="Arial"/>
                <w:color w:val="000000"/>
                <w:sz w:val="24"/>
                <w:szCs w:val="24"/>
                <w:lang w:eastAsia="en-GB"/>
              </w:rPr>
              <w:t>s</w:t>
            </w:r>
            <w:r w:rsidR="001E5631" w:rsidRPr="00507874">
              <w:rPr>
                <w:rFonts w:ascii="Arial" w:eastAsia="Times New Roman" w:hAnsi="Arial" w:cs="Arial"/>
                <w:color w:val="000000"/>
                <w:sz w:val="24"/>
                <w:szCs w:val="24"/>
                <w:lang w:eastAsia="en-GB"/>
              </w:rPr>
              <w:t>eason</w:t>
            </w:r>
            <w:r w:rsidRPr="00507874">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2</w:t>
            </w:r>
            <w:r w:rsidRPr="00507874">
              <w:rPr>
                <w:rFonts w:ascii="Arial" w:eastAsia="Times New Roman" w:hAnsi="Arial" w:cs="Arial"/>
                <w:color w:val="000000"/>
                <w:sz w:val="24"/>
                <w:szCs w:val="24"/>
                <w:lang w:eastAsia="en-GB"/>
              </w:rPr>
              <w:t>)</w:t>
            </w:r>
          </w:p>
        </w:tc>
        <w:tc>
          <w:tcPr>
            <w:tcW w:w="506" w:type="dxa"/>
            <w:tcBorders>
              <w:top w:val="single" w:sz="4" w:space="0" w:color="auto"/>
              <w:left w:val="single" w:sz="4" w:space="0" w:color="auto"/>
              <w:bottom w:val="single" w:sz="4" w:space="0" w:color="auto"/>
              <w:right w:val="single" w:sz="4" w:space="0" w:color="auto"/>
            </w:tcBorders>
          </w:tcPr>
          <w:p w14:paraId="7DC503EC"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tcPr>
          <w:p w14:paraId="0F83769D" w14:textId="18A1444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351ECD38" w14:textId="71D18FB8"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B3AA5E"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9BCDDB"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35588D"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FFFFFF" w:themeFill="background1"/>
          </w:tcPr>
          <w:p w14:paraId="3EEFBABE"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30FA32BC" w14:textId="4F565B0C"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926FB"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07D91838"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2E82D631"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C5FD1F7"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3306EB77" w14:textId="77777777" w:rsidR="00636AA9" w:rsidRPr="00507874" w:rsidRDefault="00636AA9" w:rsidP="00636AA9">
            <w:pPr>
              <w:spacing w:after="0" w:line="240" w:lineRule="auto"/>
              <w:rPr>
                <w:rFonts w:ascii="Arial" w:eastAsia="Times New Roman" w:hAnsi="Arial" w:cs="Arial"/>
                <w:sz w:val="24"/>
                <w:szCs w:val="24"/>
                <w:lang w:eastAsia="en-GB"/>
              </w:rPr>
            </w:pPr>
          </w:p>
        </w:tc>
      </w:tr>
      <w:tr w:rsidR="00636AA9" w:rsidRPr="00956A8A" w14:paraId="67B9046D" w14:textId="77777777" w:rsidTr="00375F1C">
        <w:trPr>
          <w:trHeight w:val="599"/>
        </w:trPr>
        <w:tc>
          <w:tcPr>
            <w:tcW w:w="7088" w:type="dxa"/>
            <w:tcBorders>
              <w:top w:val="single" w:sz="4" w:space="0" w:color="auto"/>
              <w:left w:val="single" w:sz="4" w:space="0" w:color="auto"/>
              <w:bottom w:val="single" w:sz="4" w:space="0" w:color="auto"/>
              <w:right w:val="single" w:sz="4" w:space="0" w:color="auto"/>
            </w:tcBorders>
            <w:noWrap/>
            <w:vAlign w:val="bottom"/>
          </w:tcPr>
          <w:p w14:paraId="139DDCAA" w14:textId="20EDD646" w:rsidR="00636AA9" w:rsidRPr="00507874" w:rsidRDefault="00636AA9" w:rsidP="00636AA9">
            <w:pPr>
              <w:spacing w:after="0" w:line="240" w:lineRule="auto"/>
              <w:rPr>
                <w:rFonts w:ascii="Arial" w:eastAsia="Times New Roman" w:hAnsi="Arial" w:cs="Arial"/>
                <w:color w:val="000000"/>
                <w:sz w:val="24"/>
                <w:szCs w:val="24"/>
                <w:lang w:eastAsia="en-GB"/>
              </w:rPr>
            </w:pPr>
            <w:r w:rsidRPr="00507874">
              <w:rPr>
                <w:rFonts w:ascii="Arial" w:eastAsia="Times New Roman" w:hAnsi="Arial" w:cs="Arial"/>
                <w:color w:val="000000"/>
                <w:sz w:val="24"/>
                <w:szCs w:val="24"/>
                <w:lang w:eastAsia="en-GB"/>
              </w:rPr>
              <w:t>Nematode extraction and quantification</w:t>
            </w:r>
            <w:r>
              <w:rPr>
                <w:rFonts w:ascii="Arial" w:eastAsia="Times New Roman" w:hAnsi="Arial" w:cs="Arial"/>
                <w:color w:val="000000"/>
                <w:sz w:val="24"/>
                <w:szCs w:val="24"/>
                <w:lang w:eastAsia="en-GB"/>
              </w:rPr>
              <w:t>- nematode densities Post-incorporation (</w:t>
            </w:r>
            <w:r w:rsidR="00841554">
              <w:rPr>
                <w:rFonts w:ascii="Arial" w:eastAsia="Times New Roman" w:hAnsi="Arial" w:cs="Arial"/>
                <w:color w:val="000000"/>
                <w:sz w:val="24"/>
                <w:szCs w:val="24"/>
                <w:lang w:eastAsia="en-GB"/>
              </w:rPr>
              <w:t>f</w:t>
            </w:r>
            <w:r w:rsidRPr="00507874">
              <w:rPr>
                <w:rFonts w:ascii="Arial" w:eastAsia="Times New Roman" w:hAnsi="Arial" w:cs="Arial"/>
                <w:color w:val="000000"/>
                <w:sz w:val="24"/>
                <w:szCs w:val="24"/>
                <w:lang w:eastAsia="en-GB"/>
              </w:rPr>
              <w:t xml:space="preserve">ield experiment </w:t>
            </w:r>
            <w:r w:rsidR="00841554">
              <w:rPr>
                <w:rFonts w:ascii="Arial" w:eastAsia="Times New Roman" w:hAnsi="Arial" w:cs="Arial"/>
                <w:color w:val="000000"/>
                <w:sz w:val="24"/>
                <w:szCs w:val="24"/>
                <w:lang w:eastAsia="en-GB"/>
              </w:rPr>
              <w:t>s</w:t>
            </w:r>
            <w:r w:rsidRPr="00507874">
              <w:rPr>
                <w:rFonts w:ascii="Arial" w:eastAsia="Times New Roman" w:hAnsi="Arial" w:cs="Arial"/>
                <w:color w:val="000000"/>
                <w:sz w:val="24"/>
                <w:szCs w:val="24"/>
                <w:lang w:eastAsia="en-GB"/>
              </w:rPr>
              <w:t xml:space="preserve">eason </w:t>
            </w:r>
            <w:r>
              <w:rPr>
                <w:rFonts w:ascii="Arial" w:eastAsia="Times New Roman" w:hAnsi="Arial" w:cs="Arial"/>
                <w:color w:val="000000"/>
                <w:sz w:val="24"/>
                <w:szCs w:val="24"/>
                <w:lang w:eastAsia="en-GB"/>
              </w:rPr>
              <w:t>2</w:t>
            </w:r>
            <w:r w:rsidRPr="00507874">
              <w:rPr>
                <w:rFonts w:ascii="Arial" w:eastAsia="Times New Roman" w:hAnsi="Arial" w:cs="Arial"/>
                <w:color w:val="000000"/>
                <w:sz w:val="24"/>
                <w:szCs w:val="24"/>
                <w:lang w:eastAsia="en-GB"/>
              </w:rPr>
              <w:t>)</w:t>
            </w:r>
          </w:p>
        </w:tc>
        <w:tc>
          <w:tcPr>
            <w:tcW w:w="506" w:type="dxa"/>
            <w:tcBorders>
              <w:top w:val="single" w:sz="4" w:space="0" w:color="auto"/>
              <w:left w:val="single" w:sz="4" w:space="0" w:color="auto"/>
              <w:bottom w:val="single" w:sz="4" w:space="0" w:color="auto"/>
              <w:right w:val="single" w:sz="4" w:space="0" w:color="auto"/>
            </w:tcBorders>
          </w:tcPr>
          <w:p w14:paraId="0F48D2DF"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tcPr>
          <w:p w14:paraId="4B0294AF" w14:textId="7E7CA813"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tcPr>
          <w:p w14:paraId="2A271B2F" w14:textId="373A19F5"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7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4AA11B"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136A23"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DBBF0C"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FFFFFF" w:themeFill="background1"/>
          </w:tcPr>
          <w:p w14:paraId="573CEC6D"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46ECDC"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tcPr>
          <w:p w14:paraId="56F996E7"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tcPr>
          <w:p w14:paraId="401EF3BC"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692" w:type="dxa"/>
            <w:tcBorders>
              <w:top w:val="single" w:sz="4" w:space="0" w:color="auto"/>
              <w:left w:val="single" w:sz="4" w:space="0" w:color="auto"/>
              <w:bottom w:val="single" w:sz="4" w:space="0" w:color="auto"/>
              <w:right w:val="single" w:sz="4" w:space="0" w:color="auto"/>
            </w:tcBorders>
            <w:noWrap/>
            <w:vAlign w:val="bottom"/>
          </w:tcPr>
          <w:p w14:paraId="7E7948A3"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0DE49126"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tcPr>
          <w:p w14:paraId="14A12311" w14:textId="77777777" w:rsidR="00636AA9" w:rsidRPr="00507874" w:rsidRDefault="00636AA9" w:rsidP="00636AA9">
            <w:pPr>
              <w:spacing w:after="0" w:line="240" w:lineRule="auto"/>
              <w:rPr>
                <w:rFonts w:ascii="Arial" w:eastAsia="Times New Roman" w:hAnsi="Arial" w:cs="Arial"/>
                <w:sz w:val="24"/>
                <w:szCs w:val="24"/>
                <w:lang w:eastAsia="en-GB"/>
              </w:rPr>
            </w:pPr>
          </w:p>
        </w:tc>
      </w:tr>
      <w:tr w:rsidR="00636AA9" w:rsidRPr="00956A8A" w14:paraId="788A4748" w14:textId="77777777" w:rsidTr="00375F1C">
        <w:trPr>
          <w:trHeight w:val="357"/>
        </w:trPr>
        <w:tc>
          <w:tcPr>
            <w:tcW w:w="7088" w:type="dxa"/>
            <w:tcBorders>
              <w:top w:val="single" w:sz="4" w:space="0" w:color="auto"/>
              <w:left w:val="single" w:sz="4" w:space="0" w:color="auto"/>
              <w:bottom w:val="single" w:sz="4" w:space="0" w:color="auto"/>
              <w:right w:val="single" w:sz="4" w:space="0" w:color="auto"/>
            </w:tcBorders>
            <w:noWrap/>
            <w:vAlign w:val="bottom"/>
            <w:hideMark/>
          </w:tcPr>
          <w:p w14:paraId="340A614A" w14:textId="5F4202FC" w:rsidR="00636AA9" w:rsidRPr="00507874" w:rsidRDefault="00636AA9" w:rsidP="00636AA9">
            <w:pPr>
              <w:spacing w:after="0" w:line="240" w:lineRule="auto"/>
              <w:rPr>
                <w:rFonts w:ascii="Arial" w:eastAsia="Times New Roman" w:hAnsi="Arial" w:cs="Arial"/>
                <w:color w:val="000000"/>
                <w:sz w:val="24"/>
                <w:szCs w:val="24"/>
                <w:lang w:eastAsia="en-GB"/>
              </w:rPr>
            </w:pPr>
            <w:r w:rsidRPr="00F63475">
              <w:rPr>
                <w:rFonts w:ascii="Arial" w:eastAsia="Times New Roman" w:hAnsi="Arial" w:cs="Arial"/>
                <w:i/>
                <w:color w:val="000000"/>
                <w:sz w:val="24"/>
                <w:szCs w:val="24"/>
                <w:lang w:eastAsia="en-GB"/>
              </w:rPr>
              <w:t>In</w:t>
            </w:r>
            <w:r w:rsidR="00841554" w:rsidRPr="00F63475">
              <w:rPr>
                <w:rFonts w:ascii="Arial" w:eastAsia="Times New Roman" w:hAnsi="Arial" w:cs="Arial"/>
                <w:i/>
                <w:color w:val="000000"/>
                <w:sz w:val="24"/>
                <w:szCs w:val="24"/>
                <w:lang w:eastAsia="en-GB"/>
              </w:rPr>
              <w:t xml:space="preserve"> </w:t>
            </w:r>
            <w:r w:rsidRPr="00F63475">
              <w:rPr>
                <w:rFonts w:ascii="Arial" w:eastAsia="Times New Roman" w:hAnsi="Arial" w:cs="Arial"/>
                <w:i/>
                <w:color w:val="000000"/>
                <w:sz w:val="24"/>
                <w:szCs w:val="24"/>
                <w:lang w:eastAsia="en-GB"/>
              </w:rPr>
              <w:t>vitro</w:t>
            </w:r>
            <w:r>
              <w:rPr>
                <w:rFonts w:ascii="Arial" w:eastAsia="Times New Roman" w:hAnsi="Arial" w:cs="Arial"/>
                <w:color w:val="000000"/>
                <w:sz w:val="24"/>
                <w:szCs w:val="24"/>
                <w:lang w:eastAsia="en-GB"/>
              </w:rPr>
              <w:t xml:space="preserve"> experiments with cover crop extracted compounds </w:t>
            </w:r>
          </w:p>
        </w:tc>
        <w:tc>
          <w:tcPr>
            <w:tcW w:w="506" w:type="dxa"/>
            <w:tcBorders>
              <w:top w:val="single" w:sz="4" w:space="0" w:color="auto"/>
              <w:left w:val="single" w:sz="4" w:space="0" w:color="auto"/>
              <w:bottom w:val="single" w:sz="4" w:space="0" w:color="auto"/>
              <w:right w:val="single" w:sz="4" w:space="0" w:color="auto"/>
            </w:tcBorders>
          </w:tcPr>
          <w:p w14:paraId="3E326AD6"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tcPr>
          <w:p w14:paraId="6756F49D" w14:textId="5B5A9C7E"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0D432C60" w14:textId="3C8F7A63"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78" w:type="dxa"/>
            <w:tcBorders>
              <w:top w:val="single" w:sz="4" w:space="0" w:color="auto"/>
              <w:left w:val="single" w:sz="4" w:space="0" w:color="auto"/>
              <w:bottom w:val="single" w:sz="4" w:space="0" w:color="auto"/>
              <w:right w:val="single" w:sz="4" w:space="0" w:color="auto"/>
            </w:tcBorders>
            <w:noWrap/>
            <w:vAlign w:val="bottom"/>
            <w:hideMark/>
          </w:tcPr>
          <w:p w14:paraId="650A2634"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51689618"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34530491"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664D03A3"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6FAE70F5" w14:textId="0783CC9B"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12304C89"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4DC0A"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A5549"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6968957"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381FB4CF" w14:textId="77777777" w:rsidR="00636AA9" w:rsidRPr="00507874" w:rsidRDefault="00636AA9" w:rsidP="00636AA9">
            <w:pPr>
              <w:spacing w:after="0" w:line="240" w:lineRule="auto"/>
              <w:rPr>
                <w:rFonts w:ascii="Arial" w:eastAsia="Times New Roman" w:hAnsi="Arial" w:cs="Arial"/>
                <w:sz w:val="24"/>
                <w:szCs w:val="24"/>
                <w:lang w:eastAsia="en-GB"/>
              </w:rPr>
            </w:pPr>
          </w:p>
        </w:tc>
      </w:tr>
      <w:tr w:rsidR="00636AA9" w:rsidRPr="00956A8A" w14:paraId="25C08079" w14:textId="77777777" w:rsidTr="00616CDC">
        <w:trPr>
          <w:trHeight w:val="295"/>
        </w:trPr>
        <w:tc>
          <w:tcPr>
            <w:tcW w:w="7088" w:type="dxa"/>
            <w:tcBorders>
              <w:top w:val="single" w:sz="4" w:space="0" w:color="auto"/>
              <w:left w:val="single" w:sz="4" w:space="0" w:color="auto"/>
              <w:bottom w:val="single" w:sz="4" w:space="0" w:color="auto"/>
              <w:right w:val="single" w:sz="4" w:space="0" w:color="auto"/>
            </w:tcBorders>
            <w:noWrap/>
            <w:vAlign w:val="bottom"/>
            <w:hideMark/>
          </w:tcPr>
          <w:p w14:paraId="6BDD81A6" w14:textId="1AEE3B39" w:rsidR="00636AA9" w:rsidRPr="00507874" w:rsidRDefault="00636AA9" w:rsidP="00636AA9">
            <w:pPr>
              <w:spacing w:after="0" w:line="240" w:lineRule="auto"/>
              <w:rPr>
                <w:rFonts w:ascii="Arial" w:eastAsia="Times New Roman" w:hAnsi="Arial" w:cs="Arial"/>
                <w:color w:val="000000"/>
                <w:sz w:val="24"/>
                <w:szCs w:val="24"/>
                <w:lang w:eastAsia="en-GB"/>
              </w:rPr>
            </w:pPr>
            <w:r w:rsidRPr="00507874">
              <w:rPr>
                <w:rFonts w:ascii="Arial" w:eastAsia="Times New Roman" w:hAnsi="Arial" w:cs="Arial"/>
                <w:color w:val="000000"/>
                <w:sz w:val="24"/>
                <w:szCs w:val="24"/>
                <w:lang w:eastAsia="en-GB"/>
              </w:rPr>
              <w:t>Colloquium abstract year 2</w:t>
            </w:r>
          </w:p>
        </w:tc>
        <w:tc>
          <w:tcPr>
            <w:tcW w:w="506" w:type="dxa"/>
            <w:tcBorders>
              <w:top w:val="single" w:sz="4" w:space="0" w:color="auto"/>
              <w:left w:val="single" w:sz="4" w:space="0" w:color="auto"/>
              <w:bottom w:val="single" w:sz="4" w:space="0" w:color="auto"/>
              <w:right w:val="single" w:sz="4" w:space="0" w:color="auto"/>
            </w:tcBorders>
            <w:shd w:val="clear" w:color="auto" w:fill="auto"/>
          </w:tcPr>
          <w:p w14:paraId="464F3DBE"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624298EF" w14:textId="3E546263"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2BC3BE1C" w14:textId="349C10F0"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78" w:type="dxa"/>
            <w:tcBorders>
              <w:top w:val="single" w:sz="4" w:space="0" w:color="auto"/>
              <w:left w:val="single" w:sz="4" w:space="0" w:color="auto"/>
              <w:bottom w:val="single" w:sz="4" w:space="0" w:color="auto"/>
              <w:right w:val="single" w:sz="4" w:space="0" w:color="auto"/>
            </w:tcBorders>
            <w:noWrap/>
            <w:vAlign w:val="bottom"/>
            <w:hideMark/>
          </w:tcPr>
          <w:p w14:paraId="0F60F4F1"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15A180F1"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C6AA6"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auto"/>
          </w:tcPr>
          <w:p w14:paraId="7A442EAF"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CCCFA" w14:textId="738CC3E5"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06E29"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3F0EDE7B"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3879E861"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7D4A6F5"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7415D70C" w14:textId="77777777" w:rsidR="00636AA9" w:rsidRPr="00507874" w:rsidRDefault="00636AA9" w:rsidP="00636AA9">
            <w:pPr>
              <w:spacing w:after="0" w:line="240" w:lineRule="auto"/>
              <w:rPr>
                <w:rFonts w:ascii="Arial" w:eastAsia="Times New Roman" w:hAnsi="Arial" w:cs="Arial"/>
                <w:sz w:val="24"/>
                <w:szCs w:val="24"/>
                <w:lang w:eastAsia="en-GB"/>
              </w:rPr>
            </w:pPr>
          </w:p>
        </w:tc>
      </w:tr>
      <w:tr w:rsidR="00636AA9" w:rsidRPr="00956A8A" w14:paraId="4DE22974" w14:textId="77777777" w:rsidTr="00375F1C">
        <w:trPr>
          <w:trHeight w:val="295"/>
        </w:trPr>
        <w:tc>
          <w:tcPr>
            <w:tcW w:w="7088" w:type="dxa"/>
            <w:tcBorders>
              <w:top w:val="single" w:sz="4" w:space="0" w:color="auto"/>
              <w:left w:val="single" w:sz="4" w:space="0" w:color="auto"/>
              <w:bottom w:val="single" w:sz="4" w:space="0" w:color="auto"/>
              <w:right w:val="single" w:sz="4" w:space="0" w:color="auto"/>
            </w:tcBorders>
            <w:noWrap/>
            <w:vAlign w:val="bottom"/>
          </w:tcPr>
          <w:p w14:paraId="20D95A26" w14:textId="25DF816F" w:rsidR="00636AA9" w:rsidRPr="00507874" w:rsidRDefault="00636AA9" w:rsidP="00636AA9">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Host status experiment (</w:t>
            </w:r>
            <w:r w:rsidR="00F229F9">
              <w:rPr>
                <w:rFonts w:ascii="Arial" w:eastAsia="Times New Roman" w:hAnsi="Arial" w:cs="Arial"/>
                <w:color w:val="000000"/>
                <w:sz w:val="24"/>
                <w:szCs w:val="24"/>
                <w:lang w:eastAsia="en-GB"/>
              </w:rPr>
              <w:t>Phytotron</w:t>
            </w:r>
            <w:r>
              <w:rPr>
                <w:rFonts w:ascii="Arial" w:eastAsia="Times New Roman" w:hAnsi="Arial" w:cs="Arial"/>
                <w:color w:val="000000"/>
                <w:sz w:val="24"/>
                <w:szCs w:val="24"/>
                <w:lang w:eastAsia="en-GB"/>
              </w:rPr>
              <w:t xml:space="preserve"> set-up)</w:t>
            </w: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D641C4D"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49E8E2B"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tcPr>
          <w:p w14:paraId="21C0B315"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78"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tcPr>
          <w:p w14:paraId="78A2ED97"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tcPr>
          <w:p w14:paraId="1D81A634"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1E58C"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auto"/>
          </w:tcPr>
          <w:p w14:paraId="3C5FD85E"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C63F1"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2ED91"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tcPr>
          <w:p w14:paraId="53B0A56C"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692" w:type="dxa"/>
            <w:tcBorders>
              <w:top w:val="single" w:sz="4" w:space="0" w:color="auto"/>
              <w:left w:val="single" w:sz="4" w:space="0" w:color="auto"/>
              <w:bottom w:val="single" w:sz="4" w:space="0" w:color="auto"/>
              <w:right w:val="single" w:sz="4" w:space="0" w:color="auto"/>
            </w:tcBorders>
            <w:noWrap/>
            <w:vAlign w:val="bottom"/>
          </w:tcPr>
          <w:p w14:paraId="3AC70098"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7F6E9152"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tcPr>
          <w:p w14:paraId="4FC9E947" w14:textId="77777777" w:rsidR="00636AA9" w:rsidRPr="00507874" w:rsidRDefault="00636AA9" w:rsidP="00636AA9">
            <w:pPr>
              <w:spacing w:after="0" w:line="240" w:lineRule="auto"/>
              <w:rPr>
                <w:rFonts w:ascii="Arial" w:eastAsia="Times New Roman" w:hAnsi="Arial" w:cs="Arial"/>
                <w:sz w:val="24"/>
                <w:szCs w:val="24"/>
                <w:lang w:eastAsia="en-GB"/>
              </w:rPr>
            </w:pPr>
          </w:p>
        </w:tc>
      </w:tr>
      <w:tr w:rsidR="00636AA9" w:rsidRPr="00956A8A" w14:paraId="292C498E" w14:textId="77777777" w:rsidTr="00375F1C">
        <w:trPr>
          <w:trHeight w:val="295"/>
        </w:trPr>
        <w:tc>
          <w:tcPr>
            <w:tcW w:w="7088" w:type="dxa"/>
            <w:tcBorders>
              <w:top w:val="single" w:sz="4" w:space="0" w:color="auto"/>
              <w:left w:val="single" w:sz="4" w:space="0" w:color="auto"/>
              <w:bottom w:val="single" w:sz="4" w:space="0" w:color="auto"/>
              <w:right w:val="single" w:sz="4" w:space="0" w:color="auto"/>
            </w:tcBorders>
            <w:noWrap/>
            <w:vAlign w:val="bottom"/>
          </w:tcPr>
          <w:p w14:paraId="259BB33F" w14:textId="271B1C23" w:rsidR="00636AA9" w:rsidRDefault="00636AA9" w:rsidP="00636AA9">
            <w:pPr>
              <w:spacing w:after="0" w:line="240" w:lineRule="auto"/>
              <w:rPr>
                <w:rFonts w:ascii="Arial" w:eastAsia="Times New Roman" w:hAnsi="Arial" w:cs="Arial"/>
                <w:color w:val="000000"/>
                <w:sz w:val="24"/>
                <w:szCs w:val="24"/>
                <w:lang w:eastAsia="en-GB"/>
              </w:rPr>
            </w:pPr>
            <w:r w:rsidRPr="00F63475">
              <w:rPr>
                <w:rFonts w:ascii="Arial" w:eastAsia="Times New Roman" w:hAnsi="Arial" w:cs="Arial"/>
                <w:i/>
                <w:color w:val="000000"/>
                <w:sz w:val="24"/>
                <w:szCs w:val="24"/>
                <w:lang w:eastAsia="en-GB"/>
              </w:rPr>
              <w:t>In</w:t>
            </w:r>
            <w:r w:rsidR="00841554" w:rsidRPr="00F63475">
              <w:rPr>
                <w:rFonts w:ascii="Arial" w:eastAsia="Times New Roman" w:hAnsi="Arial" w:cs="Arial"/>
                <w:i/>
                <w:color w:val="000000"/>
                <w:sz w:val="24"/>
                <w:szCs w:val="24"/>
                <w:lang w:eastAsia="en-GB"/>
              </w:rPr>
              <w:t xml:space="preserve"> </w:t>
            </w:r>
            <w:r w:rsidRPr="00F63475">
              <w:rPr>
                <w:rFonts w:ascii="Arial" w:eastAsia="Times New Roman" w:hAnsi="Arial" w:cs="Arial"/>
                <w:i/>
                <w:color w:val="000000"/>
                <w:sz w:val="24"/>
                <w:szCs w:val="24"/>
                <w:lang w:eastAsia="en-GB"/>
              </w:rPr>
              <w:t>vitro</w:t>
            </w:r>
            <w:r>
              <w:rPr>
                <w:rFonts w:ascii="Arial" w:eastAsia="Times New Roman" w:hAnsi="Arial" w:cs="Arial"/>
                <w:color w:val="000000"/>
                <w:sz w:val="24"/>
                <w:szCs w:val="24"/>
                <w:lang w:eastAsia="en-GB"/>
              </w:rPr>
              <w:t xml:space="preserve">-nematode culturing </w:t>
            </w: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61383481"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44310AE"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tcPr>
          <w:p w14:paraId="5BE3B88E"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78"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tcPr>
          <w:p w14:paraId="4A2BF527"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tcPr>
          <w:p w14:paraId="1368C3A5"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tcPr>
          <w:p w14:paraId="352648B0"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8BF672D"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tcPr>
          <w:p w14:paraId="01E5D7A8"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tcPr>
          <w:p w14:paraId="698F053F"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tcPr>
          <w:p w14:paraId="2EC92B17"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692" w:type="dxa"/>
            <w:tcBorders>
              <w:top w:val="single" w:sz="4" w:space="0" w:color="auto"/>
              <w:left w:val="single" w:sz="4" w:space="0" w:color="auto"/>
              <w:bottom w:val="single" w:sz="4" w:space="0" w:color="auto"/>
              <w:right w:val="single" w:sz="4" w:space="0" w:color="auto"/>
            </w:tcBorders>
            <w:noWrap/>
            <w:vAlign w:val="bottom"/>
          </w:tcPr>
          <w:p w14:paraId="7686DCBB"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2ECEE7CC"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tcPr>
          <w:p w14:paraId="529F4C4F" w14:textId="77777777" w:rsidR="00636AA9" w:rsidRPr="00507874" w:rsidRDefault="00636AA9" w:rsidP="00636AA9">
            <w:pPr>
              <w:spacing w:after="0" w:line="240" w:lineRule="auto"/>
              <w:rPr>
                <w:rFonts w:ascii="Arial" w:eastAsia="Times New Roman" w:hAnsi="Arial" w:cs="Arial"/>
                <w:sz w:val="24"/>
                <w:szCs w:val="24"/>
                <w:lang w:eastAsia="en-GB"/>
              </w:rPr>
            </w:pPr>
          </w:p>
        </w:tc>
      </w:tr>
      <w:tr w:rsidR="00636AA9" w:rsidRPr="00956A8A" w14:paraId="266B9576" w14:textId="77777777" w:rsidTr="00375F1C">
        <w:trPr>
          <w:trHeight w:val="599"/>
        </w:trPr>
        <w:tc>
          <w:tcPr>
            <w:tcW w:w="7088" w:type="dxa"/>
            <w:tcBorders>
              <w:top w:val="single" w:sz="4" w:space="0" w:color="auto"/>
              <w:left w:val="single" w:sz="4" w:space="0" w:color="auto"/>
              <w:bottom w:val="single" w:sz="4" w:space="0" w:color="auto"/>
              <w:right w:val="single" w:sz="4" w:space="0" w:color="auto"/>
            </w:tcBorders>
            <w:noWrap/>
            <w:vAlign w:val="bottom"/>
            <w:hideMark/>
          </w:tcPr>
          <w:p w14:paraId="650D7A72" w14:textId="06C943BB" w:rsidR="00636AA9" w:rsidRPr="00507874" w:rsidRDefault="00636AA9" w:rsidP="00636AA9">
            <w:pPr>
              <w:spacing w:after="0" w:line="240" w:lineRule="auto"/>
              <w:rPr>
                <w:rFonts w:ascii="Arial" w:eastAsia="Times New Roman" w:hAnsi="Arial" w:cs="Arial"/>
                <w:color w:val="000000"/>
                <w:sz w:val="24"/>
                <w:szCs w:val="24"/>
                <w:lang w:eastAsia="en-GB"/>
              </w:rPr>
            </w:pPr>
            <w:r w:rsidRPr="00507874">
              <w:rPr>
                <w:rFonts w:ascii="Arial" w:eastAsia="Times New Roman" w:hAnsi="Arial" w:cs="Arial"/>
                <w:color w:val="000000"/>
                <w:sz w:val="24"/>
                <w:szCs w:val="24"/>
                <w:lang w:eastAsia="en-GB"/>
              </w:rPr>
              <w:t xml:space="preserve">Glasshouse experiment on agronomic modifications to improve nematode suppression </w:t>
            </w:r>
          </w:p>
        </w:tc>
        <w:tc>
          <w:tcPr>
            <w:tcW w:w="506" w:type="dxa"/>
            <w:tcBorders>
              <w:top w:val="single" w:sz="4" w:space="0" w:color="auto"/>
              <w:left w:val="single" w:sz="4" w:space="0" w:color="auto"/>
              <w:bottom w:val="single" w:sz="4" w:space="0" w:color="auto"/>
              <w:right w:val="single" w:sz="4" w:space="0" w:color="auto"/>
            </w:tcBorders>
          </w:tcPr>
          <w:p w14:paraId="3359FF78"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tcPr>
          <w:p w14:paraId="2808BA90" w14:textId="112E2BFB"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511F551C" w14:textId="77DB02D6"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78"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3A10EA04"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35EE62F0"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15564F9B"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33B35165"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38405C63" w14:textId="03A3885F"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18252087"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635D975C"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486BB"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17366" w14:textId="77777777" w:rsidR="00636AA9" w:rsidRPr="00507874" w:rsidRDefault="00636AA9" w:rsidP="00636AA9">
            <w:pPr>
              <w:spacing w:after="0" w:line="240" w:lineRule="auto"/>
              <w:rPr>
                <w:rFonts w:ascii="Arial" w:eastAsia="Times New Roman" w:hAnsi="Arial" w:cs="Arial"/>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4E421" w14:textId="77777777" w:rsidR="00636AA9" w:rsidRPr="00507874" w:rsidRDefault="00636AA9" w:rsidP="00636AA9">
            <w:pPr>
              <w:spacing w:after="0" w:line="240" w:lineRule="auto"/>
              <w:rPr>
                <w:rFonts w:ascii="Arial" w:eastAsia="Times New Roman" w:hAnsi="Arial" w:cs="Arial"/>
                <w:sz w:val="24"/>
                <w:szCs w:val="24"/>
                <w:lang w:eastAsia="en-GB"/>
              </w:rPr>
            </w:pPr>
          </w:p>
        </w:tc>
      </w:tr>
      <w:tr w:rsidR="00636AA9" w:rsidRPr="00507874" w14:paraId="614FBD21" w14:textId="77777777" w:rsidTr="00636AA9">
        <w:trPr>
          <w:trHeight w:val="401"/>
        </w:trPr>
        <w:tc>
          <w:tcPr>
            <w:tcW w:w="7088" w:type="dxa"/>
            <w:tcBorders>
              <w:top w:val="single" w:sz="4" w:space="0" w:color="auto"/>
              <w:left w:val="single" w:sz="4" w:space="0" w:color="auto"/>
              <w:bottom w:val="single" w:sz="4" w:space="0" w:color="auto"/>
              <w:right w:val="single" w:sz="4" w:space="0" w:color="auto"/>
            </w:tcBorders>
            <w:noWrap/>
            <w:vAlign w:val="bottom"/>
            <w:hideMark/>
          </w:tcPr>
          <w:p w14:paraId="3B91FA85" w14:textId="6DA93FFC" w:rsidR="00636AA9" w:rsidRPr="00507874" w:rsidRDefault="00636AA9" w:rsidP="00636AA9">
            <w:pPr>
              <w:spacing w:after="0" w:line="240" w:lineRule="auto"/>
              <w:rPr>
                <w:rFonts w:ascii="Arial" w:eastAsia="Times New Roman" w:hAnsi="Arial" w:cs="Arial"/>
                <w:color w:val="000000"/>
                <w:sz w:val="24"/>
                <w:szCs w:val="24"/>
                <w:lang w:eastAsia="en-GB"/>
              </w:rPr>
            </w:pPr>
            <w:r w:rsidRPr="00507874">
              <w:rPr>
                <w:rFonts w:ascii="Arial" w:eastAsia="Times New Roman" w:hAnsi="Arial" w:cs="Arial"/>
                <w:color w:val="000000"/>
                <w:sz w:val="24"/>
                <w:szCs w:val="24"/>
                <w:lang w:eastAsia="en-GB"/>
              </w:rPr>
              <w:t xml:space="preserve">Year two </w:t>
            </w:r>
            <w:r w:rsidR="00841554">
              <w:rPr>
                <w:rFonts w:ascii="Arial" w:eastAsia="Times New Roman" w:hAnsi="Arial" w:cs="Arial"/>
                <w:color w:val="000000"/>
                <w:sz w:val="24"/>
                <w:szCs w:val="24"/>
                <w:lang w:eastAsia="en-GB"/>
              </w:rPr>
              <w:t>r</w:t>
            </w:r>
            <w:r w:rsidRPr="00507874">
              <w:rPr>
                <w:rFonts w:ascii="Arial" w:eastAsia="Times New Roman" w:hAnsi="Arial" w:cs="Arial"/>
                <w:color w:val="000000"/>
                <w:sz w:val="24"/>
                <w:szCs w:val="24"/>
                <w:lang w:eastAsia="en-GB"/>
              </w:rPr>
              <w:t>eport (</w:t>
            </w:r>
            <w:r w:rsidR="00841554">
              <w:rPr>
                <w:rFonts w:ascii="Arial" w:eastAsia="Times New Roman" w:hAnsi="Arial" w:cs="Arial"/>
                <w:color w:val="000000"/>
                <w:sz w:val="24"/>
                <w:szCs w:val="24"/>
                <w:lang w:eastAsia="en-GB"/>
              </w:rPr>
              <w:t>m</w:t>
            </w:r>
            <w:r w:rsidRPr="00507874">
              <w:rPr>
                <w:rFonts w:ascii="Arial" w:eastAsia="Times New Roman" w:hAnsi="Arial" w:cs="Arial"/>
                <w:color w:val="000000"/>
                <w:sz w:val="24"/>
                <w:szCs w:val="24"/>
                <w:lang w:eastAsia="en-GB"/>
              </w:rPr>
              <w:t>anuscript submission)</w:t>
            </w:r>
          </w:p>
        </w:tc>
        <w:tc>
          <w:tcPr>
            <w:tcW w:w="506" w:type="dxa"/>
            <w:tcBorders>
              <w:top w:val="single" w:sz="4" w:space="0" w:color="auto"/>
              <w:left w:val="single" w:sz="4" w:space="0" w:color="auto"/>
              <w:bottom w:val="single" w:sz="4" w:space="0" w:color="auto"/>
              <w:right w:val="single" w:sz="4" w:space="0" w:color="auto"/>
            </w:tcBorders>
          </w:tcPr>
          <w:p w14:paraId="5D2EDEAF" w14:textId="77777777"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tcPr>
          <w:p w14:paraId="27FAF61C" w14:textId="7D6D1796"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06" w:type="dxa"/>
            <w:tcBorders>
              <w:top w:val="single" w:sz="4" w:space="0" w:color="auto"/>
              <w:left w:val="single" w:sz="4" w:space="0" w:color="auto"/>
              <w:bottom w:val="single" w:sz="4" w:space="0" w:color="auto"/>
              <w:right w:val="single" w:sz="4" w:space="0" w:color="auto"/>
            </w:tcBorders>
            <w:noWrap/>
            <w:vAlign w:val="bottom"/>
            <w:hideMark/>
          </w:tcPr>
          <w:p w14:paraId="6A44A312" w14:textId="3F6BDC9B" w:rsidR="00636AA9" w:rsidRPr="00507874" w:rsidRDefault="00636AA9" w:rsidP="00636AA9">
            <w:pPr>
              <w:spacing w:after="0" w:line="240" w:lineRule="auto"/>
              <w:rPr>
                <w:rFonts w:ascii="Arial" w:eastAsia="Times New Roman" w:hAnsi="Arial" w:cs="Arial"/>
                <w:color w:val="000000"/>
                <w:sz w:val="24"/>
                <w:szCs w:val="24"/>
                <w:lang w:eastAsia="en-GB"/>
              </w:rPr>
            </w:pPr>
          </w:p>
        </w:tc>
        <w:tc>
          <w:tcPr>
            <w:tcW w:w="578" w:type="dxa"/>
            <w:tcBorders>
              <w:top w:val="single" w:sz="4" w:space="0" w:color="auto"/>
              <w:left w:val="single" w:sz="4" w:space="0" w:color="auto"/>
              <w:bottom w:val="single" w:sz="4" w:space="0" w:color="auto"/>
              <w:right w:val="single" w:sz="4" w:space="0" w:color="auto"/>
            </w:tcBorders>
            <w:noWrap/>
            <w:vAlign w:val="bottom"/>
            <w:hideMark/>
          </w:tcPr>
          <w:p w14:paraId="6630DE46" w14:textId="77777777" w:rsidR="00636AA9" w:rsidRPr="00507874" w:rsidRDefault="00636AA9" w:rsidP="00636AA9">
            <w:pPr>
              <w:spacing w:after="0" w:line="240" w:lineRule="auto"/>
              <w:rPr>
                <w:rFonts w:ascii="Times New Roman" w:eastAsia="Times New Roman" w:hAnsi="Times New Roman" w:cs="Times New Roman"/>
                <w:sz w:val="20"/>
                <w:szCs w:val="20"/>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C237B" w14:textId="77777777" w:rsidR="00636AA9" w:rsidRPr="00507874" w:rsidRDefault="00636AA9" w:rsidP="00636AA9">
            <w:pPr>
              <w:spacing w:after="0" w:line="240" w:lineRule="auto"/>
              <w:rPr>
                <w:rFonts w:ascii="Times New Roman" w:eastAsia="Times New Roman" w:hAnsi="Times New Roman" w:cs="Times New Roman"/>
                <w:sz w:val="20"/>
                <w:szCs w:val="20"/>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A0FC8" w14:textId="77777777" w:rsidR="00636AA9" w:rsidRPr="00507874" w:rsidRDefault="00636AA9" w:rsidP="00636AA9">
            <w:pPr>
              <w:spacing w:after="0" w:line="240" w:lineRule="auto"/>
              <w:rPr>
                <w:rFonts w:ascii="Times New Roman" w:eastAsia="Times New Roman" w:hAnsi="Times New Roman" w:cs="Times New Roman"/>
                <w:sz w:val="20"/>
                <w:szCs w:val="20"/>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auto"/>
          </w:tcPr>
          <w:p w14:paraId="40B2A218" w14:textId="77777777" w:rsidR="00636AA9" w:rsidRPr="00507874" w:rsidRDefault="00636AA9" w:rsidP="00636AA9">
            <w:pPr>
              <w:spacing w:after="0" w:line="240" w:lineRule="auto"/>
              <w:rPr>
                <w:rFonts w:ascii="Times New Roman" w:eastAsia="Times New Roman" w:hAnsi="Times New Roman" w:cs="Times New Roman"/>
                <w:sz w:val="20"/>
                <w:szCs w:val="20"/>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DDD5C" w14:textId="54830062" w:rsidR="00636AA9" w:rsidRPr="00507874" w:rsidRDefault="00636AA9" w:rsidP="00636AA9">
            <w:pPr>
              <w:spacing w:after="0" w:line="240" w:lineRule="auto"/>
              <w:rPr>
                <w:rFonts w:ascii="Times New Roman" w:eastAsia="Times New Roman" w:hAnsi="Times New Roman" w:cs="Times New Roman"/>
                <w:sz w:val="20"/>
                <w:szCs w:val="20"/>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1E538" w14:textId="77777777" w:rsidR="00636AA9" w:rsidRPr="00507874" w:rsidRDefault="00636AA9" w:rsidP="00636AA9">
            <w:pPr>
              <w:spacing w:after="0" w:line="240" w:lineRule="auto"/>
              <w:rPr>
                <w:rFonts w:ascii="Times New Roman" w:eastAsia="Times New Roman" w:hAnsi="Times New Roman" w:cs="Times New Roman"/>
                <w:sz w:val="20"/>
                <w:szCs w:val="20"/>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3642B" w14:textId="77777777" w:rsidR="00636AA9" w:rsidRPr="00507874" w:rsidRDefault="00636AA9" w:rsidP="00636AA9">
            <w:pPr>
              <w:spacing w:after="0" w:line="240" w:lineRule="auto"/>
              <w:rPr>
                <w:rFonts w:ascii="Times New Roman" w:eastAsia="Times New Roman" w:hAnsi="Times New Roman" w:cs="Times New Roman"/>
                <w:sz w:val="20"/>
                <w:szCs w:val="20"/>
                <w:lang w:eastAsia="en-GB"/>
              </w:rPr>
            </w:pPr>
          </w:p>
        </w:tc>
        <w:tc>
          <w:tcPr>
            <w:tcW w:w="692"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44B6A2C2" w14:textId="77777777" w:rsidR="00636AA9" w:rsidRPr="00507874" w:rsidRDefault="00636AA9" w:rsidP="00636AA9">
            <w:pPr>
              <w:spacing w:after="0" w:line="240" w:lineRule="auto"/>
              <w:rPr>
                <w:rFonts w:ascii="Times New Roman" w:eastAsia="Times New Roman" w:hAnsi="Times New Roman" w:cs="Times New Roman"/>
                <w:sz w:val="20"/>
                <w:szCs w:val="20"/>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2D8EBDDA" w14:textId="77777777" w:rsidR="00636AA9" w:rsidRPr="00507874" w:rsidRDefault="00636AA9" w:rsidP="00636AA9">
            <w:pPr>
              <w:spacing w:after="0" w:line="240" w:lineRule="auto"/>
              <w:rPr>
                <w:rFonts w:ascii="Times New Roman" w:eastAsia="Times New Roman" w:hAnsi="Times New Roman" w:cs="Times New Roman"/>
                <w:sz w:val="20"/>
                <w:szCs w:val="20"/>
                <w:lang w:eastAsia="en-GB"/>
              </w:rPr>
            </w:pPr>
          </w:p>
        </w:tc>
        <w:tc>
          <w:tcPr>
            <w:tcW w:w="506"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581611B6" w14:textId="77777777" w:rsidR="00636AA9" w:rsidRPr="00507874" w:rsidRDefault="00636AA9" w:rsidP="00636AA9">
            <w:pPr>
              <w:spacing w:after="0" w:line="240" w:lineRule="auto"/>
              <w:rPr>
                <w:rFonts w:ascii="Times New Roman" w:eastAsia="Times New Roman" w:hAnsi="Times New Roman" w:cs="Times New Roman"/>
                <w:sz w:val="20"/>
                <w:szCs w:val="20"/>
                <w:lang w:eastAsia="en-GB"/>
              </w:rPr>
            </w:pPr>
          </w:p>
        </w:tc>
      </w:tr>
    </w:tbl>
    <w:p w14:paraId="23AE569D" w14:textId="75D4D430" w:rsidR="00507874" w:rsidRPr="00080D78" w:rsidRDefault="00080D78" w:rsidP="00080D78">
      <w:pPr>
        <w:pStyle w:val="Heading1"/>
        <w:rPr>
          <w:rFonts w:ascii="Arial" w:hAnsi="Arial" w:cs="Arial"/>
          <w:b/>
          <w:color w:val="000000" w:themeColor="text1"/>
          <w:sz w:val="24"/>
          <w:szCs w:val="24"/>
        </w:rPr>
      </w:pPr>
      <w:bookmarkStart w:id="69" w:name="_Toc110341306"/>
      <w:r w:rsidRPr="00080D78">
        <w:rPr>
          <w:rFonts w:ascii="Arial" w:hAnsi="Arial" w:cs="Arial"/>
          <w:b/>
          <w:color w:val="000000" w:themeColor="text1"/>
          <w:sz w:val="24"/>
          <w:szCs w:val="24"/>
        </w:rPr>
        <w:t xml:space="preserve">Appendix </w:t>
      </w:r>
      <w:r w:rsidR="00205FA4" w:rsidRPr="00080D78">
        <w:rPr>
          <w:rFonts w:ascii="Arial" w:hAnsi="Arial" w:cs="Arial"/>
          <w:b/>
          <w:color w:val="000000" w:themeColor="text1"/>
          <w:sz w:val="24"/>
          <w:szCs w:val="24"/>
        </w:rPr>
        <w:t>C:</w:t>
      </w:r>
      <w:r w:rsidRPr="00080D78">
        <w:rPr>
          <w:rFonts w:ascii="Arial" w:hAnsi="Arial" w:cs="Arial"/>
          <w:b/>
          <w:color w:val="000000" w:themeColor="text1"/>
          <w:sz w:val="24"/>
          <w:szCs w:val="24"/>
        </w:rPr>
        <w:t xml:space="preserve"> </w:t>
      </w:r>
      <w:r w:rsidR="00CB69B8" w:rsidRPr="00080D78">
        <w:rPr>
          <w:rFonts w:ascii="Arial" w:hAnsi="Arial" w:cs="Arial"/>
          <w:b/>
          <w:color w:val="000000" w:themeColor="text1"/>
          <w:sz w:val="24"/>
          <w:szCs w:val="24"/>
        </w:rPr>
        <w:t xml:space="preserve">Gannt chart for </w:t>
      </w:r>
      <w:r w:rsidR="00636AA9" w:rsidRPr="00080D78">
        <w:rPr>
          <w:rFonts w:ascii="Arial" w:eastAsia="Times New Roman" w:hAnsi="Arial" w:cs="Arial"/>
          <w:b/>
          <w:bCs/>
          <w:color w:val="000000" w:themeColor="text1"/>
          <w:sz w:val="24"/>
          <w:szCs w:val="24"/>
          <w:lang w:eastAsia="en-GB"/>
        </w:rPr>
        <w:t xml:space="preserve">October </w:t>
      </w:r>
      <w:r w:rsidR="00CB69B8" w:rsidRPr="00080D78">
        <w:rPr>
          <w:rFonts w:ascii="Arial" w:eastAsia="Times New Roman" w:hAnsi="Arial" w:cs="Arial"/>
          <w:b/>
          <w:bCs/>
          <w:color w:val="000000" w:themeColor="text1"/>
          <w:sz w:val="24"/>
          <w:szCs w:val="24"/>
          <w:lang w:eastAsia="en-GB"/>
        </w:rPr>
        <w:t xml:space="preserve">2021 </w:t>
      </w:r>
      <w:r w:rsidR="007B4207">
        <w:rPr>
          <w:rFonts w:ascii="Arial" w:eastAsia="Times New Roman" w:hAnsi="Arial" w:cs="Arial"/>
          <w:b/>
          <w:bCs/>
          <w:color w:val="000000" w:themeColor="text1"/>
          <w:sz w:val="24"/>
          <w:szCs w:val="24"/>
          <w:lang w:eastAsia="en-GB"/>
        </w:rPr>
        <w:t xml:space="preserve">to </w:t>
      </w:r>
      <w:r w:rsidR="00636AA9" w:rsidRPr="00080D78">
        <w:rPr>
          <w:rFonts w:ascii="Arial" w:eastAsia="Times New Roman" w:hAnsi="Arial" w:cs="Arial"/>
          <w:b/>
          <w:bCs/>
          <w:color w:val="000000" w:themeColor="text1"/>
          <w:sz w:val="24"/>
          <w:szCs w:val="24"/>
          <w:lang w:eastAsia="en-GB"/>
        </w:rPr>
        <w:t xml:space="preserve">October </w:t>
      </w:r>
      <w:r w:rsidR="00CB69B8" w:rsidRPr="00080D78">
        <w:rPr>
          <w:rFonts w:ascii="Arial" w:eastAsia="Times New Roman" w:hAnsi="Arial" w:cs="Arial"/>
          <w:b/>
          <w:bCs/>
          <w:color w:val="000000" w:themeColor="text1"/>
          <w:sz w:val="24"/>
          <w:szCs w:val="24"/>
          <w:lang w:eastAsia="en-GB"/>
        </w:rPr>
        <w:t>2022</w:t>
      </w:r>
      <w:bookmarkEnd w:id="69"/>
    </w:p>
    <w:sectPr w:rsidR="00507874" w:rsidRPr="00080D78" w:rsidSect="00956A8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04C17" w14:textId="3BB434F9" w:rsidR="00ED0D9A" w:rsidRDefault="00ED0D9A">
      <w:pPr>
        <w:spacing w:after="0" w:line="240" w:lineRule="auto"/>
      </w:pPr>
      <w:r>
        <w:separator/>
      </w:r>
    </w:p>
  </w:endnote>
  <w:endnote w:type="continuationSeparator" w:id="0">
    <w:p w14:paraId="6F45DA1B" w14:textId="52234D2B" w:rsidR="00ED0D9A" w:rsidRDefault="00ED0D9A">
      <w:pPr>
        <w:spacing w:after="0" w:line="240" w:lineRule="auto"/>
      </w:pPr>
      <w:r>
        <w:continuationSeparator/>
      </w:r>
    </w:p>
  </w:endnote>
  <w:endnote w:type="continuationNotice" w:id="1">
    <w:p w14:paraId="0AAECED9" w14:textId="39DC7D05" w:rsidR="00ED0D9A" w:rsidRDefault="00ED0D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TXinwei">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474145"/>
      <w:docPartObj>
        <w:docPartGallery w:val="Page Numbers (Bottom of Page)"/>
        <w:docPartUnique/>
      </w:docPartObj>
    </w:sdtPr>
    <w:sdtEndPr>
      <w:rPr>
        <w:noProof/>
      </w:rPr>
    </w:sdtEndPr>
    <w:sdtContent>
      <w:p w14:paraId="5A8A546F" w14:textId="3E300148" w:rsidR="00ED0D9A" w:rsidRDefault="00ED0D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9260DC" w14:textId="77777777" w:rsidR="00ED0D9A" w:rsidRDefault="00ED0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973770"/>
      <w:docPartObj>
        <w:docPartGallery w:val="Page Numbers (Bottom of Page)"/>
        <w:docPartUnique/>
      </w:docPartObj>
    </w:sdtPr>
    <w:sdtEndPr>
      <w:rPr>
        <w:noProof/>
      </w:rPr>
    </w:sdtEndPr>
    <w:sdtContent>
      <w:p w14:paraId="7DC19555" w14:textId="27E68C90" w:rsidR="00ED0D9A" w:rsidRDefault="007B60A3">
        <w:pPr>
          <w:pStyle w:val="Footer"/>
          <w:jc w:val="right"/>
        </w:pPr>
      </w:p>
    </w:sdtContent>
  </w:sdt>
  <w:p w14:paraId="439ACB99" w14:textId="77777777" w:rsidR="00ED0D9A" w:rsidRDefault="00ED0D9A" w:rsidP="00616CD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729499"/>
      <w:docPartObj>
        <w:docPartGallery w:val="Page Numbers (Bottom of Page)"/>
        <w:docPartUnique/>
      </w:docPartObj>
    </w:sdtPr>
    <w:sdtEndPr>
      <w:rPr>
        <w:noProof/>
      </w:rPr>
    </w:sdtEndPr>
    <w:sdtContent>
      <w:p w14:paraId="54E91E01" w14:textId="78B21374" w:rsidR="00ED0D9A" w:rsidRDefault="00ED0D9A" w:rsidP="00A858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30E335" w14:textId="77777777" w:rsidR="00ED0D9A" w:rsidRDefault="00ED0D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580306"/>
      <w:docPartObj>
        <w:docPartGallery w:val="Page Numbers (Bottom of Page)"/>
        <w:docPartUnique/>
      </w:docPartObj>
    </w:sdtPr>
    <w:sdtEndPr>
      <w:rPr>
        <w:noProof/>
      </w:rPr>
    </w:sdtEndPr>
    <w:sdtContent>
      <w:p w14:paraId="12F672FF" w14:textId="1747F936" w:rsidR="00ED0D9A" w:rsidRDefault="00ED0D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A65E75" w14:textId="77777777" w:rsidR="00ED0D9A" w:rsidRDefault="00ED0D9A" w:rsidP="00616CD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69E8B" w14:textId="77777777" w:rsidR="00ED0D9A" w:rsidRDefault="00ED0D9A">
      <w:pPr>
        <w:spacing w:after="0" w:line="240" w:lineRule="auto"/>
      </w:pPr>
      <w:r>
        <w:separator/>
      </w:r>
    </w:p>
  </w:footnote>
  <w:footnote w:type="continuationSeparator" w:id="0">
    <w:p w14:paraId="06DF5DB0" w14:textId="27C02745" w:rsidR="00ED0D9A" w:rsidRDefault="00ED0D9A">
      <w:pPr>
        <w:spacing w:after="0" w:line="240" w:lineRule="auto"/>
      </w:pPr>
      <w:r>
        <w:continuationSeparator/>
      </w:r>
    </w:p>
  </w:footnote>
  <w:footnote w:type="continuationNotice" w:id="1">
    <w:p w14:paraId="770F6A52" w14:textId="35083615" w:rsidR="00ED0D9A" w:rsidRDefault="00ED0D9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E206F6"/>
    <w:lvl w:ilvl="0">
      <w:start w:val="1"/>
      <w:numFmt w:val="decimal"/>
      <w:pStyle w:val="ListNumber5"/>
      <w:lvlText w:val="%1."/>
      <w:lvlJc w:val="left"/>
      <w:pPr>
        <w:tabs>
          <w:tab w:val="num" w:pos="772"/>
        </w:tabs>
        <w:ind w:left="772" w:hanging="360"/>
      </w:pPr>
    </w:lvl>
  </w:abstractNum>
  <w:abstractNum w:abstractNumId="1" w15:restartNumberingAfterBreak="0">
    <w:nsid w:val="FFFFFF7D"/>
    <w:multiLevelType w:val="singleLevel"/>
    <w:tmpl w:val="0406B9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7560A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4AAC7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BC857D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78635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FE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BCEB7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4D92F49"/>
    <w:multiLevelType w:val="hybridMultilevel"/>
    <w:tmpl w:val="45CAC4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AC740C"/>
    <w:multiLevelType w:val="hybridMultilevel"/>
    <w:tmpl w:val="F9C8263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8B6B1E"/>
    <w:multiLevelType w:val="hybridMultilevel"/>
    <w:tmpl w:val="72328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890554"/>
    <w:multiLevelType w:val="hybridMultilevel"/>
    <w:tmpl w:val="203E39C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A655421"/>
    <w:multiLevelType w:val="hybridMultilevel"/>
    <w:tmpl w:val="AD38B4A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84455C"/>
    <w:multiLevelType w:val="hybridMultilevel"/>
    <w:tmpl w:val="49522F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604754"/>
    <w:multiLevelType w:val="multilevel"/>
    <w:tmpl w:val="507ABA6C"/>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19A3F71"/>
    <w:multiLevelType w:val="hybridMultilevel"/>
    <w:tmpl w:val="2DA69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AB769A"/>
    <w:multiLevelType w:val="multilevel"/>
    <w:tmpl w:val="7A84B5B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3" w15:restartNumberingAfterBreak="0">
    <w:nsid w:val="2B2A335A"/>
    <w:multiLevelType w:val="hybridMultilevel"/>
    <w:tmpl w:val="0734C622"/>
    <w:lvl w:ilvl="0" w:tplc="08090019">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319D22BD"/>
    <w:multiLevelType w:val="hybridMultilevel"/>
    <w:tmpl w:val="7CAA12AC"/>
    <w:lvl w:ilvl="0" w:tplc="5308C5AA">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2981B78"/>
    <w:multiLevelType w:val="hybridMultilevel"/>
    <w:tmpl w:val="74E02808"/>
    <w:lvl w:ilvl="0" w:tplc="DC5E823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32E2A85"/>
    <w:multiLevelType w:val="hybridMultilevel"/>
    <w:tmpl w:val="EB7A4D6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4E735E8"/>
    <w:multiLevelType w:val="hybridMultilevel"/>
    <w:tmpl w:val="7D5CAB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7E2543"/>
    <w:multiLevelType w:val="hybridMultilevel"/>
    <w:tmpl w:val="EE98EC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1E63FB"/>
    <w:multiLevelType w:val="hybridMultilevel"/>
    <w:tmpl w:val="B8C4DC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C333AD"/>
    <w:multiLevelType w:val="hybridMultilevel"/>
    <w:tmpl w:val="6122B5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924539"/>
    <w:multiLevelType w:val="hybridMultilevel"/>
    <w:tmpl w:val="1DC6B2B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E7015D"/>
    <w:multiLevelType w:val="multilevel"/>
    <w:tmpl w:val="E71E0120"/>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1F204DD"/>
    <w:multiLevelType w:val="multilevel"/>
    <w:tmpl w:val="49886EE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4812BB0"/>
    <w:multiLevelType w:val="multilevel"/>
    <w:tmpl w:val="72F6B20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6280A11"/>
    <w:multiLevelType w:val="hybridMultilevel"/>
    <w:tmpl w:val="47DAE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88F1C6C"/>
    <w:multiLevelType w:val="hybridMultilevel"/>
    <w:tmpl w:val="551A2200"/>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BB09AD"/>
    <w:multiLevelType w:val="hybridMultilevel"/>
    <w:tmpl w:val="187E1A08"/>
    <w:lvl w:ilvl="0" w:tplc="4AAC190A">
      <w:start w:val="1"/>
      <w:numFmt w:val="lowerLetter"/>
      <w:lvlText w:val="%1)"/>
      <w:lvlJc w:val="left"/>
      <w:pPr>
        <w:ind w:left="360"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5FE764FB"/>
    <w:multiLevelType w:val="multilevel"/>
    <w:tmpl w:val="5E206E82"/>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1BA693E"/>
    <w:multiLevelType w:val="hybridMultilevel"/>
    <w:tmpl w:val="9EEC5F1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49023C7"/>
    <w:multiLevelType w:val="hybridMultilevel"/>
    <w:tmpl w:val="388470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4A852AD"/>
    <w:multiLevelType w:val="hybridMultilevel"/>
    <w:tmpl w:val="A86CC2C0"/>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2" w15:restartNumberingAfterBreak="0">
    <w:nsid w:val="656B07E0"/>
    <w:multiLevelType w:val="multilevel"/>
    <w:tmpl w:val="607AA166"/>
    <w:lvl w:ilvl="0">
      <w:start w:val="1"/>
      <w:numFmt w:val="decimal"/>
      <w:lvlText w:val="%1."/>
      <w:lvlJc w:val="left"/>
      <w:pPr>
        <w:ind w:left="720" w:hanging="360"/>
      </w:pPr>
      <w:rPr>
        <w:rFonts w:eastAsia="Times New Roman" w:hint="default"/>
        <w:b/>
        <w:color w:val="auto"/>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A534838"/>
    <w:multiLevelType w:val="hybridMultilevel"/>
    <w:tmpl w:val="8F508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5C7C98"/>
    <w:multiLevelType w:val="multilevel"/>
    <w:tmpl w:val="5EF07F7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CBC39DA"/>
    <w:multiLevelType w:val="multilevel"/>
    <w:tmpl w:val="10E6AC98"/>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6" w15:restartNumberingAfterBreak="0">
    <w:nsid w:val="70D26AD7"/>
    <w:multiLevelType w:val="multilevel"/>
    <w:tmpl w:val="1608A460"/>
    <w:lvl w:ilvl="0">
      <w:start w:val="2"/>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600" w:hanging="1800"/>
      </w:pPr>
      <w:rPr>
        <w:rFonts w:hint="default"/>
      </w:rPr>
    </w:lvl>
  </w:abstractNum>
  <w:abstractNum w:abstractNumId="47" w15:restartNumberingAfterBreak="0">
    <w:nsid w:val="75312C04"/>
    <w:multiLevelType w:val="multilevel"/>
    <w:tmpl w:val="39086568"/>
    <w:lvl w:ilvl="0">
      <w:start w:val="1"/>
      <w:numFmt w:val="upperRoman"/>
      <w:lvlText w:val="%1."/>
      <w:lvlJc w:val="right"/>
      <w:pPr>
        <w:ind w:left="1440" w:hanging="360"/>
      </w:pPr>
    </w:lvl>
    <w:lvl w:ilvl="1">
      <w:start w:val="3"/>
      <w:numFmt w:val="decimal"/>
      <w:isLgl/>
      <w:lvlText w:val="%1.%2"/>
      <w:lvlJc w:val="left"/>
      <w:pPr>
        <w:ind w:left="160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48" w15:restartNumberingAfterBreak="0">
    <w:nsid w:val="7E705471"/>
    <w:multiLevelType w:val="hybridMultilevel"/>
    <w:tmpl w:val="775EAC3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FB04882"/>
    <w:multiLevelType w:val="multilevel"/>
    <w:tmpl w:val="C0E00D2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514345066">
    <w:abstractNumId w:val="30"/>
  </w:num>
  <w:num w:numId="2" w16cid:durableId="966549847">
    <w:abstractNumId w:val="14"/>
  </w:num>
  <w:num w:numId="3" w16cid:durableId="286160701">
    <w:abstractNumId w:val="29"/>
  </w:num>
  <w:num w:numId="4" w16cid:durableId="1459646457">
    <w:abstractNumId w:val="28"/>
  </w:num>
  <w:num w:numId="5" w16cid:durableId="101997000">
    <w:abstractNumId w:val="36"/>
  </w:num>
  <w:num w:numId="6" w16cid:durableId="565579247">
    <w:abstractNumId w:val="27"/>
  </w:num>
  <w:num w:numId="7" w16cid:durableId="1589192206">
    <w:abstractNumId w:val="9"/>
  </w:num>
  <w:num w:numId="8" w16cid:durableId="728307371">
    <w:abstractNumId w:val="8"/>
  </w:num>
  <w:num w:numId="9" w16cid:durableId="383869549">
    <w:abstractNumId w:val="7"/>
  </w:num>
  <w:num w:numId="10" w16cid:durableId="1473447889">
    <w:abstractNumId w:val="6"/>
  </w:num>
  <w:num w:numId="11" w16cid:durableId="1309553178">
    <w:abstractNumId w:val="5"/>
  </w:num>
  <w:num w:numId="12" w16cid:durableId="1633173852">
    <w:abstractNumId w:val="4"/>
  </w:num>
  <w:num w:numId="13" w16cid:durableId="1699893783">
    <w:abstractNumId w:val="3"/>
  </w:num>
  <w:num w:numId="14" w16cid:durableId="1617322828">
    <w:abstractNumId w:val="2"/>
  </w:num>
  <w:num w:numId="15" w16cid:durableId="592664146">
    <w:abstractNumId w:val="1"/>
  </w:num>
  <w:num w:numId="16" w16cid:durableId="1781408529">
    <w:abstractNumId w:val="0"/>
  </w:num>
  <w:num w:numId="17" w16cid:durableId="842932223">
    <w:abstractNumId w:val="42"/>
  </w:num>
  <w:num w:numId="18" w16cid:durableId="1222525305">
    <w:abstractNumId w:val="43"/>
  </w:num>
  <w:num w:numId="19" w16cid:durableId="912931771">
    <w:abstractNumId w:val="33"/>
  </w:num>
  <w:num w:numId="20" w16cid:durableId="286357761">
    <w:abstractNumId w:val="24"/>
  </w:num>
  <w:num w:numId="21" w16cid:durableId="956137303">
    <w:abstractNumId w:val="47"/>
  </w:num>
  <w:num w:numId="22" w16cid:durableId="1933393821">
    <w:abstractNumId w:val="45"/>
  </w:num>
  <w:num w:numId="23" w16cid:durableId="570040288">
    <w:abstractNumId w:val="15"/>
  </w:num>
  <w:num w:numId="24" w16cid:durableId="1591348813">
    <w:abstractNumId w:val="22"/>
  </w:num>
  <w:num w:numId="25" w16cid:durableId="1646541029">
    <w:abstractNumId w:val="19"/>
  </w:num>
  <w:num w:numId="26" w16cid:durableId="1030030436">
    <w:abstractNumId w:val="35"/>
  </w:num>
  <w:num w:numId="27" w16cid:durableId="115369391">
    <w:abstractNumId w:val="18"/>
  </w:num>
  <w:num w:numId="28" w16cid:durableId="166554977">
    <w:abstractNumId w:val="21"/>
  </w:num>
  <w:num w:numId="29" w16cid:durableId="1106802380">
    <w:abstractNumId w:val="16"/>
  </w:num>
  <w:num w:numId="30" w16cid:durableId="1117993795">
    <w:abstractNumId w:val="38"/>
  </w:num>
  <w:num w:numId="31" w16cid:durableId="806436135">
    <w:abstractNumId w:val="48"/>
  </w:num>
  <w:num w:numId="32" w16cid:durableId="825246974">
    <w:abstractNumId w:val="34"/>
  </w:num>
  <w:num w:numId="33" w16cid:durableId="1695109145">
    <w:abstractNumId w:val="25"/>
  </w:num>
  <w:num w:numId="34" w16cid:durableId="74590939">
    <w:abstractNumId w:val="44"/>
  </w:num>
  <w:num w:numId="35" w16cid:durableId="2078896387">
    <w:abstractNumId w:val="20"/>
  </w:num>
  <w:num w:numId="36" w16cid:durableId="1925649462">
    <w:abstractNumId w:val="31"/>
  </w:num>
  <w:num w:numId="37" w16cid:durableId="1987514010">
    <w:abstractNumId w:val="46"/>
  </w:num>
  <w:num w:numId="38" w16cid:durableId="1106773004">
    <w:abstractNumId w:val="32"/>
  </w:num>
  <w:num w:numId="39" w16cid:durableId="1730418866">
    <w:abstractNumId w:val="49"/>
  </w:num>
  <w:num w:numId="40" w16cid:durableId="1248077312">
    <w:abstractNumId w:val="10"/>
  </w:num>
  <w:num w:numId="41" w16cid:durableId="990720806">
    <w:abstractNumId w:val="11"/>
  </w:num>
  <w:num w:numId="42" w16cid:durableId="2112703241">
    <w:abstractNumId w:val="12"/>
  </w:num>
  <w:num w:numId="43" w16cid:durableId="1507478055">
    <w:abstractNumId w:val="13"/>
  </w:num>
  <w:num w:numId="44" w16cid:durableId="1977636313">
    <w:abstractNumId w:val="23"/>
  </w:num>
  <w:num w:numId="45" w16cid:durableId="1381171555">
    <w:abstractNumId w:val="40"/>
  </w:num>
  <w:num w:numId="46" w16cid:durableId="1800488992">
    <w:abstractNumId w:val="41"/>
  </w:num>
  <w:num w:numId="47" w16cid:durableId="1243297243">
    <w:abstractNumId w:val="37"/>
  </w:num>
  <w:num w:numId="48" w16cid:durableId="1516112685">
    <w:abstractNumId w:val="17"/>
  </w:num>
  <w:num w:numId="49" w16cid:durableId="536743307">
    <w:abstractNumId w:val="39"/>
  </w:num>
  <w:num w:numId="50" w16cid:durableId="176988237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710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D90"/>
    <w:rsid w:val="000004F6"/>
    <w:rsid w:val="00000CD2"/>
    <w:rsid w:val="000010C7"/>
    <w:rsid w:val="00002DEE"/>
    <w:rsid w:val="00003A2E"/>
    <w:rsid w:val="00004AC2"/>
    <w:rsid w:val="0001359F"/>
    <w:rsid w:val="00013EDF"/>
    <w:rsid w:val="00013FB4"/>
    <w:rsid w:val="00015D8A"/>
    <w:rsid w:val="000160FE"/>
    <w:rsid w:val="00021EF8"/>
    <w:rsid w:val="0002511A"/>
    <w:rsid w:val="00025658"/>
    <w:rsid w:val="00050254"/>
    <w:rsid w:val="00051643"/>
    <w:rsid w:val="00052B60"/>
    <w:rsid w:val="000550C2"/>
    <w:rsid w:val="00055288"/>
    <w:rsid w:val="00056CC9"/>
    <w:rsid w:val="0006706D"/>
    <w:rsid w:val="000715B2"/>
    <w:rsid w:val="00072C11"/>
    <w:rsid w:val="0007545E"/>
    <w:rsid w:val="000757DA"/>
    <w:rsid w:val="00075B50"/>
    <w:rsid w:val="000775C9"/>
    <w:rsid w:val="00080D78"/>
    <w:rsid w:val="00081D06"/>
    <w:rsid w:val="00091132"/>
    <w:rsid w:val="00095876"/>
    <w:rsid w:val="00096C02"/>
    <w:rsid w:val="000A2B57"/>
    <w:rsid w:val="000A46EA"/>
    <w:rsid w:val="000B1768"/>
    <w:rsid w:val="000B4EA0"/>
    <w:rsid w:val="000C0117"/>
    <w:rsid w:val="000C1ABA"/>
    <w:rsid w:val="000C22F4"/>
    <w:rsid w:val="000C38A4"/>
    <w:rsid w:val="000C647F"/>
    <w:rsid w:val="000C6B21"/>
    <w:rsid w:val="000C7BB5"/>
    <w:rsid w:val="000D030F"/>
    <w:rsid w:val="000D0A79"/>
    <w:rsid w:val="000D35D1"/>
    <w:rsid w:val="000D4D8C"/>
    <w:rsid w:val="000D623B"/>
    <w:rsid w:val="000E0D59"/>
    <w:rsid w:val="000E17A9"/>
    <w:rsid w:val="000E4F85"/>
    <w:rsid w:val="000F2310"/>
    <w:rsid w:val="000F4812"/>
    <w:rsid w:val="000F5F6C"/>
    <w:rsid w:val="000F6A9A"/>
    <w:rsid w:val="0010118C"/>
    <w:rsid w:val="00103916"/>
    <w:rsid w:val="001048E3"/>
    <w:rsid w:val="001049BE"/>
    <w:rsid w:val="001049E3"/>
    <w:rsid w:val="001051F4"/>
    <w:rsid w:val="0010531C"/>
    <w:rsid w:val="00105463"/>
    <w:rsid w:val="00107247"/>
    <w:rsid w:val="0011146C"/>
    <w:rsid w:val="001140D2"/>
    <w:rsid w:val="00117A08"/>
    <w:rsid w:val="00120DE1"/>
    <w:rsid w:val="00121D40"/>
    <w:rsid w:val="00122852"/>
    <w:rsid w:val="00125974"/>
    <w:rsid w:val="00126FDD"/>
    <w:rsid w:val="00132700"/>
    <w:rsid w:val="00132907"/>
    <w:rsid w:val="00133DCE"/>
    <w:rsid w:val="00135B3A"/>
    <w:rsid w:val="00135E09"/>
    <w:rsid w:val="00140042"/>
    <w:rsid w:val="001404E1"/>
    <w:rsid w:val="00143042"/>
    <w:rsid w:val="00143922"/>
    <w:rsid w:val="00144691"/>
    <w:rsid w:val="001453A1"/>
    <w:rsid w:val="00147716"/>
    <w:rsid w:val="001517A5"/>
    <w:rsid w:val="00152A67"/>
    <w:rsid w:val="0015793B"/>
    <w:rsid w:val="00162A5E"/>
    <w:rsid w:val="00164137"/>
    <w:rsid w:val="001716B4"/>
    <w:rsid w:val="00174406"/>
    <w:rsid w:val="00174C8C"/>
    <w:rsid w:val="00175E17"/>
    <w:rsid w:val="00180223"/>
    <w:rsid w:val="00185DA2"/>
    <w:rsid w:val="00187316"/>
    <w:rsid w:val="00187AAD"/>
    <w:rsid w:val="00187C30"/>
    <w:rsid w:val="001921A0"/>
    <w:rsid w:val="001933AC"/>
    <w:rsid w:val="001A056A"/>
    <w:rsid w:val="001A0616"/>
    <w:rsid w:val="001A49BE"/>
    <w:rsid w:val="001A4FAE"/>
    <w:rsid w:val="001B2549"/>
    <w:rsid w:val="001B2A7F"/>
    <w:rsid w:val="001B4AB6"/>
    <w:rsid w:val="001B539E"/>
    <w:rsid w:val="001B6DE6"/>
    <w:rsid w:val="001B7D1E"/>
    <w:rsid w:val="001B7F72"/>
    <w:rsid w:val="001C137D"/>
    <w:rsid w:val="001C3BDA"/>
    <w:rsid w:val="001C7D64"/>
    <w:rsid w:val="001D0838"/>
    <w:rsid w:val="001D1C84"/>
    <w:rsid w:val="001D2007"/>
    <w:rsid w:val="001D282B"/>
    <w:rsid w:val="001D32AD"/>
    <w:rsid w:val="001D7FF2"/>
    <w:rsid w:val="001E0102"/>
    <w:rsid w:val="001E551D"/>
    <w:rsid w:val="001E5631"/>
    <w:rsid w:val="001E672B"/>
    <w:rsid w:val="001E6C40"/>
    <w:rsid w:val="001E6E1E"/>
    <w:rsid w:val="001E6F49"/>
    <w:rsid w:val="001F014E"/>
    <w:rsid w:val="001F384A"/>
    <w:rsid w:val="001F4503"/>
    <w:rsid w:val="001F5019"/>
    <w:rsid w:val="001F6587"/>
    <w:rsid w:val="001F6BFB"/>
    <w:rsid w:val="001F77D0"/>
    <w:rsid w:val="001F7C83"/>
    <w:rsid w:val="00200B8C"/>
    <w:rsid w:val="00200FF9"/>
    <w:rsid w:val="00202DE3"/>
    <w:rsid w:val="002033AB"/>
    <w:rsid w:val="00205CBB"/>
    <w:rsid w:val="00205FA4"/>
    <w:rsid w:val="00210EE7"/>
    <w:rsid w:val="00214B8F"/>
    <w:rsid w:val="00222B36"/>
    <w:rsid w:val="00224331"/>
    <w:rsid w:val="002243E8"/>
    <w:rsid w:val="00224973"/>
    <w:rsid w:val="0022535A"/>
    <w:rsid w:val="002253AF"/>
    <w:rsid w:val="002264E0"/>
    <w:rsid w:val="00226FEC"/>
    <w:rsid w:val="00234939"/>
    <w:rsid w:val="00235B98"/>
    <w:rsid w:val="00235C0F"/>
    <w:rsid w:val="00240F03"/>
    <w:rsid w:val="00241A02"/>
    <w:rsid w:val="002451D2"/>
    <w:rsid w:val="00256156"/>
    <w:rsid w:val="002572CD"/>
    <w:rsid w:val="00260F32"/>
    <w:rsid w:val="002622F7"/>
    <w:rsid w:val="002639B3"/>
    <w:rsid w:val="002642F1"/>
    <w:rsid w:val="00265552"/>
    <w:rsid w:val="00267DA3"/>
    <w:rsid w:val="00270823"/>
    <w:rsid w:val="00272176"/>
    <w:rsid w:val="002732B1"/>
    <w:rsid w:val="00276C43"/>
    <w:rsid w:val="0027750E"/>
    <w:rsid w:val="00284229"/>
    <w:rsid w:val="00286660"/>
    <w:rsid w:val="00286A5F"/>
    <w:rsid w:val="00287364"/>
    <w:rsid w:val="002919E8"/>
    <w:rsid w:val="0029302A"/>
    <w:rsid w:val="00293084"/>
    <w:rsid w:val="00296194"/>
    <w:rsid w:val="002A69E6"/>
    <w:rsid w:val="002A7B1F"/>
    <w:rsid w:val="002B0489"/>
    <w:rsid w:val="002B09C5"/>
    <w:rsid w:val="002B0A34"/>
    <w:rsid w:val="002B3D8A"/>
    <w:rsid w:val="002B4508"/>
    <w:rsid w:val="002B4916"/>
    <w:rsid w:val="002B6FA0"/>
    <w:rsid w:val="002B7C93"/>
    <w:rsid w:val="002C18DF"/>
    <w:rsid w:val="002C3336"/>
    <w:rsid w:val="002D32E0"/>
    <w:rsid w:val="002D4EBB"/>
    <w:rsid w:val="002D5333"/>
    <w:rsid w:val="002E03D4"/>
    <w:rsid w:val="002E152F"/>
    <w:rsid w:val="002E4103"/>
    <w:rsid w:val="002E4311"/>
    <w:rsid w:val="002E4CF3"/>
    <w:rsid w:val="002E4DA8"/>
    <w:rsid w:val="002E58E8"/>
    <w:rsid w:val="002E5BF5"/>
    <w:rsid w:val="002E6CAB"/>
    <w:rsid w:val="002F2897"/>
    <w:rsid w:val="00300D8C"/>
    <w:rsid w:val="00303B87"/>
    <w:rsid w:val="00306B34"/>
    <w:rsid w:val="003108C5"/>
    <w:rsid w:val="00310AED"/>
    <w:rsid w:val="00311149"/>
    <w:rsid w:val="00312735"/>
    <w:rsid w:val="00314117"/>
    <w:rsid w:val="00317794"/>
    <w:rsid w:val="00323300"/>
    <w:rsid w:val="00324112"/>
    <w:rsid w:val="003262E5"/>
    <w:rsid w:val="00327918"/>
    <w:rsid w:val="00332AA6"/>
    <w:rsid w:val="003418DA"/>
    <w:rsid w:val="0034208D"/>
    <w:rsid w:val="00342C00"/>
    <w:rsid w:val="00346095"/>
    <w:rsid w:val="003521A0"/>
    <w:rsid w:val="00353870"/>
    <w:rsid w:val="00354F2B"/>
    <w:rsid w:val="003558DB"/>
    <w:rsid w:val="003560D4"/>
    <w:rsid w:val="0036102B"/>
    <w:rsid w:val="00366229"/>
    <w:rsid w:val="00367372"/>
    <w:rsid w:val="0036760D"/>
    <w:rsid w:val="00370DB7"/>
    <w:rsid w:val="00375F1C"/>
    <w:rsid w:val="00377487"/>
    <w:rsid w:val="003779ED"/>
    <w:rsid w:val="003836E9"/>
    <w:rsid w:val="00384F71"/>
    <w:rsid w:val="00392241"/>
    <w:rsid w:val="003932E6"/>
    <w:rsid w:val="00397D1F"/>
    <w:rsid w:val="003A24E4"/>
    <w:rsid w:val="003A449C"/>
    <w:rsid w:val="003B16BE"/>
    <w:rsid w:val="003B1A50"/>
    <w:rsid w:val="003B3626"/>
    <w:rsid w:val="003B38BC"/>
    <w:rsid w:val="003B7075"/>
    <w:rsid w:val="003B7889"/>
    <w:rsid w:val="003C600F"/>
    <w:rsid w:val="003C629E"/>
    <w:rsid w:val="003C6C7F"/>
    <w:rsid w:val="003D7307"/>
    <w:rsid w:val="003E022B"/>
    <w:rsid w:val="003E07C7"/>
    <w:rsid w:val="003E5C53"/>
    <w:rsid w:val="003F236F"/>
    <w:rsid w:val="003F3E1E"/>
    <w:rsid w:val="003F62C4"/>
    <w:rsid w:val="0040026F"/>
    <w:rsid w:val="00401870"/>
    <w:rsid w:val="00403023"/>
    <w:rsid w:val="00403BED"/>
    <w:rsid w:val="00405AE8"/>
    <w:rsid w:val="0041318E"/>
    <w:rsid w:val="00413769"/>
    <w:rsid w:val="0041640F"/>
    <w:rsid w:val="00416CF9"/>
    <w:rsid w:val="00420A81"/>
    <w:rsid w:val="004235AC"/>
    <w:rsid w:val="00431764"/>
    <w:rsid w:val="004319A3"/>
    <w:rsid w:val="00431B6E"/>
    <w:rsid w:val="004333EB"/>
    <w:rsid w:val="00434961"/>
    <w:rsid w:val="004353D3"/>
    <w:rsid w:val="00436E19"/>
    <w:rsid w:val="0043766A"/>
    <w:rsid w:val="004403A5"/>
    <w:rsid w:val="00442565"/>
    <w:rsid w:val="00442788"/>
    <w:rsid w:val="00446C42"/>
    <w:rsid w:val="004475F6"/>
    <w:rsid w:val="00452518"/>
    <w:rsid w:val="00452C26"/>
    <w:rsid w:val="0045537D"/>
    <w:rsid w:val="00455DD6"/>
    <w:rsid w:val="00462F25"/>
    <w:rsid w:val="00463314"/>
    <w:rsid w:val="004661B7"/>
    <w:rsid w:val="00474F68"/>
    <w:rsid w:val="00475D1D"/>
    <w:rsid w:val="004764B9"/>
    <w:rsid w:val="004776A3"/>
    <w:rsid w:val="00487AD5"/>
    <w:rsid w:val="00491C1F"/>
    <w:rsid w:val="004A5791"/>
    <w:rsid w:val="004A7DDE"/>
    <w:rsid w:val="004B436C"/>
    <w:rsid w:val="004B54BF"/>
    <w:rsid w:val="004B5B28"/>
    <w:rsid w:val="004B6512"/>
    <w:rsid w:val="004C08EB"/>
    <w:rsid w:val="004C34C1"/>
    <w:rsid w:val="004D21F4"/>
    <w:rsid w:val="004D34D2"/>
    <w:rsid w:val="004D6E20"/>
    <w:rsid w:val="004E166C"/>
    <w:rsid w:val="004E2FA0"/>
    <w:rsid w:val="004E50D1"/>
    <w:rsid w:val="004E6998"/>
    <w:rsid w:val="004F0CD4"/>
    <w:rsid w:val="004F14E8"/>
    <w:rsid w:val="004F5619"/>
    <w:rsid w:val="004F5C6C"/>
    <w:rsid w:val="0050042A"/>
    <w:rsid w:val="00501279"/>
    <w:rsid w:val="00502C77"/>
    <w:rsid w:val="005033E8"/>
    <w:rsid w:val="00507874"/>
    <w:rsid w:val="005142B9"/>
    <w:rsid w:val="0051498F"/>
    <w:rsid w:val="00516762"/>
    <w:rsid w:val="00516DE2"/>
    <w:rsid w:val="00521313"/>
    <w:rsid w:val="0053308F"/>
    <w:rsid w:val="00535926"/>
    <w:rsid w:val="005367D5"/>
    <w:rsid w:val="0054163C"/>
    <w:rsid w:val="00541BC1"/>
    <w:rsid w:val="0054267F"/>
    <w:rsid w:val="005430D4"/>
    <w:rsid w:val="005453EA"/>
    <w:rsid w:val="005467DC"/>
    <w:rsid w:val="005512B8"/>
    <w:rsid w:val="00557127"/>
    <w:rsid w:val="005576E6"/>
    <w:rsid w:val="005634C2"/>
    <w:rsid w:val="00566153"/>
    <w:rsid w:val="00566861"/>
    <w:rsid w:val="0057149B"/>
    <w:rsid w:val="00573C57"/>
    <w:rsid w:val="00575A35"/>
    <w:rsid w:val="00576699"/>
    <w:rsid w:val="00577B0E"/>
    <w:rsid w:val="00580D53"/>
    <w:rsid w:val="00581F8C"/>
    <w:rsid w:val="00582323"/>
    <w:rsid w:val="0059269B"/>
    <w:rsid w:val="005972C1"/>
    <w:rsid w:val="00597F9F"/>
    <w:rsid w:val="005A0E4D"/>
    <w:rsid w:val="005A4A01"/>
    <w:rsid w:val="005A4D3A"/>
    <w:rsid w:val="005B10EA"/>
    <w:rsid w:val="005B4502"/>
    <w:rsid w:val="005C2DFD"/>
    <w:rsid w:val="005D111A"/>
    <w:rsid w:val="005D4AF5"/>
    <w:rsid w:val="005D5E1D"/>
    <w:rsid w:val="005D6BA7"/>
    <w:rsid w:val="005E23D4"/>
    <w:rsid w:val="005E73A4"/>
    <w:rsid w:val="005F3C4F"/>
    <w:rsid w:val="005F4E45"/>
    <w:rsid w:val="005F66B2"/>
    <w:rsid w:val="005F7B29"/>
    <w:rsid w:val="0060090B"/>
    <w:rsid w:val="00607269"/>
    <w:rsid w:val="00610375"/>
    <w:rsid w:val="00611486"/>
    <w:rsid w:val="006129CE"/>
    <w:rsid w:val="006141EE"/>
    <w:rsid w:val="00616CDC"/>
    <w:rsid w:val="00617F69"/>
    <w:rsid w:val="00622768"/>
    <w:rsid w:val="006241CA"/>
    <w:rsid w:val="006265F5"/>
    <w:rsid w:val="00631A2E"/>
    <w:rsid w:val="00634817"/>
    <w:rsid w:val="006353B5"/>
    <w:rsid w:val="0063623D"/>
    <w:rsid w:val="00636A6B"/>
    <w:rsid w:val="00636AA9"/>
    <w:rsid w:val="00640690"/>
    <w:rsid w:val="00642009"/>
    <w:rsid w:val="00642379"/>
    <w:rsid w:val="00646435"/>
    <w:rsid w:val="00646DDF"/>
    <w:rsid w:val="00650B43"/>
    <w:rsid w:val="00652EF9"/>
    <w:rsid w:val="0065325A"/>
    <w:rsid w:val="006547DF"/>
    <w:rsid w:val="00654E0C"/>
    <w:rsid w:val="00655DFD"/>
    <w:rsid w:val="0067206D"/>
    <w:rsid w:val="00676067"/>
    <w:rsid w:val="006821C1"/>
    <w:rsid w:val="00682983"/>
    <w:rsid w:val="006856EE"/>
    <w:rsid w:val="006876B8"/>
    <w:rsid w:val="006908CF"/>
    <w:rsid w:val="00693BC4"/>
    <w:rsid w:val="00695F81"/>
    <w:rsid w:val="006A009C"/>
    <w:rsid w:val="006A155D"/>
    <w:rsid w:val="006A3365"/>
    <w:rsid w:val="006A4AEA"/>
    <w:rsid w:val="006A6876"/>
    <w:rsid w:val="006B07E6"/>
    <w:rsid w:val="006B09C2"/>
    <w:rsid w:val="006B1E35"/>
    <w:rsid w:val="006B1E75"/>
    <w:rsid w:val="006B2311"/>
    <w:rsid w:val="006B7289"/>
    <w:rsid w:val="006B73FF"/>
    <w:rsid w:val="006C16A8"/>
    <w:rsid w:val="006C1709"/>
    <w:rsid w:val="006C3EA3"/>
    <w:rsid w:val="006C7957"/>
    <w:rsid w:val="006C7A2B"/>
    <w:rsid w:val="006D0A46"/>
    <w:rsid w:val="006D0BC6"/>
    <w:rsid w:val="006D3043"/>
    <w:rsid w:val="006E310F"/>
    <w:rsid w:val="006E387E"/>
    <w:rsid w:val="006E43EB"/>
    <w:rsid w:val="006E49E2"/>
    <w:rsid w:val="006E6B5B"/>
    <w:rsid w:val="006F16B5"/>
    <w:rsid w:val="006F33F7"/>
    <w:rsid w:val="006F3BB3"/>
    <w:rsid w:val="006F5579"/>
    <w:rsid w:val="006F5B1C"/>
    <w:rsid w:val="006F6790"/>
    <w:rsid w:val="006F7C59"/>
    <w:rsid w:val="007103D6"/>
    <w:rsid w:val="007106F9"/>
    <w:rsid w:val="0071646B"/>
    <w:rsid w:val="00721E88"/>
    <w:rsid w:val="00724B58"/>
    <w:rsid w:val="00725C97"/>
    <w:rsid w:val="007277BC"/>
    <w:rsid w:val="00732581"/>
    <w:rsid w:val="007357FA"/>
    <w:rsid w:val="007375EA"/>
    <w:rsid w:val="00737A24"/>
    <w:rsid w:val="0074201C"/>
    <w:rsid w:val="007438BE"/>
    <w:rsid w:val="00747B2E"/>
    <w:rsid w:val="0075354F"/>
    <w:rsid w:val="00753BB8"/>
    <w:rsid w:val="00755766"/>
    <w:rsid w:val="00755A59"/>
    <w:rsid w:val="0076294A"/>
    <w:rsid w:val="00766B4B"/>
    <w:rsid w:val="007714FA"/>
    <w:rsid w:val="007736AA"/>
    <w:rsid w:val="007819D4"/>
    <w:rsid w:val="00783482"/>
    <w:rsid w:val="0078524B"/>
    <w:rsid w:val="007852F2"/>
    <w:rsid w:val="007867B4"/>
    <w:rsid w:val="00790B0B"/>
    <w:rsid w:val="00791A9B"/>
    <w:rsid w:val="0079466F"/>
    <w:rsid w:val="00795733"/>
    <w:rsid w:val="00796310"/>
    <w:rsid w:val="00796631"/>
    <w:rsid w:val="0079771E"/>
    <w:rsid w:val="00797940"/>
    <w:rsid w:val="00797BDF"/>
    <w:rsid w:val="007A1B4A"/>
    <w:rsid w:val="007A2827"/>
    <w:rsid w:val="007A5447"/>
    <w:rsid w:val="007B0BAD"/>
    <w:rsid w:val="007B1895"/>
    <w:rsid w:val="007B3135"/>
    <w:rsid w:val="007B3C92"/>
    <w:rsid w:val="007B4207"/>
    <w:rsid w:val="007B60A3"/>
    <w:rsid w:val="007B7453"/>
    <w:rsid w:val="007C0A83"/>
    <w:rsid w:val="007C31E3"/>
    <w:rsid w:val="007C5D97"/>
    <w:rsid w:val="007C5E19"/>
    <w:rsid w:val="007C6A78"/>
    <w:rsid w:val="007D0E79"/>
    <w:rsid w:val="007D29CE"/>
    <w:rsid w:val="007D2D95"/>
    <w:rsid w:val="007D4739"/>
    <w:rsid w:val="007D6963"/>
    <w:rsid w:val="007D6EF6"/>
    <w:rsid w:val="007D719C"/>
    <w:rsid w:val="007D744B"/>
    <w:rsid w:val="007E1C86"/>
    <w:rsid w:val="007E2E3C"/>
    <w:rsid w:val="007E38DC"/>
    <w:rsid w:val="007F3777"/>
    <w:rsid w:val="007F38A1"/>
    <w:rsid w:val="007F76E1"/>
    <w:rsid w:val="008023AD"/>
    <w:rsid w:val="00804EEE"/>
    <w:rsid w:val="0080524B"/>
    <w:rsid w:val="008151AD"/>
    <w:rsid w:val="00820C5B"/>
    <w:rsid w:val="0082771F"/>
    <w:rsid w:val="00831C40"/>
    <w:rsid w:val="00833369"/>
    <w:rsid w:val="0083419B"/>
    <w:rsid w:val="00834A01"/>
    <w:rsid w:val="00835570"/>
    <w:rsid w:val="008410A1"/>
    <w:rsid w:val="00841554"/>
    <w:rsid w:val="00844AA0"/>
    <w:rsid w:val="00847B11"/>
    <w:rsid w:val="00850823"/>
    <w:rsid w:val="00861A95"/>
    <w:rsid w:val="0086216B"/>
    <w:rsid w:val="00862972"/>
    <w:rsid w:val="00862C92"/>
    <w:rsid w:val="008646BC"/>
    <w:rsid w:val="008709E6"/>
    <w:rsid w:val="00871E0F"/>
    <w:rsid w:val="00880489"/>
    <w:rsid w:val="00887FEF"/>
    <w:rsid w:val="008900EA"/>
    <w:rsid w:val="00890D7E"/>
    <w:rsid w:val="00891F57"/>
    <w:rsid w:val="00892F21"/>
    <w:rsid w:val="008933EE"/>
    <w:rsid w:val="008940E9"/>
    <w:rsid w:val="008964E7"/>
    <w:rsid w:val="0089797C"/>
    <w:rsid w:val="008A4127"/>
    <w:rsid w:val="008A4224"/>
    <w:rsid w:val="008A6603"/>
    <w:rsid w:val="008A662A"/>
    <w:rsid w:val="008B0294"/>
    <w:rsid w:val="008B17ED"/>
    <w:rsid w:val="008B205C"/>
    <w:rsid w:val="008B2296"/>
    <w:rsid w:val="008B3637"/>
    <w:rsid w:val="008B3F6B"/>
    <w:rsid w:val="008B4DDB"/>
    <w:rsid w:val="008B5206"/>
    <w:rsid w:val="008C0B66"/>
    <w:rsid w:val="008C2B02"/>
    <w:rsid w:val="008C392A"/>
    <w:rsid w:val="008C3CF7"/>
    <w:rsid w:val="008C5982"/>
    <w:rsid w:val="008D3252"/>
    <w:rsid w:val="008D4DE5"/>
    <w:rsid w:val="008D5311"/>
    <w:rsid w:val="008D5603"/>
    <w:rsid w:val="008E3721"/>
    <w:rsid w:val="008E5878"/>
    <w:rsid w:val="008F1D03"/>
    <w:rsid w:val="008F21AA"/>
    <w:rsid w:val="008F2D04"/>
    <w:rsid w:val="008F4396"/>
    <w:rsid w:val="00905195"/>
    <w:rsid w:val="009175F9"/>
    <w:rsid w:val="009202B9"/>
    <w:rsid w:val="00921C87"/>
    <w:rsid w:val="00921EE0"/>
    <w:rsid w:val="009220A1"/>
    <w:rsid w:val="00927404"/>
    <w:rsid w:val="00932733"/>
    <w:rsid w:val="00932B59"/>
    <w:rsid w:val="00936F1E"/>
    <w:rsid w:val="009418D7"/>
    <w:rsid w:val="0094273A"/>
    <w:rsid w:val="00945561"/>
    <w:rsid w:val="00945979"/>
    <w:rsid w:val="0094680E"/>
    <w:rsid w:val="00951187"/>
    <w:rsid w:val="00951EE2"/>
    <w:rsid w:val="009537D3"/>
    <w:rsid w:val="0095394C"/>
    <w:rsid w:val="00955C00"/>
    <w:rsid w:val="009563DD"/>
    <w:rsid w:val="00956A8A"/>
    <w:rsid w:val="009574C8"/>
    <w:rsid w:val="009603EA"/>
    <w:rsid w:val="00961F94"/>
    <w:rsid w:val="009637F9"/>
    <w:rsid w:val="0096565D"/>
    <w:rsid w:val="00966780"/>
    <w:rsid w:val="009757F3"/>
    <w:rsid w:val="00980AED"/>
    <w:rsid w:val="00984FAA"/>
    <w:rsid w:val="00990071"/>
    <w:rsid w:val="00990E49"/>
    <w:rsid w:val="009938A8"/>
    <w:rsid w:val="00997478"/>
    <w:rsid w:val="009A06EC"/>
    <w:rsid w:val="009A2737"/>
    <w:rsid w:val="009A5787"/>
    <w:rsid w:val="009B01D1"/>
    <w:rsid w:val="009B5508"/>
    <w:rsid w:val="009C0FD6"/>
    <w:rsid w:val="009C5498"/>
    <w:rsid w:val="009C62F4"/>
    <w:rsid w:val="009C748F"/>
    <w:rsid w:val="009D0FCA"/>
    <w:rsid w:val="009D2A0F"/>
    <w:rsid w:val="009D3E6D"/>
    <w:rsid w:val="009D586E"/>
    <w:rsid w:val="009E2583"/>
    <w:rsid w:val="009E2EF3"/>
    <w:rsid w:val="009E3510"/>
    <w:rsid w:val="009E64F4"/>
    <w:rsid w:val="009F038C"/>
    <w:rsid w:val="009F1C08"/>
    <w:rsid w:val="009F1CB5"/>
    <w:rsid w:val="009F38E4"/>
    <w:rsid w:val="009F4EE2"/>
    <w:rsid w:val="009F4F19"/>
    <w:rsid w:val="009F77A4"/>
    <w:rsid w:val="009F7C3D"/>
    <w:rsid w:val="00A01F95"/>
    <w:rsid w:val="00A03BAA"/>
    <w:rsid w:val="00A07F2C"/>
    <w:rsid w:val="00A10C1C"/>
    <w:rsid w:val="00A1206E"/>
    <w:rsid w:val="00A12E0C"/>
    <w:rsid w:val="00A1497E"/>
    <w:rsid w:val="00A2062E"/>
    <w:rsid w:val="00A207A9"/>
    <w:rsid w:val="00A20D02"/>
    <w:rsid w:val="00A228E6"/>
    <w:rsid w:val="00A22C78"/>
    <w:rsid w:val="00A238B1"/>
    <w:rsid w:val="00A2395C"/>
    <w:rsid w:val="00A26479"/>
    <w:rsid w:val="00A30B72"/>
    <w:rsid w:val="00A31DD1"/>
    <w:rsid w:val="00A33FD8"/>
    <w:rsid w:val="00A36645"/>
    <w:rsid w:val="00A37A3C"/>
    <w:rsid w:val="00A41514"/>
    <w:rsid w:val="00A42AE9"/>
    <w:rsid w:val="00A5297B"/>
    <w:rsid w:val="00A54430"/>
    <w:rsid w:val="00A549DC"/>
    <w:rsid w:val="00A60249"/>
    <w:rsid w:val="00A62CA4"/>
    <w:rsid w:val="00A637B0"/>
    <w:rsid w:val="00A64C4A"/>
    <w:rsid w:val="00A65A4C"/>
    <w:rsid w:val="00A67A5D"/>
    <w:rsid w:val="00A70069"/>
    <w:rsid w:val="00A70C3D"/>
    <w:rsid w:val="00A71AD0"/>
    <w:rsid w:val="00A745A1"/>
    <w:rsid w:val="00A74C44"/>
    <w:rsid w:val="00A7563D"/>
    <w:rsid w:val="00A778EE"/>
    <w:rsid w:val="00A80C01"/>
    <w:rsid w:val="00A825C9"/>
    <w:rsid w:val="00A84B19"/>
    <w:rsid w:val="00A858EC"/>
    <w:rsid w:val="00A92ED7"/>
    <w:rsid w:val="00A94AE2"/>
    <w:rsid w:val="00A94B84"/>
    <w:rsid w:val="00A97EA1"/>
    <w:rsid w:val="00AA1618"/>
    <w:rsid w:val="00AA501C"/>
    <w:rsid w:val="00AA6D77"/>
    <w:rsid w:val="00AB1934"/>
    <w:rsid w:val="00AB1DD7"/>
    <w:rsid w:val="00AB2B4F"/>
    <w:rsid w:val="00AB48A9"/>
    <w:rsid w:val="00AB64FB"/>
    <w:rsid w:val="00AC07D4"/>
    <w:rsid w:val="00AC38EF"/>
    <w:rsid w:val="00AD06B0"/>
    <w:rsid w:val="00AD096A"/>
    <w:rsid w:val="00AD1412"/>
    <w:rsid w:val="00AD2E47"/>
    <w:rsid w:val="00AD46A9"/>
    <w:rsid w:val="00AE3673"/>
    <w:rsid w:val="00AF2741"/>
    <w:rsid w:val="00B015F2"/>
    <w:rsid w:val="00B0443A"/>
    <w:rsid w:val="00B051A9"/>
    <w:rsid w:val="00B05B64"/>
    <w:rsid w:val="00B074ED"/>
    <w:rsid w:val="00B07597"/>
    <w:rsid w:val="00B076E3"/>
    <w:rsid w:val="00B115F3"/>
    <w:rsid w:val="00B15B35"/>
    <w:rsid w:val="00B25553"/>
    <w:rsid w:val="00B26A3E"/>
    <w:rsid w:val="00B27D90"/>
    <w:rsid w:val="00B32EDC"/>
    <w:rsid w:val="00B33B2D"/>
    <w:rsid w:val="00B34484"/>
    <w:rsid w:val="00B4058E"/>
    <w:rsid w:val="00B4138B"/>
    <w:rsid w:val="00B440E3"/>
    <w:rsid w:val="00B54475"/>
    <w:rsid w:val="00B54904"/>
    <w:rsid w:val="00B56FF0"/>
    <w:rsid w:val="00B577CE"/>
    <w:rsid w:val="00B60DAA"/>
    <w:rsid w:val="00B617CD"/>
    <w:rsid w:val="00B66E4E"/>
    <w:rsid w:val="00B765C4"/>
    <w:rsid w:val="00B77DDD"/>
    <w:rsid w:val="00B84B41"/>
    <w:rsid w:val="00B872F9"/>
    <w:rsid w:val="00B91BCF"/>
    <w:rsid w:val="00B94E25"/>
    <w:rsid w:val="00B971E3"/>
    <w:rsid w:val="00BA08BF"/>
    <w:rsid w:val="00BA2981"/>
    <w:rsid w:val="00BA3FB3"/>
    <w:rsid w:val="00BA4D27"/>
    <w:rsid w:val="00BA70A7"/>
    <w:rsid w:val="00BA7C97"/>
    <w:rsid w:val="00BB4DE8"/>
    <w:rsid w:val="00BB6550"/>
    <w:rsid w:val="00BB6C63"/>
    <w:rsid w:val="00BC05B5"/>
    <w:rsid w:val="00BC06E9"/>
    <w:rsid w:val="00BC243C"/>
    <w:rsid w:val="00BC4334"/>
    <w:rsid w:val="00BC43BE"/>
    <w:rsid w:val="00BD026E"/>
    <w:rsid w:val="00BD5500"/>
    <w:rsid w:val="00BD5A53"/>
    <w:rsid w:val="00BD6F89"/>
    <w:rsid w:val="00BE2793"/>
    <w:rsid w:val="00BF1B6A"/>
    <w:rsid w:val="00BF4B8D"/>
    <w:rsid w:val="00BF6CAB"/>
    <w:rsid w:val="00BF7D78"/>
    <w:rsid w:val="00C01BCA"/>
    <w:rsid w:val="00C01FEC"/>
    <w:rsid w:val="00C04158"/>
    <w:rsid w:val="00C10D18"/>
    <w:rsid w:val="00C10D2B"/>
    <w:rsid w:val="00C12249"/>
    <w:rsid w:val="00C13E47"/>
    <w:rsid w:val="00C14803"/>
    <w:rsid w:val="00C2192A"/>
    <w:rsid w:val="00C22417"/>
    <w:rsid w:val="00C24ECF"/>
    <w:rsid w:val="00C317A8"/>
    <w:rsid w:val="00C3269B"/>
    <w:rsid w:val="00C33C0B"/>
    <w:rsid w:val="00C377D4"/>
    <w:rsid w:val="00C40E72"/>
    <w:rsid w:val="00C41174"/>
    <w:rsid w:val="00C44FA3"/>
    <w:rsid w:val="00C4592F"/>
    <w:rsid w:val="00C45F52"/>
    <w:rsid w:val="00C51A7C"/>
    <w:rsid w:val="00C51C11"/>
    <w:rsid w:val="00C527F1"/>
    <w:rsid w:val="00C54155"/>
    <w:rsid w:val="00C5465C"/>
    <w:rsid w:val="00C54C1B"/>
    <w:rsid w:val="00C567A8"/>
    <w:rsid w:val="00C60E12"/>
    <w:rsid w:val="00C66D14"/>
    <w:rsid w:val="00C71AA0"/>
    <w:rsid w:val="00C7250E"/>
    <w:rsid w:val="00C772D2"/>
    <w:rsid w:val="00C77DED"/>
    <w:rsid w:val="00C8179F"/>
    <w:rsid w:val="00C86F99"/>
    <w:rsid w:val="00C87769"/>
    <w:rsid w:val="00C93790"/>
    <w:rsid w:val="00C95D57"/>
    <w:rsid w:val="00C96C3E"/>
    <w:rsid w:val="00C973AF"/>
    <w:rsid w:val="00CA1DDB"/>
    <w:rsid w:val="00CA27CE"/>
    <w:rsid w:val="00CA321D"/>
    <w:rsid w:val="00CA555C"/>
    <w:rsid w:val="00CA583D"/>
    <w:rsid w:val="00CA7B12"/>
    <w:rsid w:val="00CB030E"/>
    <w:rsid w:val="00CB311A"/>
    <w:rsid w:val="00CB448B"/>
    <w:rsid w:val="00CB5EEC"/>
    <w:rsid w:val="00CB69B8"/>
    <w:rsid w:val="00CB798D"/>
    <w:rsid w:val="00CC06AB"/>
    <w:rsid w:val="00CC16D5"/>
    <w:rsid w:val="00CC23C4"/>
    <w:rsid w:val="00CC659C"/>
    <w:rsid w:val="00CD5988"/>
    <w:rsid w:val="00CD6AD4"/>
    <w:rsid w:val="00CE284D"/>
    <w:rsid w:val="00CE378B"/>
    <w:rsid w:val="00CE4543"/>
    <w:rsid w:val="00CE457B"/>
    <w:rsid w:val="00CE46CB"/>
    <w:rsid w:val="00CE5775"/>
    <w:rsid w:val="00CF0671"/>
    <w:rsid w:val="00CF4EB7"/>
    <w:rsid w:val="00CF4EDE"/>
    <w:rsid w:val="00CF55BC"/>
    <w:rsid w:val="00D03305"/>
    <w:rsid w:val="00D0437C"/>
    <w:rsid w:val="00D06955"/>
    <w:rsid w:val="00D07BF3"/>
    <w:rsid w:val="00D10104"/>
    <w:rsid w:val="00D11516"/>
    <w:rsid w:val="00D132D1"/>
    <w:rsid w:val="00D14DCA"/>
    <w:rsid w:val="00D1539D"/>
    <w:rsid w:val="00D17C63"/>
    <w:rsid w:val="00D2012A"/>
    <w:rsid w:val="00D2307C"/>
    <w:rsid w:val="00D24271"/>
    <w:rsid w:val="00D269D3"/>
    <w:rsid w:val="00D3340D"/>
    <w:rsid w:val="00D33A80"/>
    <w:rsid w:val="00D34732"/>
    <w:rsid w:val="00D36042"/>
    <w:rsid w:val="00D42039"/>
    <w:rsid w:val="00D4255D"/>
    <w:rsid w:val="00D43A45"/>
    <w:rsid w:val="00D43ECF"/>
    <w:rsid w:val="00D4477F"/>
    <w:rsid w:val="00D46418"/>
    <w:rsid w:val="00D51EF9"/>
    <w:rsid w:val="00D55047"/>
    <w:rsid w:val="00D550D3"/>
    <w:rsid w:val="00D5765A"/>
    <w:rsid w:val="00D61734"/>
    <w:rsid w:val="00D65642"/>
    <w:rsid w:val="00D65DE0"/>
    <w:rsid w:val="00D670E0"/>
    <w:rsid w:val="00D71F9B"/>
    <w:rsid w:val="00D736BB"/>
    <w:rsid w:val="00D74787"/>
    <w:rsid w:val="00D74C88"/>
    <w:rsid w:val="00D75519"/>
    <w:rsid w:val="00D759CA"/>
    <w:rsid w:val="00D76037"/>
    <w:rsid w:val="00D7755D"/>
    <w:rsid w:val="00D77D33"/>
    <w:rsid w:val="00D81940"/>
    <w:rsid w:val="00D906E7"/>
    <w:rsid w:val="00D91FCC"/>
    <w:rsid w:val="00D95583"/>
    <w:rsid w:val="00DA3218"/>
    <w:rsid w:val="00DA65B8"/>
    <w:rsid w:val="00DA67D9"/>
    <w:rsid w:val="00DA7314"/>
    <w:rsid w:val="00DA7E10"/>
    <w:rsid w:val="00DB2630"/>
    <w:rsid w:val="00DC4BCF"/>
    <w:rsid w:val="00DC56C8"/>
    <w:rsid w:val="00DC6632"/>
    <w:rsid w:val="00DC6A48"/>
    <w:rsid w:val="00DD3BE0"/>
    <w:rsid w:val="00DE18BA"/>
    <w:rsid w:val="00DE30D5"/>
    <w:rsid w:val="00DF4AC2"/>
    <w:rsid w:val="00E02BDB"/>
    <w:rsid w:val="00E041EA"/>
    <w:rsid w:val="00E07207"/>
    <w:rsid w:val="00E121D7"/>
    <w:rsid w:val="00E13293"/>
    <w:rsid w:val="00E14D17"/>
    <w:rsid w:val="00E155E3"/>
    <w:rsid w:val="00E17C90"/>
    <w:rsid w:val="00E22FA8"/>
    <w:rsid w:val="00E249DB"/>
    <w:rsid w:val="00E25B86"/>
    <w:rsid w:val="00E268F2"/>
    <w:rsid w:val="00E27971"/>
    <w:rsid w:val="00E332EF"/>
    <w:rsid w:val="00E36E51"/>
    <w:rsid w:val="00E44691"/>
    <w:rsid w:val="00E45F78"/>
    <w:rsid w:val="00E4783F"/>
    <w:rsid w:val="00E522FE"/>
    <w:rsid w:val="00E53DF9"/>
    <w:rsid w:val="00E56787"/>
    <w:rsid w:val="00E57D56"/>
    <w:rsid w:val="00E60EA4"/>
    <w:rsid w:val="00E61D4E"/>
    <w:rsid w:val="00E64B43"/>
    <w:rsid w:val="00E7332E"/>
    <w:rsid w:val="00E765DB"/>
    <w:rsid w:val="00E83336"/>
    <w:rsid w:val="00E83FAB"/>
    <w:rsid w:val="00E853AE"/>
    <w:rsid w:val="00E85C8F"/>
    <w:rsid w:val="00E92DF6"/>
    <w:rsid w:val="00E93557"/>
    <w:rsid w:val="00E94A0A"/>
    <w:rsid w:val="00E97C2A"/>
    <w:rsid w:val="00EA53AF"/>
    <w:rsid w:val="00EA7907"/>
    <w:rsid w:val="00EC0736"/>
    <w:rsid w:val="00EC22EE"/>
    <w:rsid w:val="00EC3218"/>
    <w:rsid w:val="00EC3FE2"/>
    <w:rsid w:val="00EC509D"/>
    <w:rsid w:val="00EC5B07"/>
    <w:rsid w:val="00EC5D71"/>
    <w:rsid w:val="00EC630C"/>
    <w:rsid w:val="00EC67C6"/>
    <w:rsid w:val="00ED025C"/>
    <w:rsid w:val="00ED0805"/>
    <w:rsid w:val="00ED0D9A"/>
    <w:rsid w:val="00ED1351"/>
    <w:rsid w:val="00ED3569"/>
    <w:rsid w:val="00ED50AC"/>
    <w:rsid w:val="00ED5DC3"/>
    <w:rsid w:val="00ED762D"/>
    <w:rsid w:val="00EE2136"/>
    <w:rsid w:val="00EE5200"/>
    <w:rsid w:val="00EF01BF"/>
    <w:rsid w:val="00EF137D"/>
    <w:rsid w:val="00EF147D"/>
    <w:rsid w:val="00EF7B30"/>
    <w:rsid w:val="00F011C1"/>
    <w:rsid w:val="00F02735"/>
    <w:rsid w:val="00F104A5"/>
    <w:rsid w:val="00F10898"/>
    <w:rsid w:val="00F10B79"/>
    <w:rsid w:val="00F13673"/>
    <w:rsid w:val="00F13D0B"/>
    <w:rsid w:val="00F16BB7"/>
    <w:rsid w:val="00F21A6D"/>
    <w:rsid w:val="00F229F9"/>
    <w:rsid w:val="00F348DE"/>
    <w:rsid w:val="00F35F57"/>
    <w:rsid w:val="00F368CD"/>
    <w:rsid w:val="00F42919"/>
    <w:rsid w:val="00F449CA"/>
    <w:rsid w:val="00F45E03"/>
    <w:rsid w:val="00F5057D"/>
    <w:rsid w:val="00F52458"/>
    <w:rsid w:val="00F5328C"/>
    <w:rsid w:val="00F54527"/>
    <w:rsid w:val="00F576D4"/>
    <w:rsid w:val="00F61387"/>
    <w:rsid w:val="00F61997"/>
    <w:rsid w:val="00F61B23"/>
    <w:rsid w:val="00F63475"/>
    <w:rsid w:val="00F702E0"/>
    <w:rsid w:val="00F71CDF"/>
    <w:rsid w:val="00F72BD1"/>
    <w:rsid w:val="00F76EB3"/>
    <w:rsid w:val="00F830BA"/>
    <w:rsid w:val="00F831DC"/>
    <w:rsid w:val="00F839D0"/>
    <w:rsid w:val="00F850EC"/>
    <w:rsid w:val="00F93E80"/>
    <w:rsid w:val="00FA31C3"/>
    <w:rsid w:val="00FA6930"/>
    <w:rsid w:val="00FB2CE9"/>
    <w:rsid w:val="00FB6F23"/>
    <w:rsid w:val="00FB7466"/>
    <w:rsid w:val="00FC0D4E"/>
    <w:rsid w:val="00FC3871"/>
    <w:rsid w:val="00FC4872"/>
    <w:rsid w:val="00FC62F3"/>
    <w:rsid w:val="00FD329C"/>
    <w:rsid w:val="00FD453D"/>
    <w:rsid w:val="00FE0D25"/>
    <w:rsid w:val="00FE0DCB"/>
    <w:rsid w:val="00FF0D5F"/>
    <w:rsid w:val="00FF4B54"/>
    <w:rsid w:val="00FF4F88"/>
    <w:rsid w:val="00FF4F89"/>
    <w:rsid w:val="00FF6ECC"/>
    <w:rsid w:val="51036E6F"/>
    <w:rsid w:val="6373382E"/>
    <w:rsid w:val="6AC1B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E27E8A8"/>
  <w15:chartTrackingRefBased/>
  <w15:docId w15:val="{87F79BDE-BA80-4DA7-B65D-769D177F8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79"/>
  </w:style>
  <w:style w:type="paragraph" w:styleId="Heading1">
    <w:name w:val="heading 1"/>
    <w:basedOn w:val="Normal"/>
    <w:next w:val="Normal"/>
    <w:link w:val="Heading1Char"/>
    <w:uiPriority w:val="9"/>
    <w:qFormat/>
    <w:rsid w:val="0094597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94597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4597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4597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94597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94597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94597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94597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94597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979"/>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94597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B27D90"/>
    <w:pPr>
      <w:spacing w:after="0" w:line="240" w:lineRule="auto"/>
    </w:pPr>
    <w:rPr>
      <w:color w:val="595959" w:themeColor="text1" w:themeTint="A6"/>
      <w:sz w:val="30"/>
      <w:szCs w:val="3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7A08"/>
    <w:pPr>
      <w:ind w:left="720"/>
      <w:contextualSpacing/>
    </w:pPr>
  </w:style>
  <w:style w:type="paragraph" w:styleId="BalloonText">
    <w:name w:val="Balloon Text"/>
    <w:basedOn w:val="Normal"/>
    <w:link w:val="BalloonTextChar"/>
    <w:uiPriority w:val="99"/>
    <w:semiHidden/>
    <w:unhideWhenUsed/>
    <w:rsid w:val="001049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9E3"/>
    <w:rPr>
      <w:rFonts w:ascii="Segoe UI" w:hAnsi="Segoe UI" w:cs="Segoe UI"/>
      <w:sz w:val="18"/>
      <w:szCs w:val="18"/>
    </w:rPr>
  </w:style>
  <w:style w:type="paragraph" w:styleId="Caption">
    <w:name w:val="caption"/>
    <w:basedOn w:val="Normal"/>
    <w:next w:val="Normal"/>
    <w:uiPriority w:val="35"/>
    <w:unhideWhenUsed/>
    <w:qFormat/>
    <w:rsid w:val="00945979"/>
    <w:pPr>
      <w:spacing w:line="240" w:lineRule="auto"/>
    </w:pPr>
    <w:rPr>
      <w:b/>
      <w:bCs/>
      <w:smallCaps/>
      <w:color w:val="44546A" w:themeColor="text2"/>
    </w:rPr>
  </w:style>
  <w:style w:type="paragraph" w:styleId="Footer">
    <w:name w:val="footer"/>
    <w:basedOn w:val="Normal"/>
    <w:link w:val="FooterChar"/>
    <w:uiPriority w:val="99"/>
    <w:unhideWhenUsed/>
    <w:rsid w:val="00D42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255D"/>
  </w:style>
  <w:style w:type="paragraph" w:styleId="CommentText">
    <w:name w:val="annotation text"/>
    <w:basedOn w:val="Normal"/>
    <w:link w:val="CommentTextChar"/>
    <w:uiPriority w:val="99"/>
    <w:semiHidden/>
    <w:unhideWhenUsed/>
    <w:rsid w:val="00D4255D"/>
    <w:pPr>
      <w:spacing w:line="240" w:lineRule="auto"/>
    </w:pPr>
    <w:rPr>
      <w:sz w:val="20"/>
      <w:szCs w:val="20"/>
    </w:rPr>
  </w:style>
  <w:style w:type="character" w:customStyle="1" w:styleId="CommentTextChar">
    <w:name w:val="Comment Text Char"/>
    <w:basedOn w:val="DefaultParagraphFont"/>
    <w:link w:val="CommentText"/>
    <w:uiPriority w:val="99"/>
    <w:semiHidden/>
    <w:rsid w:val="00D4255D"/>
    <w:rPr>
      <w:sz w:val="20"/>
      <w:szCs w:val="20"/>
    </w:rPr>
  </w:style>
  <w:style w:type="character" w:styleId="CommentReference">
    <w:name w:val="annotation reference"/>
    <w:basedOn w:val="DefaultParagraphFont"/>
    <w:uiPriority w:val="99"/>
    <w:semiHidden/>
    <w:unhideWhenUsed/>
    <w:rsid w:val="00D4255D"/>
    <w:rPr>
      <w:sz w:val="22"/>
      <w:szCs w:val="16"/>
    </w:rPr>
  </w:style>
  <w:style w:type="character" w:customStyle="1" w:styleId="Heading3Char">
    <w:name w:val="Heading 3 Char"/>
    <w:basedOn w:val="DefaultParagraphFont"/>
    <w:link w:val="Heading3"/>
    <w:uiPriority w:val="9"/>
    <w:rsid w:val="00945979"/>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94597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rsid w:val="0094597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94597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94597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94597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945979"/>
    <w:rPr>
      <w:rFonts w:asciiTheme="majorHAnsi" w:eastAsiaTheme="majorEastAsia" w:hAnsiTheme="majorHAnsi" w:cstheme="majorBidi"/>
      <w:i/>
      <w:iCs/>
      <w:color w:val="1F3864" w:themeColor="accent1" w:themeShade="80"/>
    </w:rPr>
  </w:style>
  <w:style w:type="paragraph" w:styleId="ListBullet">
    <w:name w:val="List Bullet"/>
    <w:basedOn w:val="Normal"/>
    <w:uiPriority w:val="9"/>
    <w:rsid w:val="00D4255D"/>
    <w:pPr>
      <w:numPr>
        <w:numId w:val="7"/>
      </w:numPr>
      <w:spacing w:after="120"/>
    </w:pPr>
    <w:rPr>
      <w:color w:val="595959" w:themeColor="text1" w:themeTint="A6"/>
      <w:sz w:val="30"/>
      <w:szCs w:val="30"/>
      <w:lang w:val="en-US"/>
    </w:rPr>
  </w:style>
  <w:style w:type="paragraph" w:styleId="ListNumber">
    <w:name w:val="List Number"/>
    <w:basedOn w:val="Normal"/>
    <w:uiPriority w:val="9"/>
    <w:rsid w:val="00D4255D"/>
    <w:pPr>
      <w:numPr>
        <w:numId w:val="8"/>
      </w:numPr>
      <w:spacing w:after="120"/>
    </w:pPr>
    <w:rPr>
      <w:color w:val="595959" w:themeColor="text1" w:themeTint="A6"/>
      <w:sz w:val="30"/>
      <w:szCs w:val="30"/>
      <w:lang w:val="en-US"/>
    </w:rPr>
  </w:style>
  <w:style w:type="paragraph" w:styleId="Header">
    <w:name w:val="header"/>
    <w:basedOn w:val="Normal"/>
    <w:link w:val="HeaderChar"/>
    <w:uiPriority w:val="99"/>
    <w:unhideWhenUsed/>
    <w:rsid w:val="00D4255D"/>
    <w:pPr>
      <w:spacing w:after="0" w:line="240" w:lineRule="auto"/>
    </w:pPr>
    <w:rPr>
      <w:color w:val="595959" w:themeColor="text1" w:themeTint="A6"/>
      <w:sz w:val="30"/>
      <w:szCs w:val="30"/>
      <w:lang w:val="en-US"/>
    </w:rPr>
  </w:style>
  <w:style w:type="character" w:customStyle="1" w:styleId="HeaderChar">
    <w:name w:val="Header Char"/>
    <w:basedOn w:val="DefaultParagraphFont"/>
    <w:link w:val="Header"/>
    <w:uiPriority w:val="99"/>
    <w:rsid w:val="00D4255D"/>
    <w:rPr>
      <w:color w:val="595959" w:themeColor="text1" w:themeTint="A6"/>
      <w:sz w:val="30"/>
      <w:szCs w:val="30"/>
      <w:lang w:val="en-US"/>
    </w:rPr>
  </w:style>
  <w:style w:type="paragraph" w:styleId="Title">
    <w:name w:val="Title"/>
    <w:basedOn w:val="Normal"/>
    <w:next w:val="Normal"/>
    <w:link w:val="TitleChar"/>
    <w:uiPriority w:val="10"/>
    <w:qFormat/>
    <w:rsid w:val="0094597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4597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94597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945979"/>
    <w:rPr>
      <w:rFonts w:asciiTheme="majorHAnsi" w:eastAsiaTheme="majorEastAsia" w:hAnsiTheme="majorHAnsi" w:cstheme="majorBidi"/>
      <w:color w:val="4472C4" w:themeColor="accent1"/>
      <w:sz w:val="28"/>
      <w:szCs w:val="28"/>
    </w:rPr>
  </w:style>
  <w:style w:type="character" w:styleId="IntenseReference">
    <w:name w:val="Intense Reference"/>
    <w:basedOn w:val="DefaultParagraphFont"/>
    <w:uiPriority w:val="32"/>
    <w:qFormat/>
    <w:rsid w:val="00945979"/>
    <w:rPr>
      <w:b/>
      <w:bCs/>
      <w:smallCaps/>
      <w:color w:val="44546A" w:themeColor="text2"/>
      <w:u w:val="single"/>
    </w:rPr>
  </w:style>
  <w:style w:type="character" w:styleId="BookTitle">
    <w:name w:val="Book Title"/>
    <w:basedOn w:val="DefaultParagraphFont"/>
    <w:uiPriority w:val="33"/>
    <w:qFormat/>
    <w:rsid w:val="00945979"/>
    <w:rPr>
      <w:b/>
      <w:bCs/>
      <w:smallCaps/>
      <w:spacing w:val="10"/>
    </w:rPr>
  </w:style>
  <w:style w:type="character" w:styleId="SubtleEmphasis">
    <w:name w:val="Subtle Emphasis"/>
    <w:basedOn w:val="DefaultParagraphFont"/>
    <w:uiPriority w:val="19"/>
    <w:qFormat/>
    <w:rsid w:val="00945979"/>
    <w:rPr>
      <w:i/>
      <w:iCs/>
      <w:color w:val="595959" w:themeColor="text1" w:themeTint="A6"/>
    </w:rPr>
  </w:style>
  <w:style w:type="character" w:styleId="Emphasis">
    <w:name w:val="Emphasis"/>
    <w:basedOn w:val="DefaultParagraphFont"/>
    <w:uiPriority w:val="20"/>
    <w:qFormat/>
    <w:rsid w:val="00945979"/>
    <w:rPr>
      <w:i/>
      <w:iCs/>
    </w:rPr>
  </w:style>
  <w:style w:type="character" w:styleId="IntenseEmphasis">
    <w:name w:val="Intense Emphasis"/>
    <w:basedOn w:val="DefaultParagraphFont"/>
    <w:uiPriority w:val="21"/>
    <w:qFormat/>
    <w:rsid w:val="00945979"/>
    <w:rPr>
      <w:b/>
      <w:bCs/>
      <w:i/>
      <w:iCs/>
    </w:rPr>
  </w:style>
  <w:style w:type="character" w:styleId="Strong">
    <w:name w:val="Strong"/>
    <w:basedOn w:val="DefaultParagraphFont"/>
    <w:uiPriority w:val="22"/>
    <w:qFormat/>
    <w:rsid w:val="00945979"/>
    <w:rPr>
      <w:b/>
      <w:bCs/>
    </w:rPr>
  </w:style>
  <w:style w:type="paragraph" w:styleId="Quote">
    <w:name w:val="Quote"/>
    <w:basedOn w:val="Normal"/>
    <w:next w:val="Normal"/>
    <w:link w:val="QuoteChar"/>
    <w:uiPriority w:val="29"/>
    <w:qFormat/>
    <w:rsid w:val="0094597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45979"/>
    <w:rPr>
      <w:color w:val="44546A" w:themeColor="text2"/>
      <w:sz w:val="24"/>
      <w:szCs w:val="24"/>
    </w:rPr>
  </w:style>
  <w:style w:type="paragraph" w:styleId="IntenseQuote">
    <w:name w:val="Intense Quote"/>
    <w:basedOn w:val="Normal"/>
    <w:next w:val="Normal"/>
    <w:link w:val="IntenseQuoteChar"/>
    <w:uiPriority w:val="30"/>
    <w:qFormat/>
    <w:rsid w:val="0094597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45979"/>
    <w:rPr>
      <w:rFonts w:asciiTheme="majorHAnsi" w:eastAsiaTheme="majorEastAsia" w:hAnsiTheme="majorHAnsi" w:cstheme="majorBidi"/>
      <w:color w:val="44546A" w:themeColor="text2"/>
      <w:spacing w:val="-6"/>
      <w:sz w:val="32"/>
      <w:szCs w:val="32"/>
    </w:rPr>
  </w:style>
  <w:style w:type="character" w:styleId="SubtleReference">
    <w:name w:val="Subtle Reference"/>
    <w:basedOn w:val="DefaultParagraphFont"/>
    <w:uiPriority w:val="31"/>
    <w:qFormat/>
    <w:rsid w:val="00945979"/>
    <w:rPr>
      <w:smallCaps/>
      <w:color w:val="595959" w:themeColor="text1" w:themeTint="A6"/>
      <w:u w:val="none" w:color="7F7F7F" w:themeColor="text1" w:themeTint="80"/>
      <w:bdr w:val="none" w:sz="0" w:space="0" w:color="auto"/>
    </w:rPr>
  </w:style>
  <w:style w:type="character" w:customStyle="1" w:styleId="BodyTextChar">
    <w:name w:val="Body Text Char"/>
    <w:basedOn w:val="DefaultParagraphFont"/>
    <w:link w:val="BodyText"/>
    <w:uiPriority w:val="99"/>
    <w:semiHidden/>
    <w:rsid w:val="00D4255D"/>
    <w:rPr>
      <w:color w:val="595959" w:themeColor="text1" w:themeTint="A6"/>
      <w:sz w:val="30"/>
      <w:szCs w:val="30"/>
      <w:lang w:val="en-US"/>
    </w:rPr>
  </w:style>
  <w:style w:type="paragraph" w:styleId="BodyText">
    <w:name w:val="Body Text"/>
    <w:basedOn w:val="Normal"/>
    <w:link w:val="BodyTextChar"/>
    <w:uiPriority w:val="99"/>
    <w:semiHidden/>
    <w:unhideWhenUsed/>
    <w:rsid w:val="00D4255D"/>
    <w:pPr>
      <w:spacing w:after="120"/>
    </w:pPr>
    <w:rPr>
      <w:color w:val="595959" w:themeColor="text1" w:themeTint="A6"/>
      <w:sz w:val="30"/>
      <w:szCs w:val="30"/>
      <w:lang w:val="en-US"/>
    </w:rPr>
  </w:style>
  <w:style w:type="character" w:customStyle="1" w:styleId="BodyText2Char">
    <w:name w:val="Body Text 2 Char"/>
    <w:basedOn w:val="DefaultParagraphFont"/>
    <w:link w:val="BodyText2"/>
    <w:uiPriority w:val="99"/>
    <w:semiHidden/>
    <w:rsid w:val="00D4255D"/>
    <w:rPr>
      <w:color w:val="595959" w:themeColor="text1" w:themeTint="A6"/>
      <w:sz w:val="30"/>
      <w:szCs w:val="30"/>
      <w:lang w:val="en-US"/>
    </w:rPr>
  </w:style>
  <w:style w:type="paragraph" w:styleId="BodyText2">
    <w:name w:val="Body Text 2"/>
    <w:basedOn w:val="Normal"/>
    <w:link w:val="BodyText2Char"/>
    <w:uiPriority w:val="99"/>
    <w:semiHidden/>
    <w:unhideWhenUsed/>
    <w:rsid w:val="00D4255D"/>
    <w:pPr>
      <w:spacing w:after="120" w:line="480" w:lineRule="auto"/>
    </w:pPr>
    <w:rPr>
      <w:color w:val="595959" w:themeColor="text1" w:themeTint="A6"/>
      <w:sz w:val="30"/>
      <w:szCs w:val="30"/>
      <w:lang w:val="en-US"/>
    </w:rPr>
  </w:style>
  <w:style w:type="character" w:customStyle="1" w:styleId="BodyText3Char">
    <w:name w:val="Body Text 3 Char"/>
    <w:basedOn w:val="DefaultParagraphFont"/>
    <w:link w:val="BodyText3"/>
    <w:uiPriority w:val="99"/>
    <w:semiHidden/>
    <w:rsid w:val="00D4255D"/>
    <w:rPr>
      <w:color w:val="595959" w:themeColor="text1" w:themeTint="A6"/>
      <w:szCs w:val="16"/>
      <w:lang w:val="en-US"/>
    </w:rPr>
  </w:style>
  <w:style w:type="paragraph" w:styleId="BodyText3">
    <w:name w:val="Body Text 3"/>
    <w:basedOn w:val="Normal"/>
    <w:link w:val="BodyText3Char"/>
    <w:uiPriority w:val="99"/>
    <w:semiHidden/>
    <w:unhideWhenUsed/>
    <w:rsid w:val="00D4255D"/>
    <w:pPr>
      <w:spacing w:after="120"/>
    </w:pPr>
    <w:rPr>
      <w:color w:val="595959" w:themeColor="text1" w:themeTint="A6"/>
      <w:szCs w:val="16"/>
      <w:lang w:val="en-US"/>
    </w:rPr>
  </w:style>
  <w:style w:type="character" w:customStyle="1" w:styleId="BodyTextFirstIndentChar">
    <w:name w:val="Body Text First Indent Char"/>
    <w:basedOn w:val="BodyTextChar"/>
    <w:link w:val="BodyTextFirstIndent"/>
    <w:uiPriority w:val="99"/>
    <w:semiHidden/>
    <w:rsid w:val="00D4255D"/>
    <w:rPr>
      <w:color w:val="595959" w:themeColor="text1" w:themeTint="A6"/>
      <w:sz w:val="30"/>
      <w:szCs w:val="30"/>
      <w:lang w:val="en-US"/>
    </w:rPr>
  </w:style>
  <w:style w:type="paragraph" w:styleId="BodyTextFirstIndent">
    <w:name w:val="Body Text First Indent"/>
    <w:basedOn w:val="BodyText"/>
    <w:link w:val="BodyTextFirstIndentChar"/>
    <w:uiPriority w:val="99"/>
    <w:semiHidden/>
    <w:unhideWhenUsed/>
    <w:rsid w:val="00D4255D"/>
    <w:pPr>
      <w:ind w:firstLine="360"/>
    </w:pPr>
  </w:style>
  <w:style w:type="character" w:customStyle="1" w:styleId="BodyTextIndentChar">
    <w:name w:val="Body Text Indent Char"/>
    <w:basedOn w:val="DefaultParagraphFont"/>
    <w:link w:val="BodyTextIndent"/>
    <w:uiPriority w:val="99"/>
    <w:semiHidden/>
    <w:rsid w:val="00D4255D"/>
    <w:rPr>
      <w:color w:val="595959" w:themeColor="text1" w:themeTint="A6"/>
      <w:sz w:val="30"/>
      <w:szCs w:val="30"/>
      <w:lang w:val="en-US"/>
    </w:rPr>
  </w:style>
  <w:style w:type="paragraph" w:styleId="BodyTextIndent">
    <w:name w:val="Body Text Indent"/>
    <w:basedOn w:val="Normal"/>
    <w:link w:val="BodyTextIndentChar"/>
    <w:uiPriority w:val="99"/>
    <w:semiHidden/>
    <w:unhideWhenUsed/>
    <w:rsid w:val="00D4255D"/>
    <w:pPr>
      <w:spacing w:after="120"/>
      <w:ind w:left="283"/>
    </w:pPr>
    <w:rPr>
      <w:color w:val="595959" w:themeColor="text1" w:themeTint="A6"/>
      <w:sz w:val="30"/>
      <w:szCs w:val="30"/>
      <w:lang w:val="en-US"/>
    </w:rPr>
  </w:style>
  <w:style w:type="character" w:customStyle="1" w:styleId="BodyTextFirstIndent2Char">
    <w:name w:val="Body Text First Indent 2 Char"/>
    <w:basedOn w:val="BodyTextIndentChar"/>
    <w:link w:val="BodyTextFirstIndent2"/>
    <w:uiPriority w:val="99"/>
    <w:semiHidden/>
    <w:rsid w:val="00D4255D"/>
    <w:rPr>
      <w:color w:val="595959" w:themeColor="text1" w:themeTint="A6"/>
      <w:sz w:val="30"/>
      <w:szCs w:val="30"/>
      <w:lang w:val="en-US"/>
    </w:rPr>
  </w:style>
  <w:style w:type="paragraph" w:styleId="BodyTextFirstIndent2">
    <w:name w:val="Body Text First Indent 2"/>
    <w:basedOn w:val="BodyTextIndent"/>
    <w:link w:val="BodyTextFirstIndent2Char"/>
    <w:uiPriority w:val="99"/>
    <w:semiHidden/>
    <w:unhideWhenUsed/>
    <w:rsid w:val="00D4255D"/>
    <w:pPr>
      <w:ind w:left="360" w:firstLine="360"/>
    </w:pPr>
  </w:style>
  <w:style w:type="character" w:customStyle="1" w:styleId="BodyTextIndent2Char">
    <w:name w:val="Body Text Indent 2 Char"/>
    <w:basedOn w:val="DefaultParagraphFont"/>
    <w:link w:val="BodyTextIndent2"/>
    <w:uiPriority w:val="99"/>
    <w:semiHidden/>
    <w:rsid w:val="00D4255D"/>
    <w:rPr>
      <w:color w:val="595959" w:themeColor="text1" w:themeTint="A6"/>
      <w:sz w:val="30"/>
      <w:szCs w:val="30"/>
      <w:lang w:val="en-US"/>
    </w:rPr>
  </w:style>
  <w:style w:type="paragraph" w:styleId="BodyTextIndent2">
    <w:name w:val="Body Text Indent 2"/>
    <w:basedOn w:val="Normal"/>
    <w:link w:val="BodyTextIndent2Char"/>
    <w:uiPriority w:val="99"/>
    <w:semiHidden/>
    <w:unhideWhenUsed/>
    <w:rsid w:val="00D4255D"/>
    <w:pPr>
      <w:spacing w:after="120" w:line="480" w:lineRule="auto"/>
      <w:ind w:left="283"/>
    </w:pPr>
    <w:rPr>
      <w:color w:val="595959" w:themeColor="text1" w:themeTint="A6"/>
      <w:sz w:val="30"/>
      <w:szCs w:val="30"/>
      <w:lang w:val="en-US"/>
    </w:rPr>
  </w:style>
  <w:style w:type="character" w:customStyle="1" w:styleId="BodyTextIndent3Char">
    <w:name w:val="Body Text Indent 3 Char"/>
    <w:basedOn w:val="DefaultParagraphFont"/>
    <w:link w:val="BodyTextIndent3"/>
    <w:uiPriority w:val="99"/>
    <w:semiHidden/>
    <w:rsid w:val="00D4255D"/>
    <w:rPr>
      <w:color w:val="595959" w:themeColor="text1" w:themeTint="A6"/>
      <w:szCs w:val="16"/>
      <w:lang w:val="en-US"/>
    </w:rPr>
  </w:style>
  <w:style w:type="paragraph" w:styleId="BodyTextIndent3">
    <w:name w:val="Body Text Indent 3"/>
    <w:basedOn w:val="Normal"/>
    <w:link w:val="BodyTextIndent3Char"/>
    <w:uiPriority w:val="99"/>
    <w:semiHidden/>
    <w:unhideWhenUsed/>
    <w:rsid w:val="00D4255D"/>
    <w:pPr>
      <w:spacing w:after="120"/>
      <w:ind w:left="283"/>
    </w:pPr>
    <w:rPr>
      <w:color w:val="595959" w:themeColor="text1" w:themeTint="A6"/>
      <w:szCs w:val="16"/>
      <w:lang w:val="en-US"/>
    </w:rPr>
  </w:style>
  <w:style w:type="character" w:customStyle="1" w:styleId="ClosingChar">
    <w:name w:val="Closing Char"/>
    <w:basedOn w:val="DefaultParagraphFont"/>
    <w:link w:val="Closing"/>
    <w:uiPriority w:val="99"/>
    <w:semiHidden/>
    <w:rsid w:val="00D4255D"/>
    <w:rPr>
      <w:color w:val="595959" w:themeColor="text1" w:themeTint="A6"/>
      <w:sz w:val="30"/>
      <w:szCs w:val="30"/>
      <w:lang w:val="en-US"/>
    </w:rPr>
  </w:style>
  <w:style w:type="paragraph" w:styleId="Closing">
    <w:name w:val="Closing"/>
    <w:basedOn w:val="Normal"/>
    <w:link w:val="ClosingChar"/>
    <w:uiPriority w:val="99"/>
    <w:semiHidden/>
    <w:unhideWhenUsed/>
    <w:rsid w:val="00D4255D"/>
    <w:pPr>
      <w:spacing w:after="0" w:line="240" w:lineRule="auto"/>
      <w:ind w:left="4252"/>
    </w:pPr>
    <w:rPr>
      <w:color w:val="595959" w:themeColor="text1" w:themeTint="A6"/>
      <w:sz w:val="30"/>
      <w:szCs w:val="30"/>
      <w:lang w:val="en-US"/>
    </w:rPr>
  </w:style>
  <w:style w:type="table" w:styleId="ColorfulShading-Accent3">
    <w:name w:val="Colorful Shading Accent 3"/>
    <w:basedOn w:val="TableNormal"/>
    <w:uiPriority w:val="71"/>
    <w:semiHidden/>
    <w:unhideWhenUsed/>
    <w:rsid w:val="00D4255D"/>
    <w:pPr>
      <w:spacing w:after="0" w:line="240" w:lineRule="auto"/>
    </w:pPr>
    <w:rPr>
      <w:color w:val="000000" w:themeColor="text1"/>
      <w:sz w:val="30"/>
      <w:szCs w:val="30"/>
      <w:lang w:val="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character" w:customStyle="1" w:styleId="CommentSubjectChar">
    <w:name w:val="Comment Subject Char"/>
    <w:basedOn w:val="CommentTextChar"/>
    <w:link w:val="CommentSubject"/>
    <w:uiPriority w:val="99"/>
    <w:semiHidden/>
    <w:rsid w:val="00D4255D"/>
    <w:rPr>
      <w:b/>
      <w:bCs/>
      <w:color w:val="595959" w:themeColor="text1" w:themeTint="A6"/>
      <w:sz w:val="20"/>
      <w:szCs w:val="20"/>
      <w:lang w:val="en-US"/>
    </w:rPr>
  </w:style>
  <w:style w:type="paragraph" w:styleId="CommentSubject">
    <w:name w:val="annotation subject"/>
    <w:basedOn w:val="CommentText"/>
    <w:next w:val="CommentText"/>
    <w:link w:val="CommentSubjectChar"/>
    <w:uiPriority w:val="99"/>
    <w:semiHidden/>
    <w:unhideWhenUsed/>
    <w:rsid w:val="00D4255D"/>
    <w:pPr>
      <w:spacing w:after="120"/>
    </w:pPr>
    <w:rPr>
      <w:b/>
      <w:bCs/>
      <w:color w:val="595959" w:themeColor="text1" w:themeTint="A6"/>
      <w:sz w:val="22"/>
      <w:lang w:val="en-US"/>
    </w:rPr>
  </w:style>
  <w:style w:type="character" w:customStyle="1" w:styleId="DateChar">
    <w:name w:val="Date Char"/>
    <w:basedOn w:val="DefaultParagraphFont"/>
    <w:link w:val="Date"/>
    <w:uiPriority w:val="99"/>
    <w:semiHidden/>
    <w:rsid w:val="00D4255D"/>
    <w:rPr>
      <w:color w:val="595959" w:themeColor="text1" w:themeTint="A6"/>
      <w:sz w:val="30"/>
      <w:szCs w:val="30"/>
      <w:lang w:val="en-US"/>
    </w:rPr>
  </w:style>
  <w:style w:type="paragraph" w:styleId="Date">
    <w:name w:val="Date"/>
    <w:basedOn w:val="Normal"/>
    <w:next w:val="Normal"/>
    <w:link w:val="DateChar"/>
    <w:uiPriority w:val="99"/>
    <w:semiHidden/>
    <w:unhideWhenUsed/>
    <w:rsid w:val="00D4255D"/>
    <w:pPr>
      <w:spacing w:after="120"/>
    </w:pPr>
    <w:rPr>
      <w:color w:val="595959" w:themeColor="text1" w:themeTint="A6"/>
      <w:sz w:val="30"/>
      <w:szCs w:val="30"/>
      <w:lang w:val="en-US"/>
    </w:rPr>
  </w:style>
  <w:style w:type="character" w:customStyle="1" w:styleId="DocumentMapChar">
    <w:name w:val="Document Map Char"/>
    <w:basedOn w:val="DefaultParagraphFont"/>
    <w:link w:val="DocumentMap"/>
    <w:uiPriority w:val="99"/>
    <w:semiHidden/>
    <w:rsid w:val="00D4255D"/>
    <w:rPr>
      <w:rFonts w:ascii="Segoe UI" w:hAnsi="Segoe UI" w:cs="Segoe UI"/>
      <w:color w:val="595959" w:themeColor="text1" w:themeTint="A6"/>
      <w:szCs w:val="16"/>
      <w:lang w:val="en-US"/>
    </w:rPr>
  </w:style>
  <w:style w:type="paragraph" w:styleId="DocumentMap">
    <w:name w:val="Document Map"/>
    <w:basedOn w:val="Normal"/>
    <w:link w:val="DocumentMapChar"/>
    <w:uiPriority w:val="99"/>
    <w:semiHidden/>
    <w:unhideWhenUsed/>
    <w:rsid w:val="00D4255D"/>
    <w:pPr>
      <w:spacing w:after="0" w:line="240" w:lineRule="auto"/>
    </w:pPr>
    <w:rPr>
      <w:rFonts w:ascii="Segoe UI" w:hAnsi="Segoe UI" w:cs="Segoe UI"/>
      <w:color w:val="595959" w:themeColor="text1" w:themeTint="A6"/>
      <w:szCs w:val="16"/>
      <w:lang w:val="en-US"/>
    </w:rPr>
  </w:style>
  <w:style w:type="character" w:customStyle="1" w:styleId="E-mailSignatureChar">
    <w:name w:val="E-mail Signature Char"/>
    <w:basedOn w:val="DefaultParagraphFont"/>
    <w:link w:val="E-mailSignature"/>
    <w:uiPriority w:val="99"/>
    <w:semiHidden/>
    <w:rsid w:val="00D4255D"/>
    <w:rPr>
      <w:color w:val="595959" w:themeColor="text1" w:themeTint="A6"/>
      <w:sz w:val="30"/>
      <w:szCs w:val="30"/>
      <w:lang w:val="en-US"/>
    </w:rPr>
  </w:style>
  <w:style w:type="paragraph" w:styleId="E-mailSignature">
    <w:name w:val="E-mail Signature"/>
    <w:basedOn w:val="Normal"/>
    <w:link w:val="E-mailSignatureChar"/>
    <w:uiPriority w:val="99"/>
    <w:semiHidden/>
    <w:unhideWhenUsed/>
    <w:rsid w:val="00D4255D"/>
    <w:pPr>
      <w:spacing w:after="0" w:line="240" w:lineRule="auto"/>
    </w:pPr>
    <w:rPr>
      <w:color w:val="595959" w:themeColor="text1" w:themeTint="A6"/>
      <w:sz w:val="30"/>
      <w:szCs w:val="30"/>
      <w:lang w:val="en-US"/>
    </w:rPr>
  </w:style>
  <w:style w:type="character" w:customStyle="1" w:styleId="EndnoteTextChar">
    <w:name w:val="Endnote Text Char"/>
    <w:basedOn w:val="DefaultParagraphFont"/>
    <w:link w:val="EndnoteText"/>
    <w:uiPriority w:val="99"/>
    <w:semiHidden/>
    <w:rsid w:val="00D4255D"/>
    <w:rPr>
      <w:color w:val="595959" w:themeColor="text1" w:themeTint="A6"/>
      <w:szCs w:val="20"/>
      <w:lang w:val="en-US"/>
    </w:rPr>
  </w:style>
  <w:style w:type="paragraph" w:styleId="EndnoteText">
    <w:name w:val="endnote text"/>
    <w:basedOn w:val="Normal"/>
    <w:link w:val="EndnoteTextChar"/>
    <w:uiPriority w:val="99"/>
    <w:semiHidden/>
    <w:unhideWhenUsed/>
    <w:rsid w:val="00D4255D"/>
    <w:pPr>
      <w:spacing w:after="0" w:line="240" w:lineRule="auto"/>
    </w:pPr>
    <w:rPr>
      <w:color w:val="595959" w:themeColor="text1" w:themeTint="A6"/>
      <w:szCs w:val="20"/>
      <w:lang w:val="en-US"/>
    </w:rPr>
  </w:style>
  <w:style w:type="character" w:customStyle="1" w:styleId="FootnoteTextChar">
    <w:name w:val="Footnote Text Char"/>
    <w:basedOn w:val="DefaultParagraphFont"/>
    <w:link w:val="FootnoteText"/>
    <w:uiPriority w:val="99"/>
    <w:semiHidden/>
    <w:rsid w:val="00D4255D"/>
    <w:rPr>
      <w:color w:val="595959" w:themeColor="text1" w:themeTint="A6"/>
      <w:szCs w:val="20"/>
      <w:lang w:val="en-US"/>
    </w:rPr>
  </w:style>
  <w:style w:type="paragraph" w:styleId="FootnoteText">
    <w:name w:val="footnote text"/>
    <w:basedOn w:val="Normal"/>
    <w:link w:val="FootnoteTextChar"/>
    <w:uiPriority w:val="99"/>
    <w:semiHidden/>
    <w:unhideWhenUsed/>
    <w:rsid w:val="00D4255D"/>
    <w:pPr>
      <w:spacing w:after="0" w:line="240" w:lineRule="auto"/>
    </w:pPr>
    <w:rPr>
      <w:color w:val="595959" w:themeColor="text1" w:themeTint="A6"/>
      <w:szCs w:val="20"/>
      <w:lang w:val="en-US"/>
    </w:rPr>
  </w:style>
  <w:style w:type="character" w:customStyle="1" w:styleId="HTMLAddressChar">
    <w:name w:val="HTML Address Char"/>
    <w:basedOn w:val="DefaultParagraphFont"/>
    <w:link w:val="HTMLAddress"/>
    <w:uiPriority w:val="99"/>
    <w:semiHidden/>
    <w:rsid w:val="00D4255D"/>
    <w:rPr>
      <w:i/>
      <w:iCs/>
      <w:color w:val="595959" w:themeColor="text1" w:themeTint="A6"/>
      <w:sz w:val="30"/>
      <w:szCs w:val="30"/>
      <w:lang w:val="en-US"/>
    </w:rPr>
  </w:style>
  <w:style w:type="paragraph" w:styleId="HTMLAddress">
    <w:name w:val="HTML Address"/>
    <w:basedOn w:val="Normal"/>
    <w:link w:val="HTMLAddressChar"/>
    <w:uiPriority w:val="99"/>
    <w:semiHidden/>
    <w:unhideWhenUsed/>
    <w:rsid w:val="00D4255D"/>
    <w:pPr>
      <w:spacing w:after="0" w:line="240" w:lineRule="auto"/>
    </w:pPr>
    <w:rPr>
      <w:i/>
      <w:iCs/>
      <w:color w:val="595959" w:themeColor="text1" w:themeTint="A6"/>
      <w:sz w:val="30"/>
      <w:szCs w:val="30"/>
      <w:lang w:val="en-US"/>
    </w:rPr>
  </w:style>
  <w:style w:type="character" w:customStyle="1" w:styleId="HTMLPreformattedChar">
    <w:name w:val="HTML Preformatted Char"/>
    <w:basedOn w:val="DefaultParagraphFont"/>
    <w:link w:val="HTMLPreformatted"/>
    <w:uiPriority w:val="99"/>
    <w:semiHidden/>
    <w:rsid w:val="00D4255D"/>
    <w:rPr>
      <w:rFonts w:ascii="Consolas" w:hAnsi="Consolas"/>
      <w:color w:val="595959" w:themeColor="text1" w:themeTint="A6"/>
      <w:szCs w:val="20"/>
      <w:lang w:val="en-US"/>
    </w:rPr>
  </w:style>
  <w:style w:type="paragraph" w:styleId="HTMLPreformatted">
    <w:name w:val="HTML Preformatted"/>
    <w:basedOn w:val="Normal"/>
    <w:link w:val="HTMLPreformattedChar"/>
    <w:uiPriority w:val="99"/>
    <w:semiHidden/>
    <w:unhideWhenUsed/>
    <w:rsid w:val="00D4255D"/>
    <w:pPr>
      <w:spacing w:after="0" w:line="240" w:lineRule="auto"/>
    </w:pPr>
    <w:rPr>
      <w:rFonts w:ascii="Consolas" w:hAnsi="Consolas"/>
      <w:color w:val="595959" w:themeColor="text1" w:themeTint="A6"/>
      <w:szCs w:val="20"/>
      <w:lang w:val="en-US"/>
    </w:rPr>
  </w:style>
  <w:style w:type="paragraph" w:styleId="ListBullet2">
    <w:name w:val="List Bullet 2"/>
    <w:basedOn w:val="Normal"/>
    <w:uiPriority w:val="99"/>
    <w:semiHidden/>
    <w:unhideWhenUsed/>
    <w:rsid w:val="00D4255D"/>
    <w:pPr>
      <w:numPr>
        <w:numId w:val="9"/>
      </w:numPr>
      <w:spacing w:after="120"/>
      <w:contextualSpacing/>
    </w:pPr>
    <w:rPr>
      <w:color w:val="595959" w:themeColor="text1" w:themeTint="A6"/>
      <w:sz w:val="30"/>
      <w:szCs w:val="30"/>
      <w:lang w:val="en-US"/>
    </w:rPr>
  </w:style>
  <w:style w:type="paragraph" w:styleId="ListBullet3">
    <w:name w:val="List Bullet 3"/>
    <w:basedOn w:val="Normal"/>
    <w:uiPriority w:val="99"/>
    <w:semiHidden/>
    <w:unhideWhenUsed/>
    <w:rsid w:val="00D4255D"/>
    <w:pPr>
      <w:numPr>
        <w:numId w:val="10"/>
      </w:numPr>
      <w:spacing w:after="120"/>
      <w:contextualSpacing/>
    </w:pPr>
    <w:rPr>
      <w:color w:val="595959" w:themeColor="text1" w:themeTint="A6"/>
      <w:sz w:val="30"/>
      <w:szCs w:val="30"/>
      <w:lang w:val="en-US"/>
    </w:rPr>
  </w:style>
  <w:style w:type="paragraph" w:styleId="ListBullet4">
    <w:name w:val="List Bullet 4"/>
    <w:basedOn w:val="Normal"/>
    <w:uiPriority w:val="99"/>
    <w:semiHidden/>
    <w:unhideWhenUsed/>
    <w:rsid w:val="00D4255D"/>
    <w:pPr>
      <w:numPr>
        <w:numId w:val="11"/>
      </w:numPr>
      <w:spacing w:after="120"/>
      <w:contextualSpacing/>
    </w:pPr>
    <w:rPr>
      <w:color w:val="595959" w:themeColor="text1" w:themeTint="A6"/>
      <w:sz w:val="30"/>
      <w:szCs w:val="30"/>
      <w:lang w:val="en-US"/>
    </w:rPr>
  </w:style>
  <w:style w:type="paragraph" w:styleId="ListBullet5">
    <w:name w:val="List Bullet 5"/>
    <w:basedOn w:val="Normal"/>
    <w:uiPriority w:val="99"/>
    <w:semiHidden/>
    <w:unhideWhenUsed/>
    <w:rsid w:val="00D4255D"/>
    <w:pPr>
      <w:numPr>
        <w:numId w:val="12"/>
      </w:numPr>
      <w:spacing w:after="120"/>
      <w:contextualSpacing/>
    </w:pPr>
    <w:rPr>
      <w:color w:val="595959" w:themeColor="text1" w:themeTint="A6"/>
      <w:sz w:val="30"/>
      <w:szCs w:val="30"/>
      <w:lang w:val="en-US"/>
    </w:rPr>
  </w:style>
  <w:style w:type="paragraph" w:styleId="ListNumber2">
    <w:name w:val="List Number 2"/>
    <w:basedOn w:val="Normal"/>
    <w:uiPriority w:val="99"/>
    <w:semiHidden/>
    <w:unhideWhenUsed/>
    <w:rsid w:val="00D4255D"/>
    <w:pPr>
      <w:numPr>
        <w:numId w:val="13"/>
      </w:numPr>
      <w:spacing w:after="120"/>
      <w:contextualSpacing/>
    </w:pPr>
    <w:rPr>
      <w:color w:val="595959" w:themeColor="text1" w:themeTint="A6"/>
      <w:sz w:val="30"/>
      <w:szCs w:val="30"/>
      <w:lang w:val="en-US"/>
    </w:rPr>
  </w:style>
  <w:style w:type="paragraph" w:styleId="ListNumber3">
    <w:name w:val="List Number 3"/>
    <w:basedOn w:val="Normal"/>
    <w:uiPriority w:val="99"/>
    <w:semiHidden/>
    <w:unhideWhenUsed/>
    <w:rsid w:val="00D4255D"/>
    <w:pPr>
      <w:numPr>
        <w:numId w:val="14"/>
      </w:numPr>
      <w:spacing w:after="120"/>
      <w:contextualSpacing/>
    </w:pPr>
    <w:rPr>
      <w:color w:val="595959" w:themeColor="text1" w:themeTint="A6"/>
      <w:sz w:val="30"/>
      <w:szCs w:val="30"/>
      <w:lang w:val="en-US"/>
    </w:rPr>
  </w:style>
  <w:style w:type="paragraph" w:styleId="ListNumber4">
    <w:name w:val="List Number 4"/>
    <w:basedOn w:val="Normal"/>
    <w:uiPriority w:val="99"/>
    <w:semiHidden/>
    <w:unhideWhenUsed/>
    <w:rsid w:val="00D4255D"/>
    <w:pPr>
      <w:numPr>
        <w:numId w:val="15"/>
      </w:numPr>
      <w:spacing w:after="120"/>
      <w:contextualSpacing/>
    </w:pPr>
    <w:rPr>
      <w:color w:val="595959" w:themeColor="text1" w:themeTint="A6"/>
      <w:sz w:val="30"/>
      <w:szCs w:val="30"/>
      <w:lang w:val="en-US"/>
    </w:rPr>
  </w:style>
  <w:style w:type="paragraph" w:styleId="ListNumber5">
    <w:name w:val="List Number 5"/>
    <w:basedOn w:val="Normal"/>
    <w:uiPriority w:val="99"/>
    <w:semiHidden/>
    <w:unhideWhenUsed/>
    <w:rsid w:val="00D4255D"/>
    <w:pPr>
      <w:numPr>
        <w:numId w:val="16"/>
      </w:numPr>
      <w:spacing w:after="120"/>
      <w:contextualSpacing/>
    </w:pPr>
    <w:rPr>
      <w:color w:val="595959" w:themeColor="text1" w:themeTint="A6"/>
      <w:sz w:val="30"/>
      <w:szCs w:val="30"/>
      <w:lang w:val="en-US"/>
    </w:rPr>
  </w:style>
  <w:style w:type="character" w:customStyle="1" w:styleId="MacroTextChar">
    <w:name w:val="Macro Text Char"/>
    <w:basedOn w:val="DefaultParagraphFont"/>
    <w:link w:val="MacroText"/>
    <w:uiPriority w:val="99"/>
    <w:semiHidden/>
    <w:rsid w:val="00D4255D"/>
    <w:rPr>
      <w:rFonts w:ascii="Consolas" w:hAnsi="Consolas"/>
      <w:color w:val="595959" w:themeColor="text1" w:themeTint="A6"/>
      <w:szCs w:val="20"/>
      <w:lang w:val="en-US"/>
    </w:rPr>
  </w:style>
  <w:style w:type="paragraph" w:styleId="MacroText">
    <w:name w:val="macro"/>
    <w:link w:val="MacroTextChar"/>
    <w:uiPriority w:val="99"/>
    <w:semiHidden/>
    <w:unhideWhenUsed/>
    <w:rsid w:val="00D4255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595959" w:themeColor="text1" w:themeTint="A6"/>
      <w:szCs w:val="20"/>
      <w:lang w:val="en-US"/>
    </w:rPr>
  </w:style>
  <w:style w:type="character" w:customStyle="1" w:styleId="MessageHeaderChar">
    <w:name w:val="Message Header Char"/>
    <w:basedOn w:val="DefaultParagraphFont"/>
    <w:link w:val="MessageHeader"/>
    <w:uiPriority w:val="99"/>
    <w:semiHidden/>
    <w:rsid w:val="00D4255D"/>
    <w:rPr>
      <w:rFonts w:asciiTheme="majorHAnsi" w:eastAsiaTheme="majorEastAsia" w:hAnsiTheme="majorHAnsi" w:cstheme="majorBidi"/>
      <w:color w:val="595959" w:themeColor="text1" w:themeTint="A6"/>
      <w:sz w:val="24"/>
      <w:szCs w:val="24"/>
      <w:shd w:val="pct20" w:color="auto" w:fill="auto"/>
      <w:lang w:val="en-US"/>
    </w:rPr>
  </w:style>
  <w:style w:type="paragraph" w:styleId="MessageHeader">
    <w:name w:val="Message Header"/>
    <w:basedOn w:val="Normal"/>
    <w:link w:val="MessageHeaderChar"/>
    <w:uiPriority w:val="99"/>
    <w:semiHidden/>
    <w:unhideWhenUsed/>
    <w:rsid w:val="00D4255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595959" w:themeColor="text1" w:themeTint="A6"/>
      <w:sz w:val="24"/>
      <w:szCs w:val="24"/>
      <w:lang w:val="en-US"/>
    </w:rPr>
  </w:style>
  <w:style w:type="paragraph" w:styleId="NoSpacing">
    <w:name w:val="No Spacing"/>
    <w:link w:val="NoSpacingChar"/>
    <w:uiPriority w:val="1"/>
    <w:qFormat/>
    <w:rsid w:val="00945979"/>
    <w:pPr>
      <w:spacing w:after="0" w:line="240" w:lineRule="auto"/>
    </w:pPr>
  </w:style>
  <w:style w:type="character" w:customStyle="1" w:styleId="NoteHeadingChar">
    <w:name w:val="Note Heading Char"/>
    <w:basedOn w:val="DefaultParagraphFont"/>
    <w:link w:val="NoteHeading"/>
    <w:uiPriority w:val="99"/>
    <w:semiHidden/>
    <w:rsid w:val="00D4255D"/>
    <w:rPr>
      <w:color w:val="595959" w:themeColor="text1" w:themeTint="A6"/>
      <w:sz w:val="30"/>
      <w:szCs w:val="30"/>
      <w:lang w:val="en-US"/>
    </w:rPr>
  </w:style>
  <w:style w:type="paragraph" w:styleId="NoteHeading">
    <w:name w:val="Note Heading"/>
    <w:basedOn w:val="Normal"/>
    <w:next w:val="Normal"/>
    <w:link w:val="NoteHeadingChar"/>
    <w:uiPriority w:val="99"/>
    <w:semiHidden/>
    <w:unhideWhenUsed/>
    <w:rsid w:val="00D4255D"/>
    <w:pPr>
      <w:spacing w:after="0" w:line="240" w:lineRule="auto"/>
    </w:pPr>
    <w:rPr>
      <w:color w:val="595959" w:themeColor="text1" w:themeTint="A6"/>
      <w:sz w:val="30"/>
      <w:szCs w:val="30"/>
      <w:lang w:val="en-US"/>
    </w:rPr>
  </w:style>
  <w:style w:type="character" w:customStyle="1" w:styleId="PlainTextChar">
    <w:name w:val="Plain Text Char"/>
    <w:basedOn w:val="DefaultParagraphFont"/>
    <w:link w:val="PlainText"/>
    <w:uiPriority w:val="99"/>
    <w:semiHidden/>
    <w:rsid w:val="00D4255D"/>
    <w:rPr>
      <w:rFonts w:ascii="Consolas" w:hAnsi="Consolas"/>
      <w:color w:val="595959" w:themeColor="text1" w:themeTint="A6"/>
      <w:szCs w:val="21"/>
      <w:lang w:val="en-US"/>
    </w:rPr>
  </w:style>
  <w:style w:type="paragraph" w:styleId="PlainText">
    <w:name w:val="Plain Text"/>
    <w:basedOn w:val="Normal"/>
    <w:link w:val="PlainTextChar"/>
    <w:uiPriority w:val="99"/>
    <w:semiHidden/>
    <w:unhideWhenUsed/>
    <w:rsid w:val="00D4255D"/>
    <w:pPr>
      <w:spacing w:after="0" w:line="240" w:lineRule="auto"/>
    </w:pPr>
    <w:rPr>
      <w:rFonts w:ascii="Consolas" w:hAnsi="Consolas"/>
      <w:color w:val="595959" w:themeColor="text1" w:themeTint="A6"/>
      <w:szCs w:val="21"/>
      <w:lang w:val="en-US"/>
    </w:rPr>
  </w:style>
  <w:style w:type="character" w:customStyle="1" w:styleId="SalutationChar">
    <w:name w:val="Salutation Char"/>
    <w:basedOn w:val="DefaultParagraphFont"/>
    <w:link w:val="Salutation"/>
    <w:uiPriority w:val="99"/>
    <w:semiHidden/>
    <w:rsid w:val="00D4255D"/>
    <w:rPr>
      <w:color w:val="595959" w:themeColor="text1" w:themeTint="A6"/>
      <w:sz w:val="30"/>
      <w:szCs w:val="30"/>
      <w:lang w:val="en-US"/>
    </w:rPr>
  </w:style>
  <w:style w:type="paragraph" w:styleId="Salutation">
    <w:name w:val="Salutation"/>
    <w:basedOn w:val="Normal"/>
    <w:next w:val="Normal"/>
    <w:link w:val="SalutationChar"/>
    <w:uiPriority w:val="99"/>
    <w:semiHidden/>
    <w:unhideWhenUsed/>
    <w:rsid w:val="00D4255D"/>
    <w:pPr>
      <w:spacing w:after="120"/>
    </w:pPr>
    <w:rPr>
      <w:color w:val="595959" w:themeColor="text1" w:themeTint="A6"/>
      <w:sz w:val="30"/>
      <w:szCs w:val="30"/>
      <w:lang w:val="en-US"/>
    </w:rPr>
  </w:style>
  <w:style w:type="character" w:customStyle="1" w:styleId="SignatureChar">
    <w:name w:val="Signature Char"/>
    <w:basedOn w:val="DefaultParagraphFont"/>
    <w:link w:val="Signature"/>
    <w:uiPriority w:val="99"/>
    <w:semiHidden/>
    <w:rsid w:val="00D4255D"/>
    <w:rPr>
      <w:color w:val="595959" w:themeColor="text1" w:themeTint="A6"/>
      <w:sz w:val="30"/>
      <w:szCs w:val="30"/>
      <w:lang w:val="en-US"/>
    </w:rPr>
  </w:style>
  <w:style w:type="paragraph" w:styleId="Signature">
    <w:name w:val="Signature"/>
    <w:basedOn w:val="Normal"/>
    <w:link w:val="SignatureChar"/>
    <w:uiPriority w:val="99"/>
    <w:semiHidden/>
    <w:unhideWhenUsed/>
    <w:rsid w:val="00D4255D"/>
    <w:pPr>
      <w:spacing w:after="0" w:line="240" w:lineRule="auto"/>
      <w:ind w:left="4252"/>
    </w:pPr>
    <w:rPr>
      <w:color w:val="595959" w:themeColor="text1" w:themeTint="A6"/>
      <w:sz w:val="30"/>
      <w:szCs w:val="30"/>
      <w:lang w:val="en-US"/>
    </w:rPr>
  </w:style>
  <w:style w:type="paragraph" w:customStyle="1" w:styleId="paragraph">
    <w:name w:val="paragraph"/>
    <w:basedOn w:val="Normal"/>
    <w:rsid w:val="00D425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4255D"/>
  </w:style>
  <w:style w:type="character" w:customStyle="1" w:styleId="eop">
    <w:name w:val="eop"/>
    <w:basedOn w:val="DefaultParagraphFont"/>
    <w:rsid w:val="00D4255D"/>
  </w:style>
  <w:style w:type="table" w:customStyle="1" w:styleId="TableGrid1">
    <w:name w:val="Table Grid1"/>
    <w:basedOn w:val="TableNormal"/>
    <w:next w:val="TableGrid"/>
    <w:uiPriority w:val="39"/>
    <w:rsid w:val="00516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33FD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ListTable6Colorful-Accent1">
    <w:name w:val="List Table 6 Colorful Accent 1"/>
    <w:basedOn w:val="TableNormal"/>
    <w:uiPriority w:val="51"/>
    <w:rsid w:val="00BC43BE"/>
    <w:pPr>
      <w:spacing w:after="0" w:line="240" w:lineRule="auto"/>
    </w:pPr>
    <w:rPr>
      <w:color w:val="2F5496" w:themeColor="accent1" w:themeShade="BF"/>
      <w:lang w:val="en-US"/>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175E17"/>
    <w:pPr>
      <w:spacing w:after="0" w:line="240" w:lineRule="auto"/>
    </w:pPr>
  </w:style>
  <w:style w:type="character" w:styleId="Hyperlink">
    <w:name w:val="Hyperlink"/>
    <w:basedOn w:val="DefaultParagraphFont"/>
    <w:uiPriority w:val="99"/>
    <w:unhideWhenUsed/>
    <w:rsid w:val="00D65DE0"/>
    <w:rPr>
      <w:color w:val="0000FF"/>
      <w:u w:val="single"/>
    </w:rPr>
  </w:style>
  <w:style w:type="character" w:styleId="UnresolvedMention">
    <w:name w:val="Unresolved Mention"/>
    <w:basedOn w:val="DefaultParagraphFont"/>
    <w:uiPriority w:val="99"/>
    <w:semiHidden/>
    <w:unhideWhenUsed/>
    <w:rsid w:val="00397D1F"/>
    <w:rPr>
      <w:color w:val="605E5C"/>
      <w:shd w:val="clear" w:color="auto" w:fill="E1DFDD"/>
    </w:rPr>
  </w:style>
  <w:style w:type="paragraph" w:customStyle="1" w:styleId="Default">
    <w:name w:val="Default"/>
    <w:rsid w:val="003F62C4"/>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945979"/>
    <w:pPr>
      <w:outlineLvl w:val="9"/>
    </w:pPr>
  </w:style>
  <w:style w:type="paragraph" w:styleId="TableofFigures">
    <w:name w:val="table of figures"/>
    <w:basedOn w:val="Normal"/>
    <w:next w:val="Normal"/>
    <w:uiPriority w:val="99"/>
    <w:unhideWhenUsed/>
    <w:rsid w:val="002D4EBB"/>
    <w:pPr>
      <w:spacing w:after="0"/>
    </w:pPr>
  </w:style>
  <w:style w:type="table" w:customStyle="1" w:styleId="TableGrid2">
    <w:name w:val="Table Grid2"/>
    <w:basedOn w:val="TableNormal"/>
    <w:next w:val="TableGrid"/>
    <w:uiPriority w:val="39"/>
    <w:rsid w:val="00056CC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C34C1"/>
    <w:pPr>
      <w:spacing w:after="100"/>
    </w:pPr>
  </w:style>
  <w:style w:type="paragraph" w:styleId="TOC2">
    <w:name w:val="toc 2"/>
    <w:basedOn w:val="Normal"/>
    <w:next w:val="Normal"/>
    <w:autoRedefine/>
    <w:uiPriority w:val="39"/>
    <w:unhideWhenUsed/>
    <w:rsid w:val="004C34C1"/>
    <w:pPr>
      <w:spacing w:after="100"/>
      <w:ind w:left="220"/>
    </w:pPr>
  </w:style>
  <w:style w:type="paragraph" w:styleId="TOC3">
    <w:name w:val="toc 3"/>
    <w:basedOn w:val="Normal"/>
    <w:next w:val="Normal"/>
    <w:autoRedefine/>
    <w:uiPriority w:val="39"/>
    <w:unhideWhenUsed/>
    <w:rsid w:val="00B4138B"/>
    <w:pPr>
      <w:tabs>
        <w:tab w:val="right" w:leader="dot" w:pos="9016"/>
      </w:tabs>
      <w:spacing w:after="100" w:line="240" w:lineRule="auto"/>
      <w:ind w:left="-284"/>
      <w:jc w:val="both"/>
    </w:pPr>
  </w:style>
  <w:style w:type="paragraph" w:customStyle="1" w:styleId="AppendixA">
    <w:name w:val="Appendix A"/>
    <w:basedOn w:val="Heading2"/>
    <w:link w:val="AppendixAChar"/>
    <w:qFormat/>
    <w:rsid w:val="00A62CA4"/>
    <w:pPr>
      <w:framePr w:hSpace="180" w:wrap="around" w:vAnchor="text" w:hAnchor="page" w:x="206" w:y="499"/>
    </w:pPr>
    <w:rPr>
      <w:rFonts w:ascii="Arial" w:eastAsia="Times New Roman" w:hAnsi="Arial" w:cs="Arial"/>
      <w:b/>
      <w:bCs/>
      <w:color w:val="000000"/>
      <w:sz w:val="24"/>
      <w:szCs w:val="24"/>
      <w:lang w:eastAsia="en-GB"/>
    </w:rPr>
  </w:style>
  <w:style w:type="character" w:customStyle="1" w:styleId="AppendixAChar">
    <w:name w:val="Appendix A Char"/>
    <w:basedOn w:val="DefaultParagraphFont"/>
    <w:link w:val="AppendixA"/>
    <w:rsid w:val="00A62CA4"/>
    <w:rPr>
      <w:rFonts w:ascii="Arial" w:eastAsia="Times New Roman" w:hAnsi="Arial" w:cs="Arial"/>
      <w:b/>
      <w:bCs/>
      <w:color w:val="000000"/>
      <w:sz w:val="24"/>
      <w:szCs w:val="24"/>
      <w:lang w:eastAsia="en-GB"/>
    </w:rPr>
  </w:style>
  <w:style w:type="character" w:styleId="FollowedHyperlink">
    <w:name w:val="FollowedHyperlink"/>
    <w:basedOn w:val="DefaultParagraphFont"/>
    <w:uiPriority w:val="99"/>
    <w:semiHidden/>
    <w:unhideWhenUsed/>
    <w:rsid w:val="00610375"/>
    <w:rPr>
      <w:color w:val="954F72" w:themeColor="followedHyperlink"/>
      <w:u w:val="single"/>
    </w:rPr>
  </w:style>
  <w:style w:type="numbering" w:customStyle="1" w:styleId="NoList1">
    <w:name w:val="No List1"/>
    <w:next w:val="NoList"/>
    <w:uiPriority w:val="99"/>
    <w:semiHidden/>
    <w:unhideWhenUsed/>
    <w:rsid w:val="00D95583"/>
  </w:style>
  <w:style w:type="paragraph" w:customStyle="1" w:styleId="EmptyCellLayoutStyle">
    <w:name w:val="EmptyCellLayoutStyle"/>
    <w:rsid w:val="00D95583"/>
    <w:rPr>
      <w:rFonts w:ascii="Times New Roman" w:eastAsia="Times New Roman" w:hAnsi="Times New Roman" w:cs="Times New Roman"/>
      <w:sz w:val="2"/>
      <w:szCs w:val="20"/>
      <w:lang w:eastAsia="en-GB"/>
    </w:rPr>
  </w:style>
  <w:style w:type="character" w:customStyle="1" w:styleId="NoSpacingChar">
    <w:name w:val="No Spacing Char"/>
    <w:basedOn w:val="DefaultParagraphFont"/>
    <w:link w:val="NoSpacing"/>
    <w:uiPriority w:val="1"/>
    <w:rsid w:val="00C22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553013">
      <w:bodyDiv w:val="1"/>
      <w:marLeft w:val="0"/>
      <w:marRight w:val="0"/>
      <w:marTop w:val="0"/>
      <w:marBottom w:val="0"/>
      <w:divBdr>
        <w:top w:val="none" w:sz="0" w:space="0" w:color="auto"/>
        <w:left w:val="none" w:sz="0" w:space="0" w:color="auto"/>
        <w:bottom w:val="none" w:sz="0" w:space="0" w:color="auto"/>
        <w:right w:val="none" w:sz="0" w:space="0" w:color="auto"/>
      </w:divBdr>
    </w:div>
    <w:div w:id="345209885">
      <w:bodyDiv w:val="1"/>
      <w:marLeft w:val="0"/>
      <w:marRight w:val="0"/>
      <w:marTop w:val="0"/>
      <w:marBottom w:val="0"/>
      <w:divBdr>
        <w:top w:val="none" w:sz="0" w:space="0" w:color="auto"/>
        <w:left w:val="none" w:sz="0" w:space="0" w:color="auto"/>
        <w:bottom w:val="none" w:sz="0" w:space="0" w:color="auto"/>
        <w:right w:val="none" w:sz="0" w:space="0" w:color="auto"/>
      </w:divBdr>
    </w:div>
    <w:div w:id="434129923">
      <w:bodyDiv w:val="1"/>
      <w:marLeft w:val="0"/>
      <w:marRight w:val="0"/>
      <w:marTop w:val="0"/>
      <w:marBottom w:val="0"/>
      <w:divBdr>
        <w:top w:val="none" w:sz="0" w:space="0" w:color="auto"/>
        <w:left w:val="none" w:sz="0" w:space="0" w:color="auto"/>
        <w:bottom w:val="none" w:sz="0" w:space="0" w:color="auto"/>
        <w:right w:val="none" w:sz="0" w:space="0" w:color="auto"/>
      </w:divBdr>
    </w:div>
    <w:div w:id="1184049896">
      <w:bodyDiv w:val="1"/>
      <w:marLeft w:val="0"/>
      <w:marRight w:val="0"/>
      <w:marTop w:val="0"/>
      <w:marBottom w:val="0"/>
      <w:divBdr>
        <w:top w:val="none" w:sz="0" w:space="0" w:color="auto"/>
        <w:left w:val="none" w:sz="0" w:space="0" w:color="auto"/>
        <w:bottom w:val="none" w:sz="0" w:space="0" w:color="auto"/>
        <w:right w:val="none" w:sz="0" w:space="0" w:color="auto"/>
      </w:divBdr>
    </w:div>
    <w:div w:id="1689403098">
      <w:bodyDiv w:val="1"/>
      <w:marLeft w:val="0"/>
      <w:marRight w:val="0"/>
      <w:marTop w:val="0"/>
      <w:marBottom w:val="0"/>
      <w:divBdr>
        <w:top w:val="none" w:sz="0" w:space="0" w:color="auto"/>
        <w:left w:val="none" w:sz="0" w:space="0" w:color="auto"/>
        <w:bottom w:val="none" w:sz="0" w:space="0" w:color="auto"/>
        <w:right w:val="none" w:sz="0" w:space="0" w:color="auto"/>
      </w:divBdr>
    </w:div>
    <w:div w:id="197964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best4soil.eu/database" TargetMode="External"/><Relationship Id="rId26" Type="http://schemas.openxmlformats.org/officeDocument/2006/relationships/hyperlink" Target="https://www.best4soil.eu/" TargetMode="External"/><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best4soil.eu/database" TargetMode="External"/><Relationship Id="rId25" Type="http://schemas.openxmlformats.org/officeDocument/2006/relationships/hyperlink" Target="https://www.best4soil.eu/" TargetMode="External"/><Relationship Id="rId33" Type="http://schemas.openxmlformats.org/officeDocument/2006/relationships/chart" Target="charts/chart3.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best4soil.eu/database" TargetMode="External"/><Relationship Id="rId20" Type="http://schemas.openxmlformats.org/officeDocument/2006/relationships/image" Target="media/image3.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chart" Target="charts/chart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chart" Target="charts/chart6.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chart" Target="charts/chart5.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58459184748505"/>
          <c:y val="0.1084215500459703"/>
          <c:w val="0.73635908563844732"/>
          <c:h val="0.69859539492728584"/>
        </c:manualLayout>
      </c:layout>
      <c:barChart>
        <c:barDir val="col"/>
        <c:grouping val="clustered"/>
        <c:varyColors val="0"/>
        <c:ser>
          <c:idx val="1"/>
          <c:order val="1"/>
          <c:tx>
            <c:strRef>
              <c:f>'Graph '!$L$4</c:f>
              <c:strCache>
                <c:ptCount val="1"/>
                <c:pt idx="0">
                  <c:v>MgS04.7H20</c:v>
                </c:pt>
              </c:strCache>
            </c:strRef>
          </c:tx>
          <c:spPr>
            <a:solidFill>
              <a:schemeClr val="accent3"/>
            </a:solidFill>
            <a:ln>
              <a:noFill/>
            </a:ln>
            <a:effectLst/>
          </c:spPr>
          <c:invertIfNegative val="0"/>
          <c:errBars>
            <c:errBarType val="both"/>
            <c:errValType val="cust"/>
            <c:noEndCap val="0"/>
            <c:plus>
              <c:numRef>
                <c:f>'Graph '!$U$6:$U$9</c:f>
                <c:numCache>
                  <c:formatCode>General</c:formatCode>
                  <c:ptCount val="4"/>
                  <c:pt idx="0">
                    <c:v>1.4529663145135581</c:v>
                  </c:pt>
                  <c:pt idx="1">
                    <c:v>7.0553368295055758</c:v>
                  </c:pt>
                  <c:pt idx="2">
                    <c:v>1</c:v>
                  </c:pt>
                  <c:pt idx="3">
                    <c:v>3.9299420408505323</c:v>
                  </c:pt>
                </c:numCache>
              </c:numRef>
            </c:plus>
            <c:minus>
              <c:numRef>
                <c:f>'Graph '!$U$6:$U$9</c:f>
                <c:numCache>
                  <c:formatCode>General</c:formatCode>
                  <c:ptCount val="4"/>
                  <c:pt idx="0">
                    <c:v>1.4529663145135581</c:v>
                  </c:pt>
                  <c:pt idx="1">
                    <c:v>7.0553368295055758</c:v>
                  </c:pt>
                  <c:pt idx="2">
                    <c:v>1</c:v>
                  </c:pt>
                  <c:pt idx="3">
                    <c:v>3.9299420408505323</c:v>
                  </c:pt>
                </c:numCache>
              </c:numRef>
            </c:minus>
            <c:spPr>
              <a:noFill/>
              <a:ln w="6350" cap="flat" cmpd="sng" algn="ctr">
                <a:solidFill>
                  <a:schemeClr val="dk1"/>
                </a:solidFill>
                <a:prstDash val="solid"/>
                <a:miter lim="800000"/>
              </a:ln>
              <a:effectLst/>
            </c:spPr>
          </c:errBars>
          <c:cat>
            <c:strRef>
              <c:f>'Graph '!$M$2:$P$2</c:f>
              <c:strCache>
                <c:ptCount val="4"/>
                <c:pt idx="0">
                  <c:v>Sample 1 </c:v>
                </c:pt>
                <c:pt idx="1">
                  <c:v>Sample 2</c:v>
                </c:pt>
                <c:pt idx="2">
                  <c:v>Sample 3</c:v>
                </c:pt>
                <c:pt idx="3">
                  <c:v>Sample 4</c:v>
                </c:pt>
              </c:strCache>
            </c:strRef>
          </c:cat>
          <c:val>
            <c:numRef>
              <c:f>'Graph '!$M$4:$P$4</c:f>
              <c:numCache>
                <c:formatCode>General</c:formatCode>
                <c:ptCount val="4"/>
                <c:pt idx="0">
                  <c:v>7</c:v>
                </c:pt>
                <c:pt idx="1">
                  <c:v>23.666666666666668</c:v>
                </c:pt>
                <c:pt idx="2">
                  <c:v>2</c:v>
                </c:pt>
                <c:pt idx="3">
                  <c:v>5.333333333333333</c:v>
                </c:pt>
              </c:numCache>
            </c:numRef>
          </c:val>
          <c:extLst>
            <c:ext xmlns:c16="http://schemas.microsoft.com/office/drawing/2014/chart" uri="{C3380CC4-5D6E-409C-BE32-E72D297353CC}">
              <c16:uniqueId val="{00000000-7218-4B16-843A-C487D70B8337}"/>
            </c:ext>
          </c:extLst>
        </c:ser>
        <c:ser>
          <c:idx val="2"/>
          <c:order val="2"/>
          <c:tx>
            <c:strRef>
              <c:f>'Graph '!$L$5</c:f>
              <c:strCache>
                <c:ptCount val="1"/>
                <c:pt idx="0">
                  <c:v>Ludox </c:v>
                </c:pt>
              </c:strCache>
            </c:strRef>
          </c:tx>
          <c:spPr>
            <a:solidFill>
              <a:schemeClr val="accent5"/>
            </a:solidFill>
            <a:ln>
              <a:solidFill>
                <a:schemeClr val="tx1"/>
              </a:solidFill>
            </a:ln>
            <a:effectLst/>
          </c:spPr>
          <c:invertIfNegative val="0"/>
          <c:errBars>
            <c:errBarType val="both"/>
            <c:errValType val="cust"/>
            <c:noEndCap val="0"/>
            <c:plus>
              <c:numRef>
                <c:f>'Graph '!$U$2:$U$5</c:f>
                <c:numCache>
                  <c:formatCode>General</c:formatCode>
                  <c:ptCount val="4"/>
                  <c:pt idx="0">
                    <c:v>0.88191710368819343</c:v>
                  </c:pt>
                  <c:pt idx="1">
                    <c:v>3.5118845842842461</c:v>
                  </c:pt>
                  <c:pt idx="2">
                    <c:v>2.3333333333333339</c:v>
                  </c:pt>
                  <c:pt idx="3">
                    <c:v>4.9777281743560264</c:v>
                  </c:pt>
                </c:numCache>
              </c:numRef>
            </c:plus>
            <c:minus>
              <c:numRef>
                <c:f>'Graph '!$U$2:$U$5</c:f>
                <c:numCache>
                  <c:formatCode>General</c:formatCode>
                  <c:ptCount val="4"/>
                  <c:pt idx="0">
                    <c:v>0.88191710368819343</c:v>
                  </c:pt>
                  <c:pt idx="1">
                    <c:v>3.5118845842842461</c:v>
                  </c:pt>
                  <c:pt idx="2">
                    <c:v>2.3333333333333339</c:v>
                  </c:pt>
                  <c:pt idx="3">
                    <c:v>4.9777281743560264</c:v>
                  </c:pt>
                </c:numCache>
              </c:numRef>
            </c:minus>
            <c:spPr>
              <a:noFill/>
              <a:ln w="9525" cap="flat" cmpd="sng" algn="ctr">
                <a:solidFill>
                  <a:schemeClr val="tx1">
                    <a:lumMod val="65000"/>
                    <a:lumOff val="35000"/>
                  </a:schemeClr>
                </a:solidFill>
                <a:round/>
              </a:ln>
              <a:effectLst/>
            </c:spPr>
          </c:errBars>
          <c:cat>
            <c:strRef>
              <c:f>'Graph '!$M$2:$P$2</c:f>
              <c:strCache>
                <c:ptCount val="4"/>
                <c:pt idx="0">
                  <c:v>Sample 1 </c:v>
                </c:pt>
                <c:pt idx="1">
                  <c:v>Sample 2</c:v>
                </c:pt>
                <c:pt idx="2">
                  <c:v>Sample 3</c:v>
                </c:pt>
                <c:pt idx="3">
                  <c:v>Sample 4</c:v>
                </c:pt>
              </c:strCache>
            </c:strRef>
          </c:cat>
          <c:val>
            <c:numRef>
              <c:f>'Graph '!$M$5:$P$5</c:f>
              <c:numCache>
                <c:formatCode>General</c:formatCode>
                <c:ptCount val="4"/>
                <c:pt idx="0">
                  <c:v>14.333333333333334</c:v>
                </c:pt>
                <c:pt idx="1">
                  <c:v>17</c:v>
                </c:pt>
                <c:pt idx="2">
                  <c:v>11.666666666666666</c:v>
                </c:pt>
                <c:pt idx="3">
                  <c:v>11.666666666666666</c:v>
                </c:pt>
              </c:numCache>
            </c:numRef>
          </c:val>
          <c:extLst>
            <c:ext xmlns:c16="http://schemas.microsoft.com/office/drawing/2014/chart" uri="{C3380CC4-5D6E-409C-BE32-E72D297353CC}">
              <c16:uniqueId val="{00000001-7218-4B16-843A-C487D70B8337}"/>
            </c:ext>
          </c:extLst>
        </c:ser>
        <c:dLbls>
          <c:showLegendKey val="0"/>
          <c:showVal val="0"/>
          <c:showCatName val="0"/>
          <c:showSerName val="0"/>
          <c:showPercent val="0"/>
          <c:showBubbleSize val="0"/>
        </c:dLbls>
        <c:gapWidth val="150"/>
        <c:axId val="122708504"/>
        <c:axId val="53792632"/>
        <c:extLst>
          <c:ext xmlns:c15="http://schemas.microsoft.com/office/drawing/2012/chart" uri="{02D57815-91ED-43cb-92C2-25804820EDAC}">
            <c15:filteredBarSeries>
              <c15:ser>
                <c:idx val="0"/>
                <c:order val="0"/>
                <c:tx>
                  <c:strRef>
                    <c:extLst>
                      <c:ext uri="{02D57815-91ED-43cb-92C2-25804820EDAC}">
                        <c15:formulaRef>
                          <c15:sqref>'Graph '!$L$3</c15:sqref>
                        </c15:formulaRef>
                      </c:ext>
                    </c:extLst>
                    <c:strCache>
                      <c:ptCount val="1"/>
                      <c:pt idx="0">
                        <c:v>Two flask </c:v>
                      </c:pt>
                    </c:strCache>
                  </c:strRef>
                </c:tx>
                <c:spPr>
                  <a:solidFill>
                    <a:schemeClr val="accent1"/>
                  </a:solidFill>
                  <a:ln>
                    <a:noFill/>
                  </a:ln>
                  <a:effectLst/>
                </c:spPr>
                <c:invertIfNegative val="0"/>
                <c:errBars>
                  <c:errBarType val="both"/>
                  <c:errValType val="cust"/>
                  <c:noEndCap val="0"/>
                  <c:plus>
                    <c:numRef>
                      <c:extLst>
                        <c:ext uri="{02D57815-91ED-43cb-92C2-25804820EDAC}">
                          <c15:formulaRef>
                            <c15:sqref>'Graph '!$U$10:$U$13</c15:sqref>
                          </c15:formulaRef>
                        </c:ext>
                      </c:extLst>
                      <c:numCache>
                        <c:formatCode>General</c:formatCode>
                        <c:ptCount val="4"/>
                        <c:pt idx="0">
                          <c:v>4.4845413490245676</c:v>
                        </c:pt>
                        <c:pt idx="1">
                          <c:v>12.342339054382412</c:v>
                        </c:pt>
                        <c:pt idx="2">
                          <c:v>4.6308146631499367</c:v>
                        </c:pt>
                        <c:pt idx="3">
                          <c:v>5.7831171909658288</c:v>
                        </c:pt>
                      </c:numCache>
                    </c:numRef>
                  </c:plus>
                  <c:minus>
                    <c:numRef>
                      <c:extLst>
                        <c:ext uri="{02D57815-91ED-43cb-92C2-25804820EDAC}">
                          <c15:formulaRef>
                            <c15:sqref>'Graph '!$U$10:$U$13</c15:sqref>
                          </c15:formulaRef>
                        </c:ext>
                      </c:extLst>
                      <c:numCache>
                        <c:formatCode>General</c:formatCode>
                        <c:ptCount val="4"/>
                        <c:pt idx="0">
                          <c:v>4.4845413490245676</c:v>
                        </c:pt>
                        <c:pt idx="1">
                          <c:v>12.342339054382412</c:v>
                        </c:pt>
                        <c:pt idx="2">
                          <c:v>4.6308146631499367</c:v>
                        </c:pt>
                        <c:pt idx="3">
                          <c:v>5.7831171909658288</c:v>
                        </c:pt>
                      </c:numCache>
                    </c:numRef>
                  </c:minus>
                  <c:spPr>
                    <a:noFill/>
                    <a:ln w="9525" cap="flat" cmpd="sng" algn="ctr">
                      <a:solidFill>
                        <a:schemeClr val="tx1">
                          <a:lumMod val="65000"/>
                          <a:lumOff val="35000"/>
                        </a:schemeClr>
                      </a:solidFill>
                      <a:round/>
                    </a:ln>
                    <a:effectLst/>
                  </c:spPr>
                </c:errBars>
                <c:cat>
                  <c:strRef>
                    <c:extLst>
                      <c:ext uri="{02D57815-91ED-43cb-92C2-25804820EDAC}">
                        <c15:formulaRef>
                          <c15:sqref>'Graph '!$M$2:$P$2</c15:sqref>
                        </c15:formulaRef>
                      </c:ext>
                    </c:extLst>
                    <c:strCache>
                      <c:ptCount val="4"/>
                      <c:pt idx="0">
                        <c:v>Sample 1 </c:v>
                      </c:pt>
                      <c:pt idx="1">
                        <c:v>Sample 2</c:v>
                      </c:pt>
                      <c:pt idx="2">
                        <c:v>Sample 3</c:v>
                      </c:pt>
                      <c:pt idx="3">
                        <c:v>Sample 4</c:v>
                      </c:pt>
                    </c:strCache>
                  </c:strRef>
                </c:cat>
                <c:val>
                  <c:numRef>
                    <c:extLst>
                      <c:ext uri="{02D57815-91ED-43cb-92C2-25804820EDAC}">
                        <c15:formulaRef>
                          <c15:sqref>'Graph '!$M$3:$P$3</c15:sqref>
                        </c15:formulaRef>
                      </c:ext>
                    </c:extLst>
                    <c:numCache>
                      <c:formatCode>General</c:formatCode>
                      <c:ptCount val="4"/>
                      <c:pt idx="0">
                        <c:v>30.666666666666668</c:v>
                      </c:pt>
                      <c:pt idx="1">
                        <c:v>43</c:v>
                      </c:pt>
                      <c:pt idx="2">
                        <c:v>20.666666666666668</c:v>
                      </c:pt>
                      <c:pt idx="3">
                        <c:v>49.666666666666664</c:v>
                      </c:pt>
                    </c:numCache>
                  </c:numRef>
                </c:val>
                <c:extLst>
                  <c:ext xmlns:c16="http://schemas.microsoft.com/office/drawing/2014/chart" uri="{C3380CC4-5D6E-409C-BE32-E72D297353CC}">
                    <c16:uniqueId val="{00000002-7218-4B16-843A-C487D70B8337}"/>
                  </c:ext>
                </c:extLst>
              </c15:ser>
            </c15:filteredBarSeries>
          </c:ext>
        </c:extLst>
      </c:barChart>
      <c:catAx>
        <c:axId val="122708504"/>
        <c:scaling>
          <c:orientation val="minMax"/>
        </c:scaling>
        <c:delete val="0"/>
        <c:axPos val="b"/>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53792632"/>
        <c:crosses val="autoZero"/>
        <c:auto val="1"/>
        <c:lblAlgn val="ctr"/>
        <c:lblOffset val="100"/>
        <c:noMultiLvlLbl val="0"/>
      </c:catAx>
      <c:valAx>
        <c:axId val="5379263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GB"/>
                  <a:t>Average SRN in 100g soil </a:t>
                </a:r>
              </a:p>
            </c:rich>
          </c:tx>
          <c:layout>
            <c:manualLayout>
              <c:xMode val="edge"/>
              <c:yMode val="edge"/>
              <c:x val="1.3501257369006885E-2"/>
              <c:y val="0.13991273351105085"/>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2708504"/>
        <c:crosses val="autoZero"/>
        <c:crossBetween val="between"/>
      </c:valAx>
      <c:spPr>
        <a:noFill/>
        <a:ln w="25400">
          <a:noFill/>
        </a:ln>
        <a:effectLst/>
      </c:spPr>
    </c:plotArea>
    <c:legend>
      <c:legendPos val="b"/>
      <c:layout>
        <c:manualLayout>
          <c:xMode val="edge"/>
          <c:yMode val="edge"/>
          <c:x val="0.46595190503550876"/>
          <c:y val="2.2072228576782327E-3"/>
          <c:w val="0.41667376656451977"/>
          <c:h val="5.925312418139512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1097698624581801"/>
          <c:y val="0.15044171163997758"/>
          <c:w val="0.67529043277074774"/>
          <c:h val="0.61786436311667714"/>
        </c:manualLayout>
      </c:layout>
      <c:barChart>
        <c:barDir val="col"/>
        <c:grouping val="clustered"/>
        <c:varyColors val="0"/>
        <c:ser>
          <c:idx val="0"/>
          <c:order val="0"/>
          <c:tx>
            <c:strRef>
              <c:f>'Graph 2'!$O$4</c:f>
              <c:strCache>
                <c:ptCount val="1"/>
                <c:pt idx="0">
                  <c:v>Centrifugal </c:v>
                </c:pt>
              </c:strCache>
            </c:strRef>
          </c:tx>
          <c:spPr>
            <a:solidFill>
              <a:schemeClr val="bg1"/>
            </a:solidFill>
            <a:ln>
              <a:solidFill>
                <a:schemeClr val="tx1"/>
              </a:solidFill>
            </a:ln>
            <a:effectLst/>
          </c:spPr>
          <c:invertIfNegative val="0"/>
          <c:errBars>
            <c:errBarType val="both"/>
            <c:errValType val="cust"/>
            <c:noEndCap val="0"/>
            <c:plus>
              <c:numRef>
                <c:f>'Graph 2'!$I$4:$I$7</c:f>
                <c:numCache>
                  <c:formatCode>General</c:formatCode>
                  <c:ptCount val="4"/>
                  <c:pt idx="0">
                    <c:v>3.7859388972001824</c:v>
                  </c:pt>
                  <c:pt idx="1">
                    <c:v>1</c:v>
                  </c:pt>
                  <c:pt idx="2">
                    <c:v>1.2018504251546627</c:v>
                  </c:pt>
                  <c:pt idx="3">
                    <c:v>2.8480012484391759</c:v>
                  </c:pt>
                </c:numCache>
              </c:numRef>
            </c:plus>
            <c:minus>
              <c:numRef>
                <c:f>'Graph 2'!$I$4:$I$7</c:f>
                <c:numCache>
                  <c:formatCode>General</c:formatCode>
                  <c:ptCount val="4"/>
                  <c:pt idx="0">
                    <c:v>3.7859388972001824</c:v>
                  </c:pt>
                  <c:pt idx="1">
                    <c:v>1</c:v>
                  </c:pt>
                  <c:pt idx="2">
                    <c:v>1.2018504251546627</c:v>
                  </c:pt>
                  <c:pt idx="3">
                    <c:v>2.8480012484391759</c:v>
                  </c:pt>
                </c:numCache>
              </c:numRef>
            </c:minus>
            <c:spPr>
              <a:noFill/>
              <a:ln w="6350" cap="flat" cmpd="sng" algn="ctr">
                <a:solidFill>
                  <a:schemeClr val="dk1"/>
                </a:solidFill>
                <a:prstDash val="solid"/>
                <a:miter lim="800000"/>
              </a:ln>
              <a:effectLst/>
            </c:spPr>
          </c:errBars>
          <c:cat>
            <c:strRef>
              <c:f>'Graph 2'!$P$3:$S$3</c:f>
              <c:strCache>
                <c:ptCount val="4"/>
                <c:pt idx="0">
                  <c:v>Sample 1</c:v>
                </c:pt>
                <c:pt idx="1">
                  <c:v>Sample 2</c:v>
                </c:pt>
                <c:pt idx="2">
                  <c:v>Sample 3</c:v>
                </c:pt>
                <c:pt idx="3">
                  <c:v>Sample 4</c:v>
                </c:pt>
              </c:strCache>
            </c:strRef>
          </c:cat>
          <c:val>
            <c:numRef>
              <c:f>'Graph 2'!$P$4:$S$4</c:f>
              <c:numCache>
                <c:formatCode>General</c:formatCode>
                <c:ptCount val="4"/>
                <c:pt idx="0">
                  <c:v>38</c:v>
                </c:pt>
                <c:pt idx="1">
                  <c:v>4</c:v>
                </c:pt>
                <c:pt idx="2">
                  <c:v>7.666666666666667</c:v>
                </c:pt>
                <c:pt idx="3">
                  <c:v>15.333333333333334</c:v>
                </c:pt>
              </c:numCache>
            </c:numRef>
          </c:val>
          <c:extLst>
            <c:ext xmlns:c16="http://schemas.microsoft.com/office/drawing/2014/chart" uri="{C3380CC4-5D6E-409C-BE32-E72D297353CC}">
              <c16:uniqueId val="{00000000-04E9-4162-A0BA-FEACC30CE4D9}"/>
            </c:ext>
          </c:extLst>
        </c:ser>
        <c:ser>
          <c:idx val="1"/>
          <c:order val="1"/>
          <c:tx>
            <c:strRef>
              <c:f>'Graph 2'!$O$5</c:f>
              <c:strCache>
                <c:ptCount val="1"/>
                <c:pt idx="0">
                  <c:v>Two flask </c:v>
                </c:pt>
              </c:strCache>
            </c:strRef>
          </c:tx>
          <c:spPr>
            <a:solidFill>
              <a:schemeClr val="bg2"/>
            </a:solidFill>
            <a:ln>
              <a:solidFill>
                <a:schemeClr val="tx1"/>
              </a:solidFill>
            </a:ln>
            <a:effectLst/>
          </c:spPr>
          <c:invertIfNegative val="0"/>
          <c:errBars>
            <c:errBarType val="both"/>
            <c:errValType val="cust"/>
            <c:noEndCap val="0"/>
            <c:plus>
              <c:numRef>
                <c:f>'Graph 2'!$I$8:$I$11</c:f>
                <c:numCache>
                  <c:formatCode>General</c:formatCode>
                  <c:ptCount val="4"/>
                  <c:pt idx="0">
                    <c:v>7.6883750631138632</c:v>
                  </c:pt>
                  <c:pt idx="1">
                    <c:v>3.0550504633038935</c:v>
                  </c:pt>
                  <c:pt idx="2">
                    <c:v>1.2018504251546627</c:v>
                  </c:pt>
                  <c:pt idx="3">
                    <c:v>3.7564758898615498</c:v>
                  </c:pt>
                </c:numCache>
              </c:numRef>
            </c:plus>
            <c:minus>
              <c:numRef>
                <c:f>'Graph 2'!$I$8:$I$11</c:f>
                <c:numCache>
                  <c:formatCode>General</c:formatCode>
                  <c:ptCount val="4"/>
                  <c:pt idx="0">
                    <c:v>7.6883750631138632</c:v>
                  </c:pt>
                  <c:pt idx="1">
                    <c:v>3.0550504633038935</c:v>
                  </c:pt>
                  <c:pt idx="2">
                    <c:v>1.2018504251546627</c:v>
                  </c:pt>
                  <c:pt idx="3">
                    <c:v>3.7564758898615498</c:v>
                  </c:pt>
                </c:numCache>
              </c:numRef>
            </c:minus>
            <c:spPr>
              <a:noFill/>
              <a:ln w="6350" cap="flat" cmpd="sng" algn="ctr">
                <a:solidFill>
                  <a:schemeClr val="dk1"/>
                </a:solidFill>
                <a:prstDash val="solid"/>
                <a:miter lim="800000"/>
              </a:ln>
              <a:effectLst/>
            </c:spPr>
          </c:errBars>
          <c:cat>
            <c:strRef>
              <c:f>'Graph 2'!$P$3:$S$3</c:f>
              <c:strCache>
                <c:ptCount val="4"/>
                <c:pt idx="0">
                  <c:v>Sample 1</c:v>
                </c:pt>
                <c:pt idx="1">
                  <c:v>Sample 2</c:v>
                </c:pt>
                <c:pt idx="2">
                  <c:v>Sample 3</c:v>
                </c:pt>
                <c:pt idx="3">
                  <c:v>Sample 4</c:v>
                </c:pt>
              </c:strCache>
            </c:strRef>
          </c:cat>
          <c:val>
            <c:numRef>
              <c:f>'Graph 2'!$P$5:$S$5</c:f>
              <c:numCache>
                <c:formatCode>General</c:formatCode>
                <c:ptCount val="4"/>
                <c:pt idx="0">
                  <c:v>32.333333333333336</c:v>
                </c:pt>
                <c:pt idx="1">
                  <c:v>8</c:v>
                </c:pt>
                <c:pt idx="2">
                  <c:v>8.3333333333333339</c:v>
                </c:pt>
                <c:pt idx="3">
                  <c:v>23.333333333333332</c:v>
                </c:pt>
              </c:numCache>
            </c:numRef>
          </c:val>
          <c:extLst>
            <c:ext xmlns:c16="http://schemas.microsoft.com/office/drawing/2014/chart" uri="{C3380CC4-5D6E-409C-BE32-E72D297353CC}">
              <c16:uniqueId val="{00000001-04E9-4162-A0BA-FEACC30CE4D9}"/>
            </c:ext>
          </c:extLst>
        </c:ser>
        <c:dLbls>
          <c:showLegendKey val="0"/>
          <c:showVal val="0"/>
          <c:showCatName val="0"/>
          <c:showSerName val="0"/>
          <c:showPercent val="0"/>
          <c:showBubbleSize val="0"/>
        </c:dLbls>
        <c:gapWidth val="219"/>
        <c:overlap val="-27"/>
        <c:axId val="1024193264"/>
        <c:axId val="1012902384"/>
      </c:barChart>
      <c:catAx>
        <c:axId val="1024193264"/>
        <c:scaling>
          <c:orientation val="minMax"/>
        </c:scaling>
        <c:delete val="0"/>
        <c:axPos val="b"/>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12902384"/>
        <c:crosses val="autoZero"/>
        <c:auto val="1"/>
        <c:lblAlgn val="ctr"/>
        <c:lblOffset val="100"/>
        <c:noMultiLvlLbl val="0"/>
      </c:catAx>
      <c:valAx>
        <c:axId val="1012902384"/>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r>
                  <a:rPr lang="en-GB"/>
                  <a:t>Average nematodes in 100g soil </a:t>
                </a:r>
              </a:p>
            </c:rich>
          </c:tx>
          <c:layout>
            <c:manualLayout>
              <c:xMode val="edge"/>
              <c:yMode val="edge"/>
              <c:x val="6.2676933595221127E-2"/>
              <c:y val="0.23455514168513367"/>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24193264"/>
        <c:crosses val="autoZero"/>
        <c:crossBetween val="between"/>
      </c:valAx>
      <c:spPr>
        <a:noFill/>
        <a:ln>
          <a:noFill/>
        </a:ln>
        <a:effectLst/>
      </c:spPr>
    </c:plotArea>
    <c:legend>
      <c:legendPos val="b"/>
      <c:layout>
        <c:manualLayout>
          <c:xMode val="edge"/>
          <c:yMode val="edge"/>
          <c:x val="0.71288884344002446"/>
          <c:y val="4.9787926509186349E-2"/>
          <c:w val="0.26755799171512401"/>
          <c:h val="0.2530748556430446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57067354635282"/>
          <c:y val="4.7255422019615967E-2"/>
          <c:w val="0.71234174041497822"/>
          <c:h val="0.77701539490469529"/>
        </c:manualLayout>
      </c:layout>
      <c:barChart>
        <c:barDir val="bar"/>
        <c:grouping val="clustered"/>
        <c:varyColors val="0"/>
        <c:ser>
          <c:idx val="0"/>
          <c:order val="0"/>
          <c:tx>
            <c:strRef>
              <c:f>'[Graph for Hau sampling.xlsx]Sheet2'!$I$3</c:f>
              <c:strCache>
                <c:ptCount val="1"/>
                <c:pt idx="0">
                  <c:v>Average SRN </c:v>
                </c:pt>
              </c:strCache>
            </c:strRef>
          </c:tx>
          <c:spPr>
            <a:noFill/>
            <a:ln>
              <a:solidFill>
                <a:schemeClr val="tx1"/>
              </a:solidFill>
            </a:ln>
            <a:effectLst/>
          </c:spPr>
          <c:invertIfNegative val="0"/>
          <c:errBars>
            <c:errBarType val="both"/>
            <c:errValType val="cust"/>
            <c:noEndCap val="0"/>
            <c:plus>
              <c:numRef>
                <c:f>'[Graph for Hau sampling.xlsx]Sheet2'!$K$4:$K$8</c:f>
                <c:numCache>
                  <c:formatCode>General</c:formatCode>
                  <c:ptCount val="5"/>
                  <c:pt idx="0">
                    <c:v>2.3333333333333335</c:v>
                  </c:pt>
                  <c:pt idx="1">
                    <c:v>0.88191710368819698</c:v>
                  </c:pt>
                  <c:pt idx="2">
                    <c:v>2.9059326290271157</c:v>
                  </c:pt>
                  <c:pt idx="3">
                    <c:v>2.3333333333333339</c:v>
                  </c:pt>
                  <c:pt idx="4">
                    <c:v>5.8404718226450756</c:v>
                  </c:pt>
                </c:numCache>
              </c:numRef>
            </c:plus>
            <c:minus>
              <c:numRef>
                <c:f>'[Graph for Hau sampling.xlsx]Sheet2'!$K$4:$K$8</c:f>
                <c:numCache>
                  <c:formatCode>General</c:formatCode>
                  <c:ptCount val="5"/>
                  <c:pt idx="0">
                    <c:v>2.3333333333333335</c:v>
                  </c:pt>
                  <c:pt idx="1">
                    <c:v>0.88191710368819698</c:v>
                  </c:pt>
                  <c:pt idx="2">
                    <c:v>2.9059326290271157</c:v>
                  </c:pt>
                  <c:pt idx="3">
                    <c:v>2.3333333333333339</c:v>
                  </c:pt>
                  <c:pt idx="4">
                    <c:v>5.8404718226450756</c:v>
                  </c:pt>
                </c:numCache>
              </c:numRef>
            </c:minus>
            <c:spPr>
              <a:noFill/>
              <a:ln w="9525" cap="flat" cmpd="sng" algn="ctr">
                <a:solidFill>
                  <a:schemeClr val="tx1">
                    <a:lumMod val="65000"/>
                    <a:lumOff val="35000"/>
                  </a:schemeClr>
                </a:solidFill>
                <a:round/>
              </a:ln>
              <a:effectLst/>
            </c:spPr>
          </c:errBars>
          <c:cat>
            <c:strRef>
              <c:f>'[Graph for Hau sampling.xlsx]Sheet2'!$H$4:$H$8</c:f>
              <c:strCache>
                <c:ptCount val="5"/>
                <c:pt idx="0">
                  <c:v>Avenue farm</c:v>
                </c:pt>
                <c:pt idx="1">
                  <c:v>Flat Noek </c:v>
                </c:pt>
                <c:pt idx="2">
                  <c:v>Chetwynd</c:v>
                </c:pt>
                <c:pt idx="3">
                  <c:v>C-tree</c:v>
                </c:pt>
                <c:pt idx="4">
                  <c:v>Crab L9</c:v>
                </c:pt>
              </c:strCache>
            </c:strRef>
          </c:cat>
          <c:val>
            <c:numRef>
              <c:f>'[Graph for Hau sampling.xlsx]Sheet2'!$I$4:$I$8</c:f>
              <c:numCache>
                <c:formatCode>General</c:formatCode>
                <c:ptCount val="5"/>
                <c:pt idx="0">
                  <c:v>3.3333333333333335</c:v>
                </c:pt>
                <c:pt idx="1">
                  <c:v>2.3333333333333335</c:v>
                </c:pt>
                <c:pt idx="2">
                  <c:v>8.6666666666666661</c:v>
                </c:pt>
                <c:pt idx="3">
                  <c:v>10.333333333333334</c:v>
                </c:pt>
                <c:pt idx="4">
                  <c:v>30.333333333333332</c:v>
                </c:pt>
              </c:numCache>
            </c:numRef>
          </c:val>
          <c:extLst>
            <c:ext xmlns:c16="http://schemas.microsoft.com/office/drawing/2014/chart" uri="{C3380CC4-5D6E-409C-BE32-E72D297353CC}">
              <c16:uniqueId val="{00000000-5037-4E0D-97CD-A12A0386405C}"/>
            </c:ext>
          </c:extLst>
        </c:ser>
        <c:dLbls>
          <c:showLegendKey val="0"/>
          <c:showVal val="0"/>
          <c:showCatName val="0"/>
          <c:showSerName val="0"/>
          <c:showPercent val="0"/>
          <c:showBubbleSize val="0"/>
        </c:dLbls>
        <c:gapWidth val="182"/>
        <c:axId val="1109283679"/>
        <c:axId val="1266150463"/>
      </c:barChart>
      <c:catAx>
        <c:axId val="1109283679"/>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r>
                  <a:rPr lang="en-GB" sz="1100" b="0"/>
                  <a:t>Sites</a:t>
                </a:r>
                <a:r>
                  <a:rPr lang="en-GB"/>
                  <a:t> </a:t>
                </a:r>
              </a:p>
            </c:rich>
          </c:tx>
          <c:layout>
            <c:manualLayout>
              <c:xMode val="edge"/>
              <c:yMode val="edge"/>
              <c:x val="9.9287589051368554E-3"/>
              <c:y val="0.3452875928197417"/>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66150463"/>
        <c:crosses val="autoZero"/>
        <c:auto val="1"/>
        <c:lblAlgn val="ctr"/>
        <c:lblOffset val="100"/>
        <c:noMultiLvlLbl val="0"/>
      </c:catAx>
      <c:valAx>
        <c:axId val="1266150463"/>
        <c:scaling>
          <c:orientation val="minMax"/>
          <c:min val="0"/>
        </c:scaling>
        <c:delete val="0"/>
        <c:axPos val="b"/>
        <c:title>
          <c:tx>
            <c:rich>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r>
                  <a:rPr lang="en-GB"/>
                  <a:t>Average SRN in 100g soil </a:t>
                </a:r>
              </a:p>
            </c:rich>
          </c:tx>
          <c:layout>
            <c:manualLayout>
              <c:xMode val="edge"/>
              <c:yMode val="edge"/>
              <c:x val="0.45130937580170899"/>
              <c:y val="0.920280932220155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0928367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chemeClr val="tx1"/>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Sheet3!$M$3</c:f>
              <c:strCache>
                <c:ptCount val="1"/>
                <c:pt idx="0">
                  <c:v>Pi</c:v>
                </c:pt>
              </c:strCache>
            </c:strRef>
          </c:tx>
          <c:spPr>
            <a:ln w="28575" cap="rnd">
              <a:solidFill>
                <a:schemeClr val="tx1"/>
              </a:solidFill>
              <a:round/>
            </a:ln>
            <a:effectLst/>
          </c:spPr>
          <c:marker>
            <c:symbol val="none"/>
          </c:marker>
          <c:cat>
            <c:strRef>
              <c:f>Sheet3!$L$4:$L$20</c:f>
              <c:strCache>
                <c:ptCount val="17"/>
                <c:pt idx="0">
                  <c:v>Alfafa</c:v>
                </c:pt>
                <c:pt idx="1">
                  <c:v>Berseem clover</c:v>
                </c:pt>
                <c:pt idx="2">
                  <c:v>Buckwheat </c:v>
                </c:pt>
                <c:pt idx="3">
                  <c:v>Chickling vetch </c:v>
                </c:pt>
                <c:pt idx="4">
                  <c:v>Daikon radish </c:v>
                </c:pt>
                <c:pt idx="5">
                  <c:v>Endophyte grass </c:v>
                </c:pt>
                <c:pt idx="6">
                  <c:v>Ethipiaan mustard </c:v>
                </c:pt>
                <c:pt idx="7">
                  <c:v>Forage rape </c:v>
                </c:pt>
                <c:pt idx="8">
                  <c:v>Indian mustard </c:v>
                </c:pt>
                <c:pt idx="9">
                  <c:v>Italian rye grass </c:v>
                </c:pt>
                <c:pt idx="10">
                  <c:v>Japanese black oats </c:v>
                </c:pt>
                <c:pt idx="11">
                  <c:v>Oil radish </c:v>
                </c:pt>
                <c:pt idx="12">
                  <c:v>Opium poppy </c:v>
                </c:pt>
                <c:pt idx="13">
                  <c:v>Phacelia </c:v>
                </c:pt>
                <c:pt idx="14">
                  <c:v>Rocket lettuce </c:v>
                </c:pt>
                <c:pt idx="15">
                  <c:v>Sorghum sudan grass </c:v>
                </c:pt>
                <c:pt idx="16">
                  <c:v>Fallow </c:v>
                </c:pt>
              </c:strCache>
            </c:strRef>
          </c:cat>
          <c:val>
            <c:numRef>
              <c:f>Sheet3!$M$4:$M$20</c:f>
              <c:numCache>
                <c:formatCode>General</c:formatCode>
                <c:ptCount val="17"/>
                <c:pt idx="0">
                  <c:v>150.42857142857142</c:v>
                </c:pt>
                <c:pt idx="1">
                  <c:v>143</c:v>
                </c:pt>
                <c:pt idx="2">
                  <c:v>102.14285714285714</c:v>
                </c:pt>
                <c:pt idx="3">
                  <c:v>163.42857142857142</c:v>
                </c:pt>
                <c:pt idx="4">
                  <c:v>174.57142857142858</c:v>
                </c:pt>
                <c:pt idx="5">
                  <c:v>139.28571428571428</c:v>
                </c:pt>
                <c:pt idx="6">
                  <c:v>131.85714285714286</c:v>
                </c:pt>
                <c:pt idx="7">
                  <c:v>135.57142857142858</c:v>
                </c:pt>
                <c:pt idx="8">
                  <c:v>157.85714285714286</c:v>
                </c:pt>
                <c:pt idx="9">
                  <c:v>215.42857142857142</c:v>
                </c:pt>
                <c:pt idx="10">
                  <c:v>128.14285714285714</c:v>
                </c:pt>
                <c:pt idx="11">
                  <c:v>146.71428571428572</c:v>
                </c:pt>
                <c:pt idx="12">
                  <c:v>137.42857142857142</c:v>
                </c:pt>
                <c:pt idx="13">
                  <c:v>115.14285714285714</c:v>
                </c:pt>
                <c:pt idx="14">
                  <c:v>92.857142857142861</c:v>
                </c:pt>
                <c:pt idx="15">
                  <c:v>137.42857142857142</c:v>
                </c:pt>
                <c:pt idx="16">
                  <c:v>137.42857142857142</c:v>
                </c:pt>
              </c:numCache>
            </c:numRef>
          </c:val>
          <c:smooth val="0"/>
          <c:extLst>
            <c:ext xmlns:c16="http://schemas.microsoft.com/office/drawing/2014/chart" uri="{C3380CC4-5D6E-409C-BE32-E72D297353CC}">
              <c16:uniqueId val="{00000000-2E70-4A10-8D98-265AE3F26FC0}"/>
            </c:ext>
          </c:extLst>
        </c:ser>
        <c:ser>
          <c:idx val="1"/>
          <c:order val="1"/>
          <c:tx>
            <c:strRef>
              <c:f>Sheet3!$N$3</c:f>
              <c:strCache>
                <c:ptCount val="1"/>
                <c:pt idx="0">
                  <c:v>Pf</c:v>
                </c:pt>
              </c:strCache>
            </c:strRef>
          </c:tx>
          <c:spPr>
            <a:ln w="28575" cap="rnd">
              <a:solidFill>
                <a:srgbClr val="7030A0"/>
              </a:solidFill>
              <a:round/>
            </a:ln>
            <a:effectLst/>
          </c:spPr>
          <c:marker>
            <c:symbol val="none"/>
          </c:marker>
          <c:cat>
            <c:strRef>
              <c:f>Sheet3!$L$4:$L$20</c:f>
              <c:strCache>
                <c:ptCount val="17"/>
                <c:pt idx="0">
                  <c:v>Alfafa</c:v>
                </c:pt>
                <c:pt idx="1">
                  <c:v>Berseem clover</c:v>
                </c:pt>
                <c:pt idx="2">
                  <c:v>Buckwheat </c:v>
                </c:pt>
                <c:pt idx="3">
                  <c:v>Chickling vetch </c:v>
                </c:pt>
                <c:pt idx="4">
                  <c:v>Daikon radish </c:v>
                </c:pt>
                <c:pt idx="5">
                  <c:v>Endophyte grass </c:v>
                </c:pt>
                <c:pt idx="6">
                  <c:v>Ethipiaan mustard </c:v>
                </c:pt>
                <c:pt idx="7">
                  <c:v>Forage rape </c:v>
                </c:pt>
                <c:pt idx="8">
                  <c:v>Indian mustard </c:v>
                </c:pt>
                <c:pt idx="9">
                  <c:v>Italian rye grass </c:v>
                </c:pt>
                <c:pt idx="10">
                  <c:v>Japanese black oats </c:v>
                </c:pt>
                <c:pt idx="11">
                  <c:v>Oil radish </c:v>
                </c:pt>
                <c:pt idx="12">
                  <c:v>Opium poppy </c:v>
                </c:pt>
                <c:pt idx="13">
                  <c:v>Phacelia </c:v>
                </c:pt>
                <c:pt idx="14">
                  <c:v>Rocket lettuce </c:v>
                </c:pt>
                <c:pt idx="15">
                  <c:v>Sorghum sudan grass </c:v>
                </c:pt>
                <c:pt idx="16">
                  <c:v>Fallow </c:v>
                </c:pt>
              </c:strCache>
            </c:strRef>
          </c:cat>
          <c:val>
            <c:numRef>
              <c:f>Sheet3!$N$4:$N$20</c:f>
              <c:numCache>
                <c:formatCode>General</c:formatCode>
                <c:ptCount val="17"/>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numCache>
            </c:numRef>
          </c:val>
          <c:smooth val="0"/>
          <c:extLst>
            <c:ext xmlns:c16="http://schemas.microsoft.com/office/drawing/2014/chart" uri="{C3380CC4-5D6E-409C-BE32-E72D297353CC}">
              <c16:uniqueId val="{00000001-2E70-4A10-8D98-265AE3F26FC0}"/>
            </c:ext>
          </c:extLst>
        </c:ser>
        <c:dLbls>
          <c:showLegendKey val="0"/>
          <c:showVal val="0"/>
          <c:showCatName val="0"/>
          <c:showSerName val="0"/>
          <c:showPercent val="0"/>
          <c:showBubbleSize val="0"/>
        </c:dLbls>
        <c:smooth val="0"/>
        <c:axId val="1217167519"/>
        <c:axId val="1206256927"/>
      </c:lineChart>
      <c:catAx>
        <c:axId val="1217167519"/>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r>
                  <a:rPr lang="en-GB"/>
                  <a:t>Cover crop treatments </a:t>
                </a:r>
              </a:p>
            </c:rich>
          </c:tx>
          <c:layout>
            <c:manualLayout>
              <c:xMode val="edge"/>
              <c:yMode val="edge"/>
              <c:x val="0.38064865767730149"/>
              <c:y val="0.9134284028273906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06256927"/>
        <c:crosses val="autoZero"/>
        <c:auto val="1"/>
        <c:lblAlgn val="ctr"/>
        <c:lblOffset val="100"/>
        <c:noMultiLvlLbl val="0"/>
      </c:catAx>
      <c:valAx>
        <c:axId val="1206256927"/>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r>
                  <a:rPr lang="en-GB"/>
                  <a:t>Average SRN /Pot</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17167519"/>
        <c:crosses val="autoZero"/>
        <c:crossBetween val="between"/>
      </c:valAx>
      <c:spPr>
        <a:noFill/>
        <a:ln>
          <a:noFill/>
        </a:ln>
        <a:effectLst/>
      </c:spPr>
    </c:plotArea>
    <c:legend>
      <c:legendPos val="b"/>
      <c:layout>
        <c:manualLayout>
          <c:xMode val="edge"/>
          <c:yMode val="edge"/>
          <c:x val="0.7689371211817474"/>
          <c:y val="2.2957754154818065E-2"/>
          <c:w val="0.14693617817025811"/>
          <c:h val="0.1498420642806963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2700" cap="flat" cmpd="sng" algn="ctr">
      <a:noFill/>
      <a:prstDash val="solid"/>
      <a:miter lim="800000"/>
    </a:ln>
    <a:effectLst/>
  </c:spPr>
  <c:txPr>
    <a:bodyPr/>
    <a:lstStyle/>
    <a:p>
      <a:pPr>
        <a:defRPr sz="1050">
          <a:solidFill>
            <a:schemeClr val="tx1"/>
          </a:solidFill>
          <a:latin typeface="Arial" panose="020B0604020202020204" pitchFamily="34" charset="0"/>
          <a:ea typeface="+mn-ea"/>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93306112451743"/>
          <c:y val="0.18149858509838737"/>
          <c:w val="0.77817794035588073"/>
          <c:h val="0.63751384179167381"/>
        </c:manualLayout>
      </c:layout>
      <c:barChart>
        <c:barDir val="col"/>
        <c:grouping val="clustered"/>
        <c:varyColors val="0"/>
        <c:ser>
          <c:idx val="0"/>
          <c:order val="0"/>
          <c:tx>
            <c:strRef>
              <c:f>'[Chart in Microsoft Word]Sheet1'!$B$38</c:f>
              <c:strCache>
                <c:ptCount val="1"/>
                <c:pt idx="0">
                  <c:v>Before planting (Pi) </c:v>
                </c:pt>
              </c:strCache>
            </c:strRef>
          </c:tx>
          <c:spPr>
            <a:solidFill>
              <a:schemeClr val="bg1"/>
            </a:solidFill>
            <a:ln>
              <a:solidFill>
                <a:schemeClr val="tx1"/>
              </a:solidFill>
            </a:ln>
            <a:effectLst/>
          </c:spPr>
          <c:invertIfNegative val="0"/>
          <c:errBars>
            <c:errBarType val="both"/>
            <c:errValType val="cust"/>
            <c:noEndCap val="0"/>
            <c:plus>
              <c:numRef>
                <c:f>'[Chart in Microsoft Word]Sheet1'!$B$26:$B$29</c:f>
                <c:numCache>
                  <c:formatCode>General</c:formatCode>
                  <c:ptCount val="4"/>
                  <c:pt idx="0">
                    <c:v>5.2019227214559809</c:v>
                  </c:pt>
                  <c:pt idx="1">
                    <c:v>1.5937377450509229</c:v>
                  </c:pt>
                  <c:pt idx="2">
                    <c:v>1.3928388277184121</c:v>
                  </c:pt>
                  <c:pt idx="3">
                    <c:v>3.8026306683663087</c:v>
                  </c:pt>
                </c:numCache>
              </c:numRef>
            </c:plus>
            <c:minus>
              <c:numRef>
                <c:f>'[Chart in Microsoft Word]Sheet1'!$B$26:$B$29</c:f>
                <c:numCache>
                  <c:formatCode>General</c:formatCode>
                  <c:ptCount val="4"/>
                  <c:pt idx="0">
                    <c:v>5.2019227214559809</c:v>
                  </c:pt>
                  <c:pt idx="1">
                    <c:v>1.5937377450509229</c:v>
                  </c:pt>
                  <c:pt idx="2">
                    <c:v>1.3928388277184121</c:v>
                  </c:pt>
                  <c:pt idx="3">
                    <c:v>3.8026306683663087</c:v>
                  </c:pt>
                </c:numCache>
              </c:numRef>
            </c:minus>
            <c:spPr>
              <a:noFill/>
              <a:ln w="9525" cap="flat" cmpd="sng" algn="ctr">
                <a:solidFill>
                  <a:schemeClr val="tx1">
                    <a:lumMod val="65000"/>
                    <a:lumOff val="35000"/>
                  </a:schemeClr>
                </a:solidFill>
                <a:round/>
              </a:ln>
              <a:effectLst/>
            </c:spPr>
          </c:errBars>
          <c:cat>
            <c:strRef>
              <c:f>'[Chart in Microsoft Word]Sheet1'!$A$39:$A$42</c:f>
              <c:strCache>
                <c:ptCount val="4"/>
                <c:pt idx="0">
                  <c:v>Brons </c:v>
                </c:pt>
                <c:pt idx="1">
                  <c:v>Daikon</c:v>
                </c:pt>
                <c:pt idx="2">
                  <c:v>Terranova </c:v>
                </c:pt>
                <c:pt idx="3">
                  <c:v>fallow </c:v>
                </c:pt>
              </c:strCache>
            </c:strRef>
          </c:cat>
          <c:val>
            <c:numRef>
              <c:f>'[Chart in Microsoft Word]Sheet1'!$B$39:$B$42</c:f>
              <c:numCache>
                <c:formatCode>General</c:formatCode>
                <c:ptCount val="4"/>
                <c:pt idx="0">
                  <c:v>57.999999999999993</c:v>
                </c:pt>
                <c:pt idx="1">
                  <c:v>34</c:v>
                </c:pt>
                <c:pt idx="2">
                  <c:v>88.000000000000014</c:v>
                </c:pt>
                <c:pt idx="3">
                  <c:v>26.000000000000004</c:v>
                </c:pt>
              </c:numCache>
            </c:numRef>
          </c:val>
          <c:extLst>
            <c:ext xmlns:c16="http://schemas.microsoft.com/office/drawing/2014/chart" uri="{C3380CC4-5D6E-409C-BE32-E72D297353CC}">
              <c16:uniqueId val="{00000000-E006-4DE2-9752-5259E2B0F1E7}"/>
            </c:ext>
          </c:extLst>
        </c:ser>
        <c:ser>
          <c:idx val="1"/>
          <c:order val="1"/>
          <c:tx>
            <c:strRef>
              <c:f>'[Chart in Microsoft Word]Sheet1'!$C$38</c:f>
              <c:strCache>
                <c:ptCount val="1"/>
                <c:pt idx="0">
                  <c:v>4 weeks after Planting </c:v>
                </c:pt>
              </c:strCache>
            </c:strRef>
          </c:tx>
          <c:spPr>
            <a:solidFill>
              <a:schemeClr val="bg2"/>
            </a:solidFill>
            <a:ln>
              <a:solidFill>
                <a:schemeClr val="tx1"/>
              </a:solidFill>
            </a:ln>
            <a:effectLst/>
          </c:spPr>
          <c:invertIfNegative val="0"/>
          <c:errBars>
            <c:errBarType val="both"/>
            <c:errValType val="cust"/>
            <c:noEndCap val="0"/>
            <c:plus>
              <c:numRef>
                <c:f>'[Chart in Microsoft Word]Sheet1'!$D$26:$D$29</c:f>
                <c:numCache>
                  <c:formatCode>General</c:formatCode>
                  <c:ptCount val="4"/>
                  <c:pt idx="0">
                    <c:v>0.37416573867739417</c:v>
                  </c:pt>
                  <c:pt idx="1">
                    <c:v>0.24494897427831774</c:v>
                  </c:pt>
                  <c:pt idx="2">
                    <c:v>1.691153452528777</c:v>
                  </c:pt>
                  <c:pt idx="3">
                    <c:v>0.83666002653407545</c:v>
                  </c:pt>
                </c:numCache>
              </c:numRef>
            </c:plus>
            <c:minus>
              <c:numRef>
                <c:f>'[Chart in Microsoft Word]Sheet1'!$D$26:$D$29</c:f>
                <c:numCache>
                  <c:formatCode>General</c:formatCode>
                  <c:ptCount val="4"/>
                  <c:pt idx="0">
                    <c:v>0.37416573867739417</c:v>
                  </c:pt>
                  <c:pt idx="1">
                    <c:v>0.24494897427831774</c:v>
                  </c:pt>
                  <c:pt idx="2">
                    <c:v>1.691153452528777</c:v>
                  </c:pt>
                  <c:pt idx="3">
                    <c:v>0.83666002653407545</c:v>
                  </c:pt>
                </c:numCache>
              </c:numRef>
            </c:minus>
            <c:spPr>
              <a:noFill/>
              <a:ln w="9525" cap="flat" cmpd="sng" algn="ctr">
                <a:solidFill>
                  <a:schemeClr val="tx1">
                    <a:lumMod val="65000"/>
                    <a:lumOff val="35000"/>
                  </a:schemeClr>
                </a:solidFill>
                <a:round/>
              </a:ln>
              <a:effectLst/>
            </c:spPr>
          </c:errBars>
          <c:cat>
            <c:strRef>
              <c:f>'[Chart in Microsoft Word]Sheet1'!$A$39:$A$42</c:f>
              <c:strCache>
                <c:ptCount val="4"/>
                <c:pt idx="0">
                  <c:v>Brons </c:v>
                </c:pt>
                <c:pt idx="1">
                  <c:v>Daikon</c:v>
                </c:pt>
                <c:pt idx="2">
                  <c:v>Terranova </c:v>
                </c:pt>
                <c:pt idx="3">
                  <c:v>fallow </c:v>
                </c:pt>
              </c:strCache>
            </c:strRef>
          </c:cat>
          <c:val>
            <c:numRef>
              <c:f>'[Chart in Microsoft Word]Sheet1'!$C$39:$C$42</c:f>
              <c:numCache>
                <c:formatCode>General</c:formatCode>
                <c:ptCount val="4"/>
                <c:pt idx="0">
                  <c:v>11.000000000000002</c:v>
                </c:pt>
                <c:pt idx="1">
                  <c:v>8</c:v>
                </c:pt>
                <c:pt idx="2">
                  <c:v>15</c:v>
                </c:pt>
                <c:pt idx="3">
                  <c:v>57.999999999999993</c:v>
                </c:pt>
              </c:numCache>
            </c:numRef>
          </c:val>
          <c:extLst>
            <c:ext xmlns:c16="http://schemas.microsoft.com/office/drawing/2014/chart" uri="{C3380CC4-5D6E-409C-BE32-E72D297353CC}">
              <c16:uniqueId val="{00000001-E006-4DE2-9752-5259E2B0F1E7}"/>
            </c:ext>
          </c:extLst>
        </c:ser>
        <c:dLbls>
          <c:showLegendKey val="0"/>
          <c:showVal val="0"/>
          <c:showCatName val="0"/>
          <c:showSerName val="0"/>
          <c:showPercent val="0"/>
          <c:showBubbleSize val="0"/>
        </c:dLbls>
        <c:gapWidth val="219"/>
        <c:axId val="1142831807"/>
        <c:axId val="1070287647"/>
      </c:barChart>
      <c:catAx>
        <c:axId val="1142831807"/>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GB" sz="1100">
                    <a:latin typeface="Arial" panose="020B0604020202020204" pitchFamily="34" charset="0"/>
                    <a:cs typeface="Arial" panose="020B0604020202020204" pitchFamily="34" charset="0"/>
                  </a:rPr>
                  <a:t>Cover crop treatments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70287647"/>
        <c:crosses val="autoZero"/>
        <c:auto val="1"/>
        <c:lblAlgn val="ctr"/>
        <c:lblOffset val="100"/>
        <c:noMultiLvlLbl val="0"/>
      </c:catAx>
      <c:valAx>
        <c:axId val="1070287647"/>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GB" sz="1100">
                    <a:latin typeface="Arial" panose="020B0604020202020204" pitchFamily="34" charset="0"/>
                    <a:cs typeface="Arial" panose="020B0604020202020204" pitchFamily="34" charset="0"/>
                  </a:rPr>
                  <a:t>Stubby root nematodes</a:t>
                </a:r>
                <a:r>
                  <a:rPr lang="en-GB" sz="1100" baseline="0">
                    <a:latin typeface="Arial" panose="020B0604020202020204" pitchFamily="34" charset="0"/>
                    <a:cs typeface="Arial" panose="020B0604020202020204" pitchFamily="34" charset="0"/>
                  </a:rPr>
                  <a:t> </a:t>
                </a:r>
                <a:r>
                  <a:rPr lang="en-GB" sz="1100">
                    <a:latin typeface="Arial" panose="020B0604020202020204" pitchFamily="34" charset="0"/>
                    <a:cs typeface="Arial" panose="020B0604020202020204" pitchFamily="34" charset="0"/>
                  </a:rPr>
                  <a:t>l</a:t>
                </a:r>
                <a:r>
                  <a:rPr lang="en-GB" sz="1100" baseline="30000">
                    <a:latin typeface="Arial" panose="020B0604020202020204" pitchFamily="34" charset="0"/>
                    <a:cs typeface="Arial" panose="020B0604020202020204" pitchFamily="34" charset="0"/>
                  </a:rPr>
                  <a:t>-1</a:t>
                </a:r>
                <a:r>
                  <a:rPr lang="en-GB" sz="1100">
                    <a:latin typeface="Arial" panose="020B0604020202020204" pitchFamily="34" charset="0"/>
                    <a:cs typeface="Arial" panose="020B0604020202020204" pitchFamily="34" charset="0"/>
                  </a:rPr>
                  <a:t> soil</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42831807"/>
        <c:crosses val="autoZero"/>
        <c:crossBetween val="between"/>
        <c:majorUnit val="20"/>
      </c:valAx>
      <c:spPr>
        <a:noFill/>
        <a:ln>
          <a:noFill/>
        </a:ln>
        <a:effectLst/>
      </c:spPr>
    </c:plotArea>
    <c:legend>
      <c:legendPos val="b"/>
      <c:layout>
        <c:manualLayout>
          <c:xMode val="edge"/>
          <c:yMode val="edge"/>
          <c:x val="0.18830151216695076"/>
          <c:y val="0.11236135805604949"/>
          <c:w val="0.65441846912942658"/>
          <c:h val="6.137944556590867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chemeClr val="tx1"/>
          </a:solidFill>
          <a:latin typeface="Arial Narrow" panose="020B0606020202030204" pitchFamily="34"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962641352074"/>
          <c:y val="0.10715112784814941"/>
          <c:w val="0.78399434899133646"/>
          <c:h val="0.67076299387852145"/>
        </c:manualLayout>
      </c:layout>
      <c:barChart>
        <c:barDir val="col"/>
        <c:grouping val="clustered"/>
        <c:varyColors val="0"/>
        <c:ser>
          <c:idx val="0"/>
          <c:order val="0"/>
          <c:spPr>
            <a:solidFill>
              <a:schemeClr val="bg1"/>
            </a:solidFill>
            <a:ln>
              <a:solidFill>
                <a:schemeClr val="tx1"/>
              </a:solidFill>
            </a:ln>
            <a:effectLst/>
          </c:spPr>
          <c:invertIfNegative val="0"/>
          <c:errBars>
            <c:errBarType val="both"/>
            <c:errValType val="cust"/>
            <c:noEndCap val="0"/>
            <c:plus>
              <c:numRef>
                <c:f>Sheet1!$D$13:$D$16</c:f>
                <c:numCache>
                  <c:formatCode>General</c:formatCode>
                  <c:ptCount val="4"/>
                  <c:pt idx="0">
                    <c:v>0.10324593080695457</c:v>
                  </c:pt>
                  <c:pt idx="1">
                    <c:v>9.7836560972607498E-2</c:v>
                  </c:pt>
                  <c:pt idx="2">
                    <c:v>2.7422648284635386E-2</c:v>
                  </c:pt>
                  <c:pt idx="3">
                    <c:v>0.94074438611133893</c:v>
                  </c:pt>
                </c:numCache>
              </c:numRef>
            </c:plus>
            <c:minus>
              <c:numRef>
                <c:f>Sheet1!$D$13:$D$16</c:f>
                <c:numCache>
                  <c:formatCode>General</c:formatCode>
                  <c:ptCount val="4"/>
                  <c:pt idx="0">
                    <c:v>0.10324593080695457</c:v>
                  </c:pt>
                  <c:pt idx="1">
                    <c:v>9.7836560972607498E-2</c:v>
                  </c:pt>
                  <c:pt idx="2">
                    <c:v>2.7422648284635386E-2</c:v>
                  </c:pt>
                  <c:pt idx="3">
                    <c:v>0.94074438611133893</c:v>
                  </c:pt>
                </c:numCache>
              </c:numRef>
            </c:minus>
            <c:spPr>
              <a:noFill/>
              <a:ln w="6350" cap="flat" cmpd="sng" algn="ctr">
                <a:solidFill>
                  <a:schemeClr val="dk1"/>
                </a:solidFill>
                <a:prstDash val="solid"/>
                <a:miter lim="800000"/>
              </a:ln>
              <a:effectLst/>
            </c:spPr>
          </c:errBars>
          <c:cat>
            <c:strRef>
              <c:f>Sheet1!$A$13:$A$16</c:f>
              <c:strCache>
                <c:ptCount val="4"/>
                <c:pt idx="0">
                  <c:v>Brons </c:v>
                </c:pt>
                <c:pt idx="1">
                  <c:v>Daikon </c:v>
                </c:pt>
                <c:pt idx="2">
                  <c:v>Terranova</c:v>
                </c:pt>
                <c:pt idx="3">
                  <c:v>fallow </c:v>
                </c:pt>
              </c:strCache>
            </c:strRef>
          </c:cat>
          <c:val>
            <c:numRef>
              <c:f>Sheet1!$B$13:$B$16</c:f>
              <c:numCache>
                <c:formatCode>General</c:formatCode>
                <c:ptCount val="4"/>
                <c:pt idx="0">
                  <c:v>0.32083333339999998</c:v>
                </c:pt>
                <c:pt idx="1">
                  <c:v>0.30818181820000001</c:v>
                </c:pt>
                <c:pt idx="2">
                  <c:v>0.17799243079999999</c:v>
                </c:pt>
                <c:pt idx="3">
                  <c:v>3.1</c:v>
                </c:pt>
              </c:numCache>
            </c:numRef>
          </c:val>
          <c:extLst>
            <c:ext xmlns:c16="http://schemas.microsoft.com/office/drawing/2014/chart" uri="{C3380CC4-5D6E-409C-BE32-E72D297353CC}">
              <c16:uniqueId val="{00000000-A9DC-4D6E-9F30-5335E66E9A2B}"/>
            </c:ext>
          </c:extLst>
        </c:ser>
        <c:dLbls>
          <c:showLegendKey val="0"/>
          <c:showVal val="0"/>
          <c:showCatName val="0"/>
          <c:showSerName val="0"/>
          <c:showPercent val="0"/>
          <c:showBubbleSize val="0"/>
        </c:dLbls>
        <c:gapWidth val="219"/>
        <c:overlap val="-27"/>
        <c:axId val="983832895"/>
        <c:axId val="887878463"/>
      </c:barChart>
      <c:catAx>
        <c:axId val="983832895"/>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GB"/>
                  <a:t> Cover crop treatments</a:t>
                </a:r>
              </a:p>
            </c:rich>
          </c:tx>
          <c:layout>
            <c:manualLayout>
              <c:xMode val="edge"/>
              <c:yMode val="edge"/>
              <c:x val="0.2960290238547108"/>
              <c:y val="0.8965314610500491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87878463"/>
        <c:crosses val="autoZero"/>
        <c:auto val="1"/>
        <c:lblAlgn val="ctr"/>
        <c:lblOffset val="100"/>
        <c:noMultiLvlLbl val="0"/>
      </c:catAx>
      <c:valAx>
        <c:axId val="887878463"/>
        <c:scaling>
          <c:orientation val="minMax"/>
          <c:max val="5"/>
          <c:min val="0"/>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GB"/>
                  <a:t>Reproduction factor (Rf)</a:t>
                </a:r>
              </a:p>
            </c:rich>
          </c:tx>
          <c:layout>
            <c:manualLayout>
              <c:xMode val="edge"/>
              <c:yMode val="edge"/>
              <c:x val="2.8263784107200266E-2"/>
              <c:y val="0.204301965212098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83832895"/>
        <c:crosses val="autoZero"/>
        <c:crossBetween val="between"/>
        <c:majorUnit val="1"/>
      </c:valAx>
      <c:spPr>
        <a:solidFill>
          <a:schemeClr val="bg1"/>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0.34791</cdr:x>
      <cdr:y>0.07532</cdr:y>
    </cdr:from>
    <cdr:to>
      <cdr:x>0.37681</cdr:x>
      <cdr:y>0.12817</cdr:y>
    </cdr:to>
    <cdr:sp macro="" textlink="">
      <cdr:nvSpPr>
        <cdr:cNvPr id="4" name="TextBox 3">
          <a:extLst xmlns:a="http://schemas.openxmlformats.org/drawingml/2006/main">
            <a:ext uri="{FF2B5EF4-FFF2-40B4-BE49-F238E27FC236}">
              <a16:creationId xmlns:a16="http://schemas.microsoft.com/office/drawing/2014/main" id="{945BACDC-687A-4717-985A-7BB7F855F933}"/>
            </a:ext>
          </a:extLst>
        </cdr:cNvPr>
        <cdr:cNvSpPr txBox="1"/>
      </cdr:nvSpPr>
      <cdr:spPr>
        <a:xfrm xmlns:a="http://schemas.openxmlformats.org/drawingml/2006/main">
          <a:off x="3161619" y="398599"/>
          <a:ext cx="262597" cy="2797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0.52863</cdr:x>
      <cdr:y>0.39113</cdr:y>
    </cdr:from>
    <cdr:to>
      <cdr:x>0.57393</cdr:x>
      <cdr:y>0.46626</cdr:y>
    </cdr:to>
    <cdr:sp macro="" textlink="">
      <cdr:nvSpPr>
        <cdr:cNvPr id="7" name="TextBox 6">
          <a:extLst xmlns:a="http://schemas.openxmlformats.org/drawingml/2006/main">
            <a:ext uri="{FF2B5EF4-FFF2-40B4-BE49-F238E27FC236}">
              <a16:creationId xmlns:a16="http://schemas.microsoft.com/office/drawing/2014/main" id="{B3BB5CD1-1E49-42AD-A4F0-B3474056353C}"/>
            </a:ext>
          </a:extLst>
        </cdr:cNvPr>
        <cdr:cNvSpPr txBox="1"/>
      </cdr:nvSpPr>
      <cdr:spPr>
        <a:xfrm xmlns:a="http://schemas.openxmlformats.org/drawingml/2006/main">
          <a:off x="5108772" y="2094315"/>
          <a:ext cx="437795" cy="4022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0.77064</cdr:x>
      <cdr:y>0.36973</cdr:y>
    </cdr:from>
    <cdr:to>
      <cdr:x>0.82475</cdr:x>
      <cdr:y>0.50373</cdr:y>
    </cdr:to>
    <cdr:grpSp>
      <cdr:nvGrpSpPr>
        <cdr:cNvPr id="2" name="Group 1"/>
        <cdr:cNvGrpSpPr/>
      </cdr:nvGrpSpPr>
      <cdr:grpSpPr>
        <a:xfrm xmlns:a="http://schemas.openxmlformats.org/drawingml/2006/main">
          <a:off x="3420586" y="1567135"/>
          <a:ext cx="240175" cy="567975"/>
          <a:chOff x="-3332956" y="-3114675"/>
          <a:chExt cx="598223" cy="438150"/>
        </a:xfrm>
      </cdr:grpSpPr>
      <cdr:cxnSp macro="">
        <cdr:nvCxnSpPr>
          <cdr:cNvPr id="3" name="Straight Connector 2"/>
          <cdr:cNvCxnSpPr/>
        </cdr:nvCxnSpPr>
        <cdr:spPr>
          <a:xfrm xmlns:a="http://schemas.openxmlformats.org/drawingml/2006/main" flipH="1">
            <a:off x="-3332956" y="-3114675"/>
            <a:ext cx="598223" cy="0"/>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olid"/>
            <a:miter lim="800000"/>
          </a:ln>
          <a:effectLst xmlns:a="http://schemas.openxmlformats.org/drawingml/2006/main"/>
        </cdr:spPr>
      </cdr:cxnSp>
      <cdr:cxnSp macro="">
        <cdr:nvCxnSpPr>
          <cdr:cNvPr id="4" name="Straight Connector 3"/>
          <cdr:cNvCxnSpPr/>
        </cdr:nvCxnSpPr>
        <cdr:spPr>
          <a:xfrm xmlns:a="http://schemas.openxmlformats.org/drawingml/2006/main">
            <a:off x="-3332956" y="-3114675"/>
            <a:ext cx="0" cy="438150"/>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olid"/>
            <a:miter lim="800000"/>
          </a:ln>
          <a:effectLst xmlns:a="http://schemas.openxmlformats.org/drawingml/2006/main"/>
        </cdr:spPr>
      </cdr:cxnSp>
    </cdr:grpSp>
  </cdr:relSizeAnchor>
  <cdr:relSizeAnchor xmlns:cdr="http://schemas.openxmlformats.org/drawingml/2006/chartDrawing">
    <cdr:from>
      <cdr:x>0.44022</cdr:x>
      <cdr:y>0.60482</cdr:y>
    </cdr:from>
    <cdr:to>
      <cdr:x>0.50644</cdr:x>
      <cdr:y>0.69085</cdr:y>
    </cdr:to>
    <cdr:grpSp>
      <cdr:nvGrpSpPr>
        <cdr:cNvPr id="6" name="Group 5"/>
        <cdr:cNvGrpSpPr/>
      </cdr:nvGrpSpPr>
      <cdr:grpSpPr>
        <a:xfrm xmlns:a="http://schemas.openxmlformats.org/drawingml/2006/main">
          <a:off x="1953986" y="2563586"/>
          <a:ext cx="293914" cy="364671"/>
          <a:chOff x="-3244230" y="-3419477"/>
          <a:chExt cx="539750" cy="438152"/>
        </a:xfrm>
      </cdr:grpSpPr>
      <cdr:cxnSp macro="">
        <cdr:nvCxnSpPr>
          <cdr:cNvPr id="7" name="Straight Connector 6"/>
          <cdr:cNvCxnSpPr/>
        </cdr:nvCxnSpPr>
        <cdr:spPr>
          <a:xfrm xmlns:a="http://schemas.openxmlformats.org/drawingml/2006/main">
            <a:off x="-3239733" y="-3419475"/>
            <a:ext cx="535253" cy="0"/>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olid"/>
            <a:miter lim="800000"/>
          </a:ln>
          <a:effectLst xmlns:a="http://schemas.openxmlformats.org/drawingml/2006/main"/>
        </cdr:spPr>
      </cdr:cxnSp>
      <cdr:cxnSp macro="">
        <cdr:nvCxnSpPr>
          <cdr:cNvPr id="8" name="Straight Connector 7"/>
          <cdr:cNvCxnSpPr/>
        </cdr:nvCxnSpPr>
        <cdr:spPr>
          <a:xfrm xmlns:a="http://schemas.openxmlformats.org/drawingml/2006/main">
            <a:off x="-3244230" y="-3419475"/>
            <a:ext cx="0" cy="438150"/>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olid"/>
            <a:miter lim="800000"/>
          </a:ln>
          <a:effectLst xmlns:a="http://schemas.openxmlformats.org/drawingml/2006/main"/>
        </cdr:spPr>
      </cdr:cxnSp>
    </cdr:grpSp>
  </cdr:relSizeAnchor>
  <cdr:relSizeAnchor xmlns:cdr="http://schemas.openxmlformats.org/drawingml/2006/chartDrawing">
    <cdr:from>
      <cdr:x>0.26855</cdr:x>
      <cdr:y>0.18491</cdr:y>
    </cdr:from>
    <cdr:to>
      <cdr:x>0.3225</cdr:x>
      <cdr:y>0.21637</cdr:y>
    </cdr:to>
    <cdr:grpSp>
      <cdr:nvGrpSpPr>
        <cdr:cNvPr id="9" name="Group 8"/>
        <cdr:cNvGrpSpPr/>
      </cdr:nvGrpSpPr>
      <cdr:grpSpPr>
        <a:xfrm xmlns:a="http://schemas.openxmlformats.org/drawingml/2006/main">
          <a:off x="1191986" y="783771"/>
          <a:ext cx="239485" cy="133350"/>
          <a:chOff x="-3868208" y="-3114675"/>
          <a:chExt cx="535252" cy="438152"/>
        </a:xfrm>
      </cdr:grpSpPr>
      <cdr:cxnSp macro="">
        <cdr:nvCxnSpPr>
          <cdr:cNvPr id="10" name="Straight Connector 9"/>
          <cdr:cNvCxnSpPr/>
        </cdr:nvCxnSpPr>
        <cdr:spPr>
          <a:xfrm xmlns:a="http://schemas.openxmlformats.org/drawingml/2006/main">
            <a:off x="-3868208" y="-3114675"/>
            <a:ext cx="535252" cy="0"/>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olid"/>
            <a:miter lim="800000"/>
          </a:ln>
          <a:effectLst xmlns:a="http://schemas.openxmlformats.org/drawingml/2006/main"/>
        </cdr:spPr>
      </cdr:cxnSp>
      <cdr:cxnSp macro="">
        <cdr:nvCxnSpPr>
          <cdr:cNvPr id="11" name="Straight Connector 10"/>
          <cdr:cNvCxnSpPr/>
        </cdr:nvCxnSpPr>
        <cdr:spPr>
          <a:xfrm xmlns:a="http://schemas.openxmlformats.org/drawingml/2006/main">
            <a:off x="-3332956" y="-3114675"/>
            <a:ext cx="0" cy="438150"/>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olid"/>
            <a:miter lim="800000"/>
          </a:ln>
          <a:effectLst xmlns:a="http://schemas.openxmlformats.org/drawingml/2006/main"/>
        </cdr:spPr>
      </cdr:cxnSp>
    </cdr:grpSp>
  </cdr:relSizeAnchor>
  <cdr:relSizeAnchor xmlns:cdr="http://schemas.openxmlformats.org/drawingml/2006/chartDrawing">
    <cdr:from>
      <cdr:x>0.60589</cdr:x>
      <cdr:y>0.62472</cdr:y>
    </cdr:from>
    <cdr:to>
      <cdr:x>0.65696</cdr:x>
      <cdr:y>0.62472</cdr:y>
    </cdr:to>
    <cdr:grpSp>
      <cdr:nvGrpSpPr>
        <cdr:cNvPr id="12" name="Group 11"/>
        <cdr:cNvGrpSpPr/>
      </cdr:nvGrpSpPr>
      <cdr:grpSpPr>
        <a:xfrm xmlns:a="http://schemas.openxmlformats.org/drawingml/2006/main">
          <a:off x="2689315" y="2647950"/>
          <a:ext cx="226695" cy="0"/>
          <a:chOff x="-15579612" y="-2769428"/>
          <a:chExt cx="1246477" cy="0"/>
        </a:xfrm>
      </cdr:grpSpPr>
      <cdr:cxnSp macro="">
        <cdr:nvCxnSpPr>
          <cdr:cNvPr id="13" name="Straight Connector 12"/>
          <cdr:cNvCxnSpPr/>
        </cdr:nvCxnSpPr>
        <cdr:spPr>
          <a:xfrm xmlns:a="http://schemas.openxmlformats.org/drawingml/2006/main">
            <a:off x="-15579612" y="-2769428"/>
            <a:ext cx="1246477" cy="0"/>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olid"/>
            <a:miter lim="800000"/>
          </a:ln>
          <a:effectLst xmlns:a="http://schemas.openxmlformats.org/drawingml/2006/main"/>
        </cdr:spPr>
      </cdr:cxnSp>
    </cdr:grpSp>
  </cdr:relSizeAnchor>
  <cdr:relSizeAnchor xmlns:cdr="http://schemas.openxmlformats.org/drawingml/2006/chartDrawing">
    <cdr:from>
      <cdr:x>0.76206</cdr:x>
      <cdr:y>0.31012</cdr:y>
    </cdr:from>
    <cdr:to>
      <cdr:x>0.85513</cdr:x>
      <cdr:y>0.37412</cdr:y>
    </cdr:to>
    <cdr:sp macro="" textlink="">
      <cdr:nvSpPr>
        <cdr:cNvPr id="15" name="Text Box 121"/>
        <cdr:cNvSpPr txBox="1"/>
      </cdr:nvSpPr>
      <cdr:spPr>
        <a:xfrm xmlns:a="http://schemas.openxmlformats.org/drawingml/2006/main">
          <a:off x="3382496" y="1314501"/>
          <a:ext cx="413105" cy="27127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Times New Roman" panose="02020603050405020304" pitchFamily="18" charset="0"/>
            </a:rPr>
            <a:t>ns</a:t>
          </a:r>
        </a:p>
      </cdr:txBody>
    </cdr:sp>
  </cdr:relSizeAnchor>
  <cdr:relSizeAnchor xmlns:cdr="http://schemas.openxmlformats.org/drawingml/2006/chartDrawing">
    <cdr:from>
      <cdr:x>0.59163</cdr:x>
      <cdr:y>0.56267</cdr:y>
    </cdr:from>
    <cdr:to>
      <cdr:x>0.6847</cdr:x>
      <cdr:y>0.62667</cdr:y>
    </cdr:to>
    <cdr:sp macro="" textlink="">
      <cdr:nvSpPr>
        <cdr:cNvPr id="16" name="Text Box 121"/>
        <cdr:cNvSpPr txBox="1"/>
      </cdr:nvSpPr>
      <cdr:spPr>
        <a:xfrm xmlns:a="http://schemas.openxmlformats.org/drawingml/2006/main">
          <a:off x="2603500" y="2679700"/>
          <a:ext cx="409575" cy="3048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Times New Roman" panose="02020603050405020304" pitchFamily="18" charset="0"/>
            </a:rPr>
            <a:t>ns</a:t>
          </a:r>
        </a:p>
      </cdr:txBody>
    </cdr:sp>
  </cdr:relSizeAnchor>
  <cdr:relSizeAnchor xmlns:cdr="http://schemas.openxmlformats.org/drawingml/2006/chartDrawing">
    <cdr:from>
      <cdr:x>0.43845</cdr:x>
      <cdr:y>0.5521</cdr:y>
    </cdr:from>
    <cdr:to>
      <cdr:x>0.53153</cdr:x>
      <cdr:y>0.6161</cdr:y>
    </cdr:to>
    <cdr:sp macro="" textlink="">
      <cdr:nvSpPr>
        <cdr:cNvPr id="17" name="Text Box 121"/>
        <cdr:cNvSpPr txBox="1"/>
      </cdr:nvSpPr>
      <cdr:spPr>
        <a:xfrm xmlns:a="http://schemas.openxmlformats.org/drawingml/2006/main">
          <a:off x="1946120" y="2340153"/>
          <a:ext cx="413149" cy="27127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Times New Roman" panose="02020603050405020304" pitchFamily="18" charset="0"/>
            </a:rPr>
            <a:t>ns</a:t>
          </a:r>
        </a:p>
      </cdr:txBody>
    </cdr:sp>
  </cdr:relSizeAnchor>
  <cdr:relSizeAnchor xmlns:cdr="http://schemas.openxmlformats.org/drawingml/2006/chartDrawing">
    <cdr:from>
      <cdr:x>0.2583</cdr:x>
      <cdr:y>0.12467</cdr:y>
    </cdr:from>
    <cdr:to>
      <cdr:x>0.35137</cdr:x>
      <cdr:y>0.18867</cdr:y>
    </cdr:to>
    <cdr:sp macro="" textlink="">
      <cdr:nvSpPr>
        <cdr:cNvPr id="18" name="Text Box 121"/>
        <cdr:cNvSpPr txBox="1"/>
      </cdr:nvSpPr>
      <cdr:spPr>
        <a:xfrm xmlns:a="http://schemas.openxmlformats.org/drawingml/2006/main">
          <a:off x="1136650" y="593725"/>
          <a:ext cx="409575" cy="3048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Times New Roman" panose="02020603050405020304" pitchFamily="18" charset="0"/>
            </a:rPr>
            <a:t>ns</a:t>
          </a:r>
        </a:p>
      </cdr:txBody>
    </cdr:sp>
  </cdr:relSizeAnchor>
</c:userShapes>
</file>

<file path=word/drawings/drawing3.xml><?xml version="1.0" encoding="utf-8"?>
<c:userShapes xmlns:c="http://schemas.openxmlformats.org/drawingml/2006/chart">
  <cdr:relSizeAnchor xmlns:cdr="http://schemas.openxmlformats.org/drawingml/2006/chartDrawing">
    <cdr:from>
      <cdr:x>0.44536</cdr:x>
      <cdr:y>0.30041</cdr:y>
    </cdr:from>
    <cdr:to>
      <cdr:x>0.55464</cdr:x>
      <cdr:y>0.37449</cdr:y>
    </cdr:to>
    <cdr:sp macro="" textlink="">
      <cdr:nvSpPr>
        <cdr:cNvPr id="2" name="TextBox 1">
          <a:extLst xmlns:a="http://schemas.openxmlformats.org/drawingml/2006/main">
            <a:ext uri="{FF2B5EF4-FFF2-40B4-BE49-F238E27FC236}">
              <a16:creationId xmlns:a16="http://schemas.microsoft.com/office/drawing/2014/main" id="{922753B8-C401-4EA0-9810-2CB98310855B}"/>
            </a:ext>
          </a:extLst>
        </cdr:cNvPr>
        <cdr:cNvSpPr txBox="1"/>
      </cdr:nvSpPr>
      <cdr:spPr>
        <a:xfrm xmlns:a="http://schemas.openxmlformats.org/drawingml/2006/main">
          <a:off x="2562226" y="1042989"/>
          <a:ext cx="628650" cy="257175"/>
        </a:xfrm>
        <a:prstGeom xmlns:a="http://schemas.openxmlformats.org/drawingml/2006/main" prst="rect">
          <a:avLst/>
        </a:prstGeom>
      </cdr:spPr>
      <cdr:txBody>
        <a:bodyPr xmlns:a="http://schemas.openxmlformats.org/drawingml/2006/main" vertOverflow="clip" vert="vert" wrap="square" rtlCol="0"/>
        <a:lstStyle xmlns:a="http://schemas.openxmlformats.org/drawingml/2006/main"/>
        <a:p xmlns:a="http://schemas.openxmlformats.org/drawingml/2006/main">
          <a:r>
            <a:rPr lang="en-GB" sz="1100"/>
            <a:t>ab</a:t>
          </a:r>
        </a:p>
      </cdr:txBody>
    </cdr:sp>
  </cdr:relSizeAnchor>
  <cdr:relSizeAnchor xmlns:cdr="http://schemas.openxmlformats.org/drawingml/2006/chartDrawing">
    <cdr:from>
      <cdr:x>0.36748</cdr:x>
      <cdr:y>0.5526</cdr:y>
    </cdr:from>
    <cdr:to>
      <cdr:x>0.36927</cdr:x>
      <cdr:y>0.7665</cdr:y>
    </cdr:to>
    <cdr:cxnSp macro="">
      <cdr:nvCxnSpPr>
        <cdr:cNvPr id="6" name="Straight Connector 5"/>
        <cdr:cNvCxnSpPr/>
      </cdr:nvCxnSpPr>
      <cdr:spPr>
        <a:xfrm xmlns:a="http://schemas.openxmlformats.org/drawingml/2006/main" flipH="1">
          <a:off x="2106202" y="1910993"/>
          <a:ext cx="10274" cy="73973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0.36837</cdr:x>
      <cdr:y>0.6135</cdr:y>
    </cdr:from>
    <cdr:to>
      <cdr:x>0.41319</cdr:x>
      <cdr:y>0.67292</cdr:y>
    </cdr:to>
    <cdr:sp macro="" textlink="">
      <cdr:nvSpPr>
        <cdr:cNvPr id="7" name="Text Box 6"/>
        <cdr:cNvSpPr txBox="1"/>
      </cdr:nvSpPr>
      <cdr:spPr>
        <a:xfrm xmlns:a="http://schemas.openxmlformats.org/drawingml/2006/main" rot="5400000">
          <a:off x="2137025" y="2095929"/>
          <a:ext cx="205483" cy="256854"/>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100"/>
            <a:t>a</a:t>
          </a:r>
        </a:p>
      </cdr:txBody>
    </cdr:sp>
  </cdr:relSizeAnchor>
  <cdr:relSizeAnchor xmlns:cdr="http://schemas.openxmlformats.org/drawingml/2006/chartDrawing">
    <cdr:from>
      <cdr:x>0.87836</cdr:x>
      <cdr:y>0.08022</cdr:y>
    </cdr:from>
    <cdr:to>
      <cdr:x>0.9411</cdr:x>
      <cdr:y>0.15449</cdr:y>
    </cdr:to>
    <cdr:sp macro="" textlink="">
      <cdr:nvSpPr>
        <cdr:cNvPr id="9" name="Text Box 8"/>
        <cdr:cNvSpPr txBox="1"/>
      </cdr:nvSpPr>
      <cdr:spPr>
        <a:xfrm xmlns:a="http://schemas.openxmlformats.org/drawingml/2006/main" rot="5400000">
          <a:off x="5085707" y="226032"/>
          <a:ext cx="256853" cy="3595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b</a:t>
          </a:r>
        </a:p>
      </cdr:txBody>
    </cdr:sp>
  </cdr:relSizeAnchor>
  <cdr:relSizeAnchor xmlns:cdr="http://schemas.openxmlformats.org/drawingml/2006/chartDrawing">
    <cdr:from>
      <cdr:x>0.00819</cdr:x>
      <cdr:y>0.24319</cdr:y>
    </cdr:from>
    <cdr:to>
      <cdr:x>0.24966</cdr:x>
      <cdr:y>0.33668</cdr:y>
    </cdr:to>
    <cdr:sp macro="" textlink="">
      <cdr:nvSpPr>
        <cdr:cNvPr id="8" name="Rectangle 7"/>
        <cdr:cNvSpPr/>
      </cdr:nvSpPr>
      <cdr:spPr>
        <a:xfrm xmlns:a="http://schemas.openxmlformats.org/drawingml/2006/main" rot="10800000" flipH="1" flipV="1">
          <a:off x="57150" y="921921"/>
          <a:ext cx="1685925" cy="354430"/>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en-GB" sz="1100" u="none">
              <a:solidFill>
                <a:schemeClr val="tx1"/>
              </a:solidFill>
              <a:effectLst/>
              <a:latin typeface="Arial" panose="020B0604020202020204" pitchFamily="34" charset="0"/>
              <a:ea typeface="Times New Roman" panose="02020603050405020304" pitchFamily="18" charset="0"/>
              <a:cs typeface="Arial" panose="020B0604020202020204" pitchFamily="34" charset="0"/>
            </a:rPr>
            <a:t>Crabtree Leasow (Potatoes)</a:t>
          </a:r>
        </a:p>
      </cdr:txBody>
    </cdr:sp>
  </cdr:relSizeAnchor>
</c:userShapes>
</file>

<file path=word/drawings/drawing4.xml><?xml version="1.0" encoding="utf-8"?>
<c:userShapes xmlns:c="http://schemas.openxmlformats.org/drawingml/2006/chart">
  <cdr:relSizeAnchor xmlns:cdr="http://schemas.openxmlformats.org/drawingml/2006/chartDrawing">
    <cdr:from>
      <cdr:x>0.2023</cdr:x>
      <cdr:y>0.34593</cdr:y>
    </cdr:from>
    <cdr:to>
      <cdr:x>0.24347</cdr:x>
      <cdr:y>0.45751</cdr:y>
    </cdr:to>
    <cdr:sp macro="" textlink="">
      <cdr:nvSpPr>
        <cdr:cNvPr id="2" name="TextBox 1">
          <a:extLst xmlns:a="http://schemas.openxmlformats.org/drawingml/2006/main">
            <a:ext uri="{FF2B5EF4-FFF2-40B4-BE49-F238E27FC236}">
              <a16:creationId xmlns:a16="http://schemas.microsoft.com/office/drawing/2014/main" id="{4639324A-08D7-4A2A-8B7E-08CDC859F903}"/>
            </a:ext>
          </a:extLst>
        </cdr:cNvPr>
        <cdr:cNvSpPr txBox="1"/>
      </cdr:nvSpPr>
      <cdr:spPr>
        <a:xfrm xmlns:a="http://schemas.openxmlformats.org/drawingml/2006/main">
          <a:off x="1090246" y="1371601"/>
          <a:ext cx="221888" cy="442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t>a</a:t>
          </a:r>
        </a:p>
      </cdr:txBody>
    </cdr:sp>
  </cdr:relSizeAnchor>
  <cdr:relSizeAnchor xmlns:cdr="http://schemas.openxmlformats.org/drawingml/2006/chartDrawing">
    <cdr:from>
      <cdr:x>0.24741</cdr:x>
      <cdr:y>0.67793</cdr:y>
    </cdr:from>
    <cdr:to>
      <cdr:x>0.28048</cdr:x>
      <cdr:y>0.73997</cdr:y>
    </cdr:to>
    <cdr:sp macro="" textlink="">
      <cdr:nvSpPr>
        <cdr:cNvPr id="3" name="TextBox 2">
          <a:extLst xmlns:a="http://schemas.openxmlformats.org/drawingml/2006/main">
            <a:ext uri="{FF2B5EF4-FFF2-40B4-BE49-F238E27FC236}">
              <a16:creationId xmlns:a16="http://schemas.microsoft.com/office/drawing/2014/main" id="{7856E487-953B-4118-ACD0-0C7A4735D3A5}"/>
            </a:ext>
          </a:extLst>
        </cdr:cNvPr>
        <cdr:cNvSpPr txBox="1"/>
      </cdr:nvSpPr>
      <cdr:spPr>
        <a:xfrm xmlns:a="http://schemas.openxmlformats.org/drawingml/2006/main">
          <a:off x="1333338" y="2687952"/>
          <a:ext cx="178222" cy="2459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latin typeface="Arial Narrow" panose="020B0606020202030204" pitchFamily="34" charset="0"/>
            </a:rPr>
            <a:t>b</a:t>
          </a:r>
        </a:p>
      </cdr:txBody>
    </cdr:sp>
  </cdr:relSizeAnchor>
  <cdr:relSizeAnchor xmlns:cdr="http://schemas.openxmlformats.org/drawingml/2006/chartDrawing">
    <cdr:from>
      <cdr:x>0.43723</cdr:x>
      <cdr:y>0.70295</cdr:y>
    </cdr:from>
    <cdr:to>
      <cdr:x>0.49433</cdr:x>
      <cdr:y>0.785</cdr:y>
    </cdr:to>
    <cdr:sp macro="" textlink="">
      <cdr:nvSpPr>
        <cdr:cNvPr id="4" name="TextBox 3">
          <a:extLst xmlns:a="http://schemas.openxmlformats.org/drawingml/2006/main">
            <a:ext uri="{FF2B5EF4-FFF2-40B4-BE49-F238E27FC236}">
              <a16:creationId xmlns:a16="http://schemas.microsoft.com/office/drawing/2014/main" id="{CB55241E-69BF-4A85-9474-4909D81DBB3A}"/>
            </a:ext>
          </a:extLst>
        </cdr:cNvPr>
        <cdr:cNvSpPr txBox="1"/>
      </cdr:nvSpPr>
      <cdr:spPr>
        <a:xfrm xmlns:a="http://schemas.openxmlformats.org/drawingml/2006/main">
          <a:off x="2356339" y="2787162"/>
          <a:ext cx="307730" cy="3253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t>b</a:t>
          </a:r>
        </a:p>
      </cdr:txBody>
    </cdr:sp>
  </cdr:relSizeAnchor>
  <cdr:relSizeAnchor xmlns:cdr="http://schemas.openxmlformats.org/drawingml/2006/chartDrawing">
    <cdr:from>
      <cdr:x>0.58634</cdr:x>
      <cdr:y>0.18237</cdr:y>
    </cdr:from>
    <cdr:to>
      <cdr:x>0.63524</cdr:x>
      <cdr:y>0.25038</cdr:y>
    </cdr:to>
    <cdr:sp macro="" textlink="">
      <cdr:nvSpPr>
        <cdr:cNvPr id="5" name="TextBox 4">
          <a:extLst xmlns:a="http://schemas.openxmlformats.org/drawingml/2006/main">
            <a:ext uri="{FF2B5EF4-FFF2-40B4-BE49-F238E27FC236}">
              <a16:creationId xmlns:a16="http://schemas.microsoft.com/office/drawing/2014/main" id="{53CA66B2-2C53-4A06-B47D-4021063BF2F6}"/>
            </a:ext>
          </a:extLst>
        </cdr:cNvPr>
        <cdr:cNvSpPr txBox="1"/>
      </cdr:nvSpPr>
      <cdr:spPr>
        <a:xfrm xmlns:a="http://schemas.openxmlformats.org/drawingml/2006/main">
          <a:off x="3159906" y="723096"/>
          <a:ext cx="263534" cy="2696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t>a</a:t>
          </a:r>
        </a:p>
      </cdr:txBody>
    </cdr:sp>
  </cdr:relSizeAnchor>
  <cdr:relSizeAnchor xmlns:cdr="http://schemas.openxmlformats.org/drawingml/2006/chartDrawing">
    <cdr:from>
      <cdr:x>0.78287</cdr:x>
      <cdr:y>0.56933</cdr:y>
    </cdr:from>
    <cdr:to>
      <cdr:x>0.82224</cdr:x>
      <cdr:y>0.62225</cdr:y>
    </cdr:to>
    <cdr:sp macro="" textlink="">
      <cdr:nvSpPr>
        <cdr:cNvPr id="6" name="TextBox 5">
          <a:extLst xmlns:a="http://schemas.openxmlformats.org/drawingml/2006/main">
            <a:ext uri="{FF2B5EF4-FFF2-40B4-BE49-F238E27FC236}">
              <a16:creationId xmlns:a16="http://schemas.microsoft.com/office/drawing/2014/main" id="{7B0345D4-5A2D-403E-BBAB-DD754AB6C118}"/>
            </a:ext>
          </a:extLst>
        </cdr:cNvPr>
        <cdr:cNvSpPr txBox="1"/>
      </cdr:nvSpPr>
      <cdr:spPr>
        <a:xfrm xmlns:a="http://schemas.openxmlformats.org/drawingml/2006/main">
          <a:off x="4487004" y="2555242"/>
          <a:ext cx="225650" cy="2375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latin typeface="Arial Narrow" panose="020B0606020202030204" pitchFamily="34" charset="0"/>
            </a:rPr>
            <a:t>a</a:t>
          </a:r>
        </a:p>
      </cdr:txBody>
    </cdr:sp>
  </cdr:relSizeAnchor>
  <cdr:relSizeAnchor xmlns:cdr="http://schemas.openxmlformats.org/drawingml/2006/chartDrawing">
    <cdr:from>
      <cdr:x>0.82987</cdr:x>
      <cdr:y>0.38521</cdr:y>
    </cdr:from>
    <cdr:to>
      <cdr:x>0.88618</cdr:x>
      <cdr:y>0.45712</cdr:y>
    </cdr:to>
    <cdr:sp macro="" textlink="">
      <cdr:nvSpPr>
        <cdr:cNvPr id="7" name="Text Box 6"/>
        <cdr:cNvSpPr txBox="1"/>
      </cdr:nvSpPr>
      <cdr:spPr>
        <a:xfrm xmlns:a="http://schemas.openxmlformats.org/drawingml/2006/main">
          <a:off x="4756416" y="1728908"/>
          <a:ext cx="322729" cy="3227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t>c</a:t>
          </a:r>
        </a:p>
      </cdr:txBody>
    </cdr:sp>
  </cdr:relSizeAnchor>
  <cdr:relSizeAnchor xmlns:cdr="http://schemas.openxmlformats.org/drawingml/2006/chartDrawing">
    <cdr:from>
      <cdr:x>0.39481</cdr:x>
      <cdr:y>0.52999</cdr:y>
    </cdr:from>
    <cdr:to>
      <cdr:x>0.44539</cdr:x>
      <cdr:y>0.61425</cdr:y>
    </cdr:to>
    <cdr:sp macro="" textlink="">
      <cdr:nvSpPr>
        <cdr:cNvPr id="8" name="Text Box 7"/>
        <cdr:cNvSpPr txBox="1"/>
      </cdr:nvSpPr>
      <cdr:spPr>
        <a:xfrm xmlns:a="http://schemas.openxmlformats.org/drawingml/2006/main">
          <a:off x="2127739" y="2101361"/>
          <a:ext cx="272561" cy="3341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t>a</a:t>
          </a:r>
        </a:p>
      </cdr:txBody>
    </cdr:sp>
  </cdr:relSizeAnchor>
  <cdr:relSizeAnchor xmlns:cdr="http://schemas.openxmlformats.org/drawingml/2006/chartDrawing">
    <cdr:from>
      <cdr:x>0.63682</cdr:x>
      <cdr:y>0.6523</cdr:y>
    </cdr:from>
    <cdr:to>
      <cdr:x>0.68106</cdr:x>
      <cdr:y>0.70708</cdr:y>
    </cdr:to>
    <cdr:sp macro="" textlink="">
      <cdr:nvSpPr>
        <cdr:cNvPr id="9" name="Text Box 8"/>
        <cdr:cNvSpPr txBox="1"/>
      </cdr:nvSpPr>
      <cdr:spPr>
        <a:xfrm xmlns:a="http://schemas.openxmlformats.org/drawingml/2006/main">
          <a:off x="3649916" y="2927618"/>
          <a:ext cx="253573" cy="2458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t>b</a:t>
          </a:r>
        </a:p>
      </cdr:txBody>
    </cdr:sp>
  </cdr:relSizeAnchor>
</c:userShapes>
</file>

<file path=word/drawings/drawing5.xml><?xml version="1.0" encoding="utf-8"?>
<c:userShapes xmlns:c="http://schemas.openxmlformats.org/drawingml/2006/chart">
  <cdr:relSizeAnchor xmlns:cdr="http://schemas.openxmlformats.org/drawingml/2006/chartDrawing">
    <cdr:from>
      <cdr:x>0.2287</cdr:x>
      <cdr:y>0.67716</cdr:y>
    </cdr:from>
    <cdr:to>
      <cdr:x>0.69228</cdr:x>
      <cdr:y>0.67716</cdr:y>
    </cdr:to>
    <cdr:cxnSp macro="">
      <cdr:nvCxnSpPr>
        <cdr:cNvPr id="11" name="Straight Connector 10">
          <a:extLst xmlns:a="http://schemas.openxmlformats.org/drawingml/2006/main">
            <a:ext uri="{FF2B5EF4-FFF2-40B4-BE49-F238E27FC236}">
              <a16:creationId xmlns:a16="http://schemas.microsoft.com/office/drawing/2014/main" id="{2E4B8612-3448-401D-842F-4B78B06D10C3}"/>
            </a:ext>
          </a:extLst>
        </cdr:cNvPr>
        <cdr:cNvCxnSpPr/>
      </cdr:nvCxnSpPr>
      <cdr:spPr>
        <a:xfrm xmlns:a="http://schemas.openxmlformats.org/drawingml/2006/main">
          <a:off x="870333" y="1828776"/>
          <a:ext cx="1764177"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C60BA7B4754984A4A104790FD59488"/>
        <w:category>
          <w:name w:val="General"/>
          <w:gallery w:val="placeholder"/>
        </w:category>
        <w:types>
          <w:type w:val="bbPlcHdr"/>
        </w:types>
        <w:behaviors>
          <w:behavior w:val="content"/>
        </w:behaviors>
        <w:guid w:val="{BE76C47F-A0F5-4E12-84B7-2AE1DCDA4126}"/>
      </w:docPartPr>
      <w:docPartBody>
        <w:p w:rsidR="007B6F13" w:rsidRDefault="007B6F13" w:rsidP="007B6F13">
          <w:pPr>
            <w:pStyle w:val="ABC60BA7B4754984A4A104790FD59488"/>
          </w:pPr>
          <w:r>
            <w:t>Click here to enter text.</w:t>
          </w:r>
        </w:p>
      </w:docPartBody>
    </w:docPart>
    <w:docPart>
      <w:docPartPr>
        <w:name w:val="1B2A41E8EBF8470E86B758AB7F4EEBDE"/>
        <w:category>
          <w:name w:val="General"/>
          <w:gallery w:val="placeholder"/>
        </w:category>
        <w:types>
          <w:type w:val="bbPlcHdr"/>
        </w:types>
        <w:behaviors>
          <w:behavior w:val="content"/>
        </w:behaviors>
        <w:guid w:val="{644A9D2D-AC42-4184-AB73-CAC097104DC3}"/>
      </w:docPartPr>
      <w:docPartBody>
        <w:p w:rsidR="007B6F13" w:rsidRDefault="007B6F13" w:rsidP="007B6F13">
          <w:pPr>
            <w:pStyle w:val="1B2A41E8EBF8470E86B758AB7F4EEBDE"/>
          </w:pPr>
          <w:r>
            <w:t>Click here to enter text.</w:t>
          </w:r>
        </w:p>
      </w:docPartBody>
    </w:docPart>
    <w:docPart>
      <w:docPartPr>
        <w:name w:val="B776D24AB5E846DF9939F0A8736E124D"/>
        <w:category>
          <w:name w:val="General"/>
          <w:gallery w:val="placeholder"/>
        </w:category>
        <w:types>
          <w:type w:val="bbPlcHdr"/>
        </w:types>
        <w:behaviors>
          <w:behavior w:val="content"/>
        </w:behaviors>
        <w:guid w:val="{7A953B45-7F6D-4115-9123-C3E63D03A952}"/>
      </w:docPartPr>
      <w:docPartBody>
        <w:p w:rsidR="00F82F6C" w:rsidRDefault="00F82F6C" w:rsidP="00F82F6C">
          <w:pPr>
            <w:pStyle w:val="B776D24AB5E846DF9939F0A8736E124D"/>
          </w:pPr>
          <w:r>
            <w:t>Click here to enter text.</w:t>
          </w:r>
        </w:p>
      </w:docPartBody>
    </w:docPart>
    <w:docPart>
      <w:docPartPr>
        <w:name w:val="484E2F201A64479688C31073A52D7D57"/>
        <w:category>
          <w:name w:val="General"/>
          <w:gallery w:val="placeholder"/>
        </w:category>
        <w:types>
          <w:type w:val="bbPlcHdr"/>
        </w:types>
        <w:behaviors>
          <w:behavior w:val="content"/>
        </w:behaviors>
        <w:guid w:val="{4869CCF5-6574-450E-A8F2-A96D0C0CE20F}"/>
      </w:docPartPr>
      <w:docPartBody>
        <w:p w:rsidR="00FC7599" w:rsidRDefault="00FC7599" w:rsidP="00FC7599">
          <w:pPr>
            <w:pStyle w:val="484E2F201A64479688C31073A52D7D57"/>
          </w:pPr>
          <w: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TXinwei">
    <w:charset w:val="86"/>
    <w:family w:val="auto"/>
    <w:pitch w:val="variable"/>
    <w:sig w:usb0="00000001" w:usb1="080F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F13"/>
    <w:rsid w:val="00011CEC"/>
    <w:rsid w:val="000558A6"/>
    <w:rsid w:val="000F22FB"/>
    <w:rsid w:val="00147651"/>
    <w:rsid w:val="001702B1"/>
    <w:rsid w:val="00175E04"/>
    <w:rsid w:val="001C4442"/>
    <w:rsid w:val="00223310"/>
    <w:rsid w:val="00370053"/>
    <w:rsid w:val="0038788E"/>
    <w:rsid w:val="004204A3"/>
    <w:rsid w:val="00442E43"/>
    <w:rsid w:val="00452CFB"/>
    <w:rsid w:val="00490971"/>
    <w:rsid w:val="004D1BE4"/>
    <w:rsid w:val="00503AB5"/>
    <w:rsid w:val="005078EB"/>
    <w:rsid w:val="005315E4"/>
    <w:rsid w:val="00537474"/>
    <w:rsid w:val="00593AC9"/>
    <w:rsid w:val="005F4124"/>
    <w:rsid w:val="006077B5"/>
    <w:rsid w:val="00617C2C"/>
    <w:rsid w:val="00680ECB"/>
    <w:rsid w:val="00686D77"/>
    <w:rsid w:val="006B29E9"/>
    <w:rsid w:val="006D47CA"/>
    <w:rsid w:val="006D49BA"/>
    <w:rsid w:val="006F3D5B"/>
    <w:rsid w:val="00716E2E"/>
    <w:rsid w:val="00747FC4"/>
    <w:rsid w:val="00751EE2"/>
    <w:rsid w:val="007B6E4B"/>
    <w:rsid w:val="007B6F13"/>
    <w:rsid w:val="007D5F40"/>
    <w:rsid w:val="008B3571"/>
    <w:rsid w:val="009753E9"/>
    <w:rsid w:val="00A06238"/>
    <w:rsid w:val="00A12687"/>
    <w:rsid w:val="00A761E9"/>
    <w:rsid w:val="00A97266"/>
    <w:rsid w:val="00B04EDF"/>
    <w:rsid w:val="00B46EE2"/>
    <w:rsid w:val="00C22515"/>
    <w:rsid w:val="00CC654E"/>
    <w:rsid w:val="00CC7DEA"/>
    <w:rsid w:val="00D354E8"/>
    <w:rsid w:val="00D63C45"/>
    <w:rsid w:val="00D72C52"/>
    <w:rsid w:val="00DE193F"/>
    <w:rsid w:val="00E57980"/>
    <w:rsid w:val="00EB6657"/>
    <w:rsid w:val="00EF12E8"/>
    <w:rsid w:val="00F82F6C"/>
    <w:rsid w:val="00FC7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C60BA7B4754984A4A104790FD59488">
    <w:name w:val="ABC60BA7B4754984A4A104790FD59488"/>
    <w:rsid w:val="007B6F13"/>
  </w:style>
  <w:style w:type="paragraph" w:customStyle="1" w:styleId="1B2A41E8EBF8470E86B758AB7F4EEBDE">
    <w:name w:val="1B2A41E8EBF8470E86B758AB7F4EEBDE"/>
    <w:rsid w:val="007B6F13"/>
  </w:style>
  <w:style w:type="paragraph" w:customStyle="1" w:styleId="B776D24AB5E846DF9939F0A8736E124D">
    <w:name w:val="B776D24AB5E846DF9939F0A8736E124D"/>
    <w:rsid w:val="00F82F6C"/>
  </w:style>
  <w:style w:type="paragraph" w:customStyle="1" w:styleId="484E2F201A64479688C31073A52D7D57">
    <w:name w:val="484E2F201A64479688C31073A52D7D57"/>
    <w:rsid w:val="00FC75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035e7c3-27b7-45c5-98be-2e6cbf8065a6">
      <Terms xmlns="http://schemas.microsoft.com/office/infopath/2007/PartnerControls"/>
    </lcf76f155ced4ddcb4097134ff3c332f>
    <TaxCatchAll xmlns="28e6b94a-ef96-4531-9133-9acbd7f9a5b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15" ma:contentTypeDescription="Create a new document." ma:contentTypeScope="" ma:versionID="c8f5f12fb79bd6d20664b85cefd6015c">
  <xsd:schema xmlns:xsd="http://www.w3.org/2001/XMLSchema" xmlns:xs="http://www.w3.org/2001/XMLSchema" xmlns:p="http://schemas.microsoft.com/office/2006/metadata/properties" xmlns:ns2="a6225cf3-6d2d-4009-a927-1a5a380de37e" xmlns:ns3="3035e7c3-27b7-45c5-98be-2e6cbf8065a6" xmlns:ns4="28e6b94a-ef96-4531-9133-9acbd7f9a5b6" targetNamespace="http://schemas.microsoft.com/office/2006/metadata/properties" ma:root="true" ma:fieldsID="afb1bf8a16ef842a3ea30574ce5cf053" ns2:_="" ns3:_="" ns4:_="">
    <xsd:import namespace="a6225cf3-6d2d-4009-a927-1a5a380de37e"/>
    <xsd:import namespace="3035e7c3-27b7-45c5-98be-2e6cbf8065a6"/>
    <xsd:import namespace="28e6b94a-ef96-4531-9133-9acbd7f9a5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a3a51c6-da2c-4d99-add4-391d2d2c60a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e6b94a-ef96-4531-9133-9acbd7f9a5b6"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9550a6d-2193-4f1d-80d5-8790671f24f2}" ma:internalName="TaxCatchAll" ma:showField="CatchAllData" ma:web="28e6b94a-ef96-4531-9133-9acbd7f9a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693664-C789-4854-8930-330766FC5B8B}">
  <ds:schemaRefs>
    <ds:schemaRef ds:uri="http://schemas.microsoft.com/sharepoint/v3/contenttype/forms"/>
  </ds:schemaRefs>
</ds:datastoreItem>
</file>

<file path=customXml/itemProps2.xml><?xml version="1.0" encoding="utf-8"?>
<ds:datastoreItem xmlns:ds="http://schemas.openxmlformats.org/officeDocument/2006/customXml" ds:itemID="{D6DFB9B1-570D-4AF1-9C3B-4D32CE17E953}">
  <ds:schemaRefs>
    <ds:schemaRef ds:uri="http://schemas.openxmlformats.org/package/2006/metadata/core-properties"/>
    <ds:schemaRef ds:uri="http://purl.org/dc/dcmitype/"/>
    <ds:schemaRef ds:uri="http://schemas.microsoft.com/office/2006/documentManagement/types"/>
    <ds:schemaRef ds:uri="e2693ca6-3582-405d-a7d3-01cc570b32a9"/>
    <ds:schemaRef ds:uri="http://purl.org/dc/terms/"/>
    <ds:schemaRef ds:uri="http://schemas.microsoft.com/office/2006/metadata/properties"/>
    <ds:schemaRef ds:uri="http://www.w3.org/XML/1998/namespace"/>
    <ds:schemaRef ds:uri="http://purl.org/dc/elements/1.1/"/>
    <ds:schemaRef ds:uri="http://schemas.microsoft.com/office/infopath/2007/PartnerControls"/>
    <ds:schemaRef ds:uri="f661d7d1-76d2-4a7e-8538-da5dc095988b"/>
  </ds:schemaRefs>
</ds:datastoreItem>
</file>

<file path=customXml/itemProps3.xml><?xml version="1.0" encoding="utf-8"?>
<ds:datastoreItem xmlns:ds="http://schemas.openxmlformats.org/officeDocument/2006/customXml" ds:itemID="{BC9D74B4-DD74-4FE0-AB5E-2E76B51A77C2}">
  <ds:schemaRefs>
    <ds:schemaRef ds:uri="http://schemas.openxmlformats.org/officeDocument/2006/bibliography"/>
  </ds:schemaRefs>
</ds:datastoreItem>
</file>

<file path=customXml/itemProps4.xml><?xml version="1.0" encoding="utf-8"?>
<ds:datastoreItem xmlns:ds="http://schemas.openxmlformats.org/officeDocument/2006/customXml" ds:itemID="{61CAEC64-EA0A-40FC-AE5C-F8FDC028CFEA}"/>
</file>

<file path=docProps/app.xml><?xml version="1.0" encoding="utf-8"?>
<Properties xmlns="http://schemas.openxmlformats.org/officeDocument/2006/extended-properties" xmlns:vt="http://schemas.openxmlformats.org/officeDocument/2006/docPropsVTypes">
  <Template>Normal</Template>
  <TotalTime>2</TotalTime>
  <Pages>127</Pages>
  <Words>121627</Words>
  <Characters>693275</Characters>
  <Application>Microsoft Office Word</Application>
  <DocSecurity>4</DocSecurity>
  <Lines>5777</Lines>
  <Paragraphs>1626</Paragraphs>
  <ScaleCrop>false</ScaleCrop>
  <HeadingPairs>
    <vt:vector size="2" baseType="variant">
      <vt:variant>
        <vt:lpstr>Title</vt:lpstr>
      </vt:variant>
      <vt:variant>
        <vt:i4>1</vt:i4>
      </vt:variant>
    </vt:vector>
  </HeadingPairs>
  <TitlesOfParts>
    <vt:vector size="1" baseType="lpstr">
      <vt:lpstr/>
    </vt:vector>
  </TitlesOfParts>
  <Company>Harper Adams University</Company>
  <LinksUpToDate>false</LinksUpToDate>
  <CharactersWithSpaces>813276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Nyambura Mwangi</dc:creator>
  <cp:keywords/>
  <dc:description/>
  <cp:lastModifiedBy>Victoria Foster</cp:lastModifiedBy>
  <cp:revision>2</cp:revision>
  <dcterms:created xsi:type="dcterms:W3CDTF">2022-10-07T15:29:00Z</dcterms:created>
  <dcterms:modified xsi:type="dcterms:W3CDTF">2022-10-07T15:29:00Z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0x0101004E324DD33A127D4DBE83576C50E61399</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10th edition - Harvard</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8th edition</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http://csl.mendeley.com/styles/486750881/nematologyDOIwimbert</vt:lpwstr>
  </property>
  <property fmtid="{D5CDD505-2E9C-101B-9397-08002B2CF9AE}" pid="20" name="Mendeley Recent Style Name 8_1">
    <vt:lpwstr>University of Cape Town - Harvard - wim Bert</vt:lpwstr>
  </property>
  <property fmtid="{D5CDD505-2E9C-101B-9397-08002B2CF9AE}" pid="21" name="Mendeley Recent Style Id 9_1">
    <vt:lpwstr>http://www.zotero.org/styles/water-alternatives</vt:lpwstr>
  </property>
  <property fmtid="{D5CDD505-2E9C-101B-9397-08002B2CF9AE}" pid="22" name="Mendeley Recent Style Name 9_1">
    <vt:lpwstr>Water Alternatives</vt:lpwstr>
  </property>
  <property fmtid="{D5CDD505-2E9C-101B-9397-08002B2CF9AE}" pid="23" name="Mendeley Document_1">
    <vt:lpwstr>True</vt:lpwstr>
  </property>
  <property fmtid="{D5CDD505-2E9C-101B-9397-08002B2CF9AE}" pid="24" name="Mendeley Unique User Id_1">
    <vt:lpwstr>ab5b9279-6bad-3720-8b5c-ec8871c49af2</vt:lpwstr>
  </property>
  <property fmtid="{D5CDD505-2E9C-101B-9397-08002B2CF9AE}" pid="25" name="Mendeley Citation Style_1">
    <vt:lpwstr>http://www.zotero.org/styles/harvard-cite-them-right</vt:lpwstr>
  </property>
</Properties>
</file>